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407"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80" w:lineRule="exact"/>
        <w:rPr>
          <w:sz w:val="24"/>
          <w:szCs w:val="24"/>
          <w:color w:val="auto"/>
        </w:rPr>
      </w:pPr>
    </w:p>
    <w:p>
      <w:pPr>
        <w:ind w:left="2620" w:right="1600" w:hanging="259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8"/>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73"/>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8"/>
                <w:szCs w:val="18"/>
                <w:b w:val="1"/>
                <w:bCs w:val="1"/>
                <w:color w:val="auto"/>
                <w:w w:val="99"/>
              </w:rPr>
              <w:t>400 Spectrum Center Drive, Suite 2040</w:t>
            </w:r>
          </w:p>
        </w:tc>
        <w:tc>
          <w:tcPr>
            <w:tcW w:w="2800" w:type="dxa"/>
            <w:vAlign w:val="bottom"/>
          </w:tcPr>
          <w:p>
            <w:pPr>
              <w:spacing w:after="0"/>
              <w:rPr>
                <w:sz w:val="22"/>
                <w:szCs w:val="22"/>
                <w:color w:val="auto"/>
              </w:rPr>
            </w:pPr>
          </w:p>
        </w:tc>
      </w:tr>
      <w:tr>
        <w:trPr>
          <w:trHeight w:val="238"/>
        </w:trPr>
        <w:tc>
          <w:tcPr>
            <w:tcW w:w="480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2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CGON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2024, the registrant had 66,640,150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2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Financial Statements (unaudited)</w:t>
            </w:r>
          </w:p>
        </w:tc>
        <w:tc>
          <w:tcPr>
            <w:tcW w:w="63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20" w:type="dxa"/>
            <w:vAlign w:val="bottom"/>
            <w:tcBorders>
              <w:bottom w:val="single" w:sz="8" w:color="0000EE"/>
            </w:tcBorders>
          </w:tcPr>
          <w:p>
            <w:pPr>
              <w:spacing w:after="0"/>
              <w:rPr>
                <w:sz w:val="19"/>
                <w:szCs w:val="19"/>
                <w:color w:val="auto"/>
              </w:rPr>
            </w:pPr>
          </w:p>
        </w:tc>
        <w:tc>
          <w:tcPr>
            <w:tcW w:w="7580" w:type="dxa"/>
            <w:vAlign w:val="bottom"/>
            <w:gridSpan w:val="13"/>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Statements of Redeemable Convertible Preferred Stock and Stockholders’ Deficit</w:t>
            </w:r>
          </w:p>
        </w:tc>
        <w:tc>
          <w:tcPr>
            <w:tcW w:w="2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20" w:type="dxa"/>
            <w:vAlign w:val="bottom"/>
            <w:tcBorders>
              <w:bottom w:val="single" w:sz="8" w:color="0000EE"/>
            </w:tcBorders>
          </w:tcPr>
          <w:p>
            <w:pPr>
              <w:spacing w:after="0"/>
              <w:rPr>
                <w:sz w:val="19"/>
                <w:szCs w:val="19"/>
                <w:color w:val="auto"/>
              </w:rPr>
            </w:pPr>
          </w:p>
        </w:tc>
        <w:tc>
          <w:tcPr>
            <w:tcW w:w="6800" w:type="dxa"/>
            <w:vAlign w:val="bottom"/>
            <w:gridSpan w:val="9"/>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0" w:type="dxa"/>
            <w:vAlign w:val="bottom"/>
            <w:tcBorders>
              <w:bottom w:val="single" w:sz="8" w:color="0000EE"/>
            </w:tcBorders>
          </w:tcPr>
          <w:p>
            <w:pPr>
              <w:spacing w:after="0"/>
              <w:rPr>
                <w:sz w:val="19"/>
                <w:szCs w:val="19"/>
                <w:color w:val="auto"/>
              </w:rPr>
            </w:pPr>
          </w:p>
        </w:tc>
        <w:tc>
          <w:tcPr>
            <w:tcW w:w="6520" w:type="dxa"/>
            <w:vAlign w:val="bottom"/>
            <w:gridSpan w:val="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19"/>
                <w:szCs w:val="19"/>
                <w:color w:val="auto"/>
              </w:rPr>
            </w:pPr>
          </w:p>
        </w:tc>
        <w:tc>
          <w:tcPr>
            <w:tcW w:w="520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8"/>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77,468</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489,040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179,408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Accounts receivable - other</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w:t>
            </w:r>
          </w:p>
        </w:tc>
        <w:tc>
          <w:tcPr>
            <w:tcW w:w="260" w:type="dxa"/>
            <w:vAlign w:val="bottom"/>
          </w:tcPr>
          <w:p>
            <w:pPr>
              <w:spacing w:after="0"/>
              <w:rPr>
                <w:sz w:val="15"/>
                <w:szCs w:val="15"/>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579,108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Success fee liability, current portion</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2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 liability, non-current</w:t>
            </w:r>
          </w:p>
        </w:tc>
        <w:tc>
          <w:tcPr>
            <w:tcW w:w="26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5)</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A-1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5,075,000 shares authorized, issued and outstanding as of March 31,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$3,570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B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11,973,000 shares authorized, issued and outstanding as of March 31,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liquidation value of $0 and $10,000 as of March 31, 2024 and</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C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73,598,283 shares authorized, issued and outstanding as of March 31,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$22,000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D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53,271,754 shares authorized, issued and outstanding as of March 31,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$47,300 as of</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E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112,422,700 shares authorized, issued and outstanding as of March 31,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$120,000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Series F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81,587,937 shares issued and outstanding as of March 31,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$105,020 as of</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160"/>
              <w:spacing w:after="0" w:line="139" w:lineRule="exact"/>
              <w:rPr>
                <w:sz w:val="20"/>
                <w:szCs w:val="20"/>
                <w:color w:val="auto"/>
              </w:rPr>
            </w:pPr>
            <w:r>
              <w:rPr>
                <w:rFonts w:ascii="Times New Roman" w:cs="Times New Roman" w:eastAsia="Times New Roman" w:hAnsi="Times New Roman"/>
                <w:sz w:val="14"/>
                <w:szCs w:val="14"/>
                <w:color w:val="auto"/>
              </w:rPr>
              <w:t>Common stock, $0.0001 par value per share; 700,000,000 and 493,530,000 shares</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authorized as of March 31, 2024 and December 31, 2023, respectively; 66,636,252</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5,222,283 shares issued and outstanding as of March 31, 2024 and</w:t>
            </w:r>
          </w:p>
        </w:tc>
        <w:tc>
          <w:tcPr>
            <w:tcW w:w="26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715,807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(146,874 )</w:t>
            </w: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(129,942 )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568,940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(123,100 )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 (deficit)</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579,108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-5442585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-5442585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-4756785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-4739640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-4075430</wp:posOffset>
            </wp:positionV>
            <wp:extent cx="939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-4075430</wp:posOffset>
            </wp:positionV>
            <wp:extent cx="939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-3723640</wp:posOffset>
            </wp:positionV>
            <wp:extent cx="939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-3723640</wp:posOffset>
            </wp:positionV>
            <wp:extent cx="939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(22,469 )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(8,667 )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(3,734 )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47,064,768</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3,855,383</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-1829435</wp:posOffset>
            </wp:positionV>
            <wp:extent cx="939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-1829435</wp:posOffset>
            </wp:positionV>
            <wp:extent cx="939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-865505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Statements of Redeemable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Series A-1</w:t>
            </w:r>
          </w:p>
        </w:tc>
        <w:tc>
          <w:tcPr>
            <w:tcW w:w="860" w:type="dxa"/>
            <w:vAlign w:val="bottom"/>
            <w:gridSpan w:val="2"/>
          </w:tcPr>
          <w:p>
            <w:pPr>
              <w:jc w:val="center"/>
              <w:ind w:left="245"/>
              <w:spacing w:after="0"/>
              <w:rPr>
                <w:sz w:val="20"/>
                <w:szCs w:val="20"/>
                <w:color w:val="auto"/>
              </w:rPr>
            </w:pPr>
            <w:r>
              <w:rPr>
                <w:rFonts w:ascii="Times New Roman" w:cs="Times New Roman" w:eastAsia="Times New Roman" w:hAnsi="Times New Roman"/>
                <w:sz w:val="12"/>
                <w:szCs w:val="12"/>
                <w:b w:val="1"/>
                <w:bCs w:val="1"/>
                <w:color w:val="auto"/>
                <w:w w:val="95"/>
              </w:rPr>
              <w:t>Series B</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left="265"/>
              <w:spacing w:after="0"/>
              <w:rPr>
                <w:sz w:val="20"/>
                <w:szCs w:val="20"/>
                <w:color w:val="auto"/>
              </w:rPr>
            </w:pPr>
            <w:r>
              <w:rPr>
                <w:rFonts w:ascii="Times New Roman" w:cs="Times New Roman" w:eastAsia="Times New Roman" w:hAnsi="Times New Roman"/>
                <w:sz w:val="12"/>
                <w:szCs w:val="12"/>
                <w:b w:val="1"/>
                <w:bCs w:val="1"/>
                <w:color w:val="auto"/>
                <w:w w:val="94"/>
              </w:rPr>
              <w:t>Series C</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165"/>
              <w:spacing w:after="0"/>
              <w:rPr>
                <w:sz w:val="20"/>
                <w:szCs w:val="20"/>
                <w:color w:val="auto"/>
              </w:rPr>
            </w:pPr>
            <w:r>
              <w:rPr>
                <w:rFonts w:ascii="Times New Roman" w:cs="Times New Roman" w:eastAsia="Times New Roman" w:hAnsi="Times New Roman"/>
                <w:sz w:val="12"/>
                <w:szCs w:val="12"/>
                <w:b w:val="1"/>
                <w:bCs w:val="1"/>
                <w:color w:val="auto"/>
                <w:w w:val="94"/>
              </w:rPr>
              <w:t>Series 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left="205"/>
              <w:spacing w:after="0"/>
              <w:rPr>
                <w:sz w:val="20"/>
                <w:szCs w:val="20"/>
                <w:color w:val="auto"/>
              </w:rPr>
            </w:pPr>
            <w:r>
              <w:rPr>
                <w:rFonts w:ascii="Times New Roman" w:cs="Times New Roman" w:eastAsia="Times New Roman" w:hAnsi="Times New Roman"/>
                <w:sz w:val="12"/>
                <w:szCs w:val="12"/>
                <w:b w:val="1"/>
                <w:bCs w:val="1"/>
                <w:color w:val="auto"/>
                <w:w w:val="95"/>
              </w:rPr>
              <w:t>Series 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040" w:type="dxa"/>
            <w:vAlign w:val="bottom"/>
          </w:tcPr>
          <w:p>
            <w:pPr>
              <w:spacing w:after="0"/>
              <w:rPr>
                <w:sz w:val="11"/>
                <w:szCs w:val="11"/>
                <w:color w:val="auto"/>
              </w:rPr>
            </w:pPr>
          </w:p>
        </w:tc>
        <w:tc>
          <w:tcPr>
            <w:tcW w:w="108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920" w:type="dxa"/>
            <w:vAlign w:val="bottom"/>
            <w:gridSpan w:val="3"/>
          </w:tcPr>
          <w:p>
            <w:pPr>
              <w:jc w:val="center"/>
              <w:ind w:left="165"/>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left="165"/>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120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08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860" w:type="dxa"/>
            <w:vAlign w:val="bottom"/>
            <w:gridSpan w:val="2"/>
          </w:tcPr>
          <w:p>
            <w:pPr>
              <w:jc w:val="center"/>
              <w:ind w:left="205"/>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Convertible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left="145"/>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820" w:type="dxa"/>
            <w:vAlign w:val="bottom"/>
            <w:gridSpan w:val="3"/>
          </w:tcPr>
          <w:p>
            <w:pPr>
              <w:jc w:val="center"/>
              <w:ind w:left="165"/>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Convertible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35"/>
        </w:trPr>
        <w:tc>
          <w:tcPr>
            <w:tcW w:w="1040" w:type="dxa"/>
            <w:vAlign w:val="bottom"/>
          </w:tcPr>
          <w:p>
            <w:pPr>
              <w:spacing w:after="0"/>
              <w:rPr>
                <w:sz w:val="11"/>
                <w:szCs w:val="11"/>
                <w:color w:val="auto"/>
              </w:rPr>
            </w:pPr>
          </w:p>
        </w:tc>
        <w:tc>
          <w:tcPr>
            <w:tcW w:w="720" w:type="dxa"/>
            <w:vAlign w:val="bottom"/>
            <w:gridSpan w:val="3"/>
          </w:tcPr>
          <w:p>
            <w:pPr>
              <w:jc w:val="center"/>
              <w:ind w:left="185"/>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left="245"/>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left="165"/>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left="165"/>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left="205"/>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5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Accumu</w:t>
            </w:r>
          </w:p>
        </w:tc>
        <w:tc>
          <w:tcPr>
            <w:tcW w:w="6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w:t>
            </w:r>
          </w:p>
        </w:tc>
      </w:tr>
      <w:tr>
        <w:trPr>
          <w:trHeight w:val="159"/>
        </w:trPr>
        <w:tc>
          <w:tcPr>
            <w:tcW w:w="1040" w:type="dxa"/>
            <w:vAlign w:val="bottom"/>
          </w:tcPr>
          <w:p>
            <w:pPr>
              <w:spacing w:after="0"/>
              <w:rPr>
                <w:sz w:val="13"/>
                <w:szCs w:val="13"/>
                <w:color w:val="auto"/>
              </w:rPr>
            </w:pPr>
          </w:p>
        </w:tc>
        <w:tc>
          <w:tcPr>
            <w:tcW w:w="720" w:type="dxa"/>
            <w:vAlign w:val="bottom"/>
            <w:tcBorders>
              <w:bottom w:val="single" w:sz="8" w:color="auto"/>
            </w:tcBorders>
            <w:gridSpan w:val="3"/>
          </w:tcPr>
          <w:p>
            <w:pPr>
              <w:jc w:val="center"/>
              <w:ind w:left="18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gridSpan w:val="2"/>
          </w:tcPr>
          <w:p>
            <w:pPr>
              <w:jc w:val="center"/>
              <w:ind w:left="24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2"/>
          </w:tcPr>
          <w:p>
            <w:pPr>
              <w:jc w:val="center"/>
              <w:ind w:left="26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gridSpan w:val="2"/>
          </w:tcPr>
          <w:p>
            <w:pPr>
              <w:jc w:val="center"/>
              <w:ind w:left="28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gridSpan w:val="2"/>
          </w:tcPr>
          <w:p>
            <w:pPr>
              <w:jc w:val="center"/>
              <w:ind w:left="325"/>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25"/>
              <w:spacing w:after="0"/>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lated</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ers'</w:t>
            </w:r>
          </w:p>
        </w:tc>
      </w:tr>
      <w:tr>
        <w:trPr>
          <w:trHeight w:val="132"/>
        </w:trPr>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Amou</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Amou</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04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3"/>
              </w:rPr>
              <w:t>nt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unt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74"/>
              </w:rPr>
              <w:t>nt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74"/>
              </w:rPr>
              <w:t>nt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w w:val="93"/>
              </w:rPr>
              <w:t>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16"/>
        </w:trPr>
        <w:tc>
          <w:tcPr>
            <w:tcW w:w="10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4"/>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5,075,0</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73,598,28</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22,0</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53,271,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47,3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6"/>
              </w:rPr>
              <w:t>120,0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3,842,69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10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3,642</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(81,335 )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(77,693 )</w:t>
            </w: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2"/>
                <w:szCs w:val="12"/>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1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FF0FC"/>
          </w:tcPr>
          <w:p>
            <w:pPr>
              <w:spacing w:after="0"/>
              <w:rPr>
                <w:sz w:val="12"/>
                <w:szCs w:val="12"/>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(8,667 )</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(8,667 )</w:t>
            </w: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4"/>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31, 2023</w:t>
            </w: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5,075,0</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73,598,28</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22,0</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53,271,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47,3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6"/>
              </w:rPr>
              <w:t>120,0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3,856,35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4"/>
        </w:trPr>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(90,002 )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(86,113 )</w:t>
            </w: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04"/>
        </w:trPr>
        <w:tc>
          <w:tcPr>
            <w:tcW w:w="1040" w:type="dxa"/>
            <w:vAlign w:val="bottom"/>
          </w:tcPr>
          <w:p>
            <w:pPr>
              <w:spacing w:after="0"/>
              <w:rPr>
                <w:sz w:val="9"/>
                <w:szCs w:val="9"/>
                <w:color w:val="auto"/>
              </w:rPr>
            </w:pPr>
          </w:p>
        </w:tc>
        <w:tc>
          <w:tcPr>
            <w:tcW w:w="720" w:type="dxa"/>
            <w:vAlign w:val="bottom"/>
            <w:gridSpan w:val="3"/>
          </w:tcPr>
          <w:p>
            <w:pPr>
              <w:jc w:val="center"/>
              <w:ind w:left="205"/>
              <w:spacing w:after="0" w:line="104" w:lineRule="exact"/>
              <w:rPr>
                <w:sz w:val="20"/>
                <w:szCs w:val="20"/>
                <w:color w:val="auto"/>
              </w:rPr>
            </w:pPr>
            <w:r>
              <w:rPr>
                <w:rFonts w:ascii="Times New Roman" w:cs="Times New Roman" w:eastAsia="Times New Roman" w:hAnsi="Times New Roman"/>
                <w:sz w:val="11"/>
                <w:szCs w:val="11"/>
                <w:b w:val="1"/>
                <w:bCs w:val="1"/>
                <w:color w:val="auto"/>
                <w:w w:val="95"/>
              </w:rPr>
              <w:t>Series A-1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left="225"/>
              <w:spacing w:after="0" w:line="104" w:lineRule="exact"/>
              <w:rPr>
                <w:sz w:val="20"/>
                <w:szCs w:val="20"/>
                <w:color w:val="auto"/>
              </w:rPr>
            </w:pPr>
            <w:r>
              <w:rPr>
                <w:rFonts w:ascii="Times New Roman" w:cs="Times New Roman" w:eastAsia="Times New Roman" w:hAnsi="Times New Roman"/>
                <w:sz w:val="11"/>
                <w:szCs w:val="11"/>
                <w:b w:val="1"/>
                <w:bCs w:val="1"/>
                <w:color w:val="auto"/>
                <w:w w:val="99"/>
              </w:rPr>
              <w:t>Series B</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left="285"/>
              <w:spacing w:after="0" w:line="104"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jc w:val="center"/>
              <w:ind w:left="185"/>
              <w:spacing w:after="0" w:line="104" w:lineRule="exact"/>
              <w:rPr>
                <w:sz w:val="20"/>
                <w:szCs w:val="20"/>
                <w:color w:val="auto"/>
              </w:rPr>
            </w:pPr>
            <w:r>
              <w:rPr>
                <w:rFonts w:ascii="Times New Roman" w:cs="Times New Roman" w:eastAsia="Times New Roman" w:hAnsi="Times New Roman"/>
                <w:sz w:val="11"/>
                <w:szCs w:val="11"/>
                <w:b w:val="1"/>
                <w:bCs w:val="1"/>
                <w:color w:val="auto"/>
                <w:w w:val="97"/>
              </w:rPr>
              <w:t>Series 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3"/>
          </w:tcPr>
          <w:p>
            <w:pPr>
              <w:jc w:val="center"/>
              <w:ind w:left="205"/>
              <w:spacing w:after="0" w:line="104" w:lineRule="exact"/>
              <w:rPr>
                <w:sz w:val="20"/>
                <w:szCs w:val="20"/>
                <w:color w:val="auto"/>
              </w:rPr>
            </w:pPr>
            <w:r>
              <w:rPr>
                <w:rFonts w:ascii="Times New Roman" w:cs="Times New Roman" w:eastAsia="Times New Roman" w:hAnsi="Times New Roman"/>
                <w:sz w:val="11"/>
                <w:szCs w:val="11"/>
                <w:b w:val="1"/>
                <w:bCs w:val="1"/>
                <w:color w:val="auto"/>
                <w:w w:val="94"/>
              </w:rPr>
              <w:t>Series 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left="266"/>
              <w:spacing w:after="0" w:line="104" w:lineRule="exact"/>
              <w:rPr>
                <w:sz w:val="20"/>
                <w:szCs w:val="20"/>
                <w:color w:val="auto"/>
              </w:rPr>
            </w:pPr>
            <w:r>
              <w:rPr>
                <w:rFonts w:ascii="Times New Roman" w:cs="Times New Roman" w:eastAsia="Times New Roman" w:hAnsi="Times New Roman"/>
                <w:sz w:val="11"/>
                <w:szCs w:val="11"/>
                <w:b w:val="1"/>
                <w:bCs w:val="1"/>
                <w:color w:val="auto"/>
                <w:w w:val="95"/>
              </w:rPr>
              <w:t>Series 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1040" w:type="dxa"/>
            <w:vAlign w:val="bottom"/>
          </w:tcPr>
          <w:p>
            <w:pPr>
              <w:spacing w:after="0"/>
              <w:rPr>
                <w:sz w:val="10"/>
                <w:szCs w:val="10"/>
                <w:color w:val="auto"/>
              </w:rPr>
            </w:pPr>
          </w:p>
        </w:tc>
        <w:tc>
          <w:tcPr>
            <w:tcW w:w="108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860" w:type="dxa"/>
            <w:vAlign w:val="bottom"/>
            <w:gridSpan w:val="2"/>
          </w:tcPr>
          <w:p>
            <w:pPr>
              <w:jc w:val="center"/>
              <w:ind w:left="245"/>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left="165"/>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820" w:type="dxa"/>
            <w:vAlign w:val="bottom"/>
            <w:gridSpan w:val="3"/>
          </w:tcPr>
          <w:p>
            <w:pPr>
              <w:jc w:val="center"/>
              <w:ind w:left="205"/>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1040" w:type="dxa"/>
            <w:vAlign w:val="bottom"/>
          </w:tcPr>
          <w:p>
            <w:pPr>
              <w:spacing w:after="0"/>
              <w:rPr>
                <w:sz w:val="10"/>
                <w:szCs w:val="10"/>
                <w:color w:val="auto"/>
              </w:rPr>
            </w:pPr>
          </w:p>
        </w:tc>
        <w:tc>
          <w:tcPr>
            <w:tcW w:w="1080" w:type="dxa"/>
            <w:vAlign w:val="bottom"/>
            <w:gridSpan w:val="5"/>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860" w:type="dxa"/>
            <w:vAlign w:val="bottom"/>
            <w:gridSpan w:val="2"/>
          </w:tcPr>
          <w:p>
            <w:pPr>
              <w:jc w:val="center"/>
              <w:ind w:left="205"/>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left="145"/>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left="145"/>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85"/>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4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22"/>
        </w:trPr>
        <w:tc>
          <w:tcPr>
            <w:tcW w:w="1040" w:type="dxa"/>
            <w:vAlign w:val="bottom"/>
          </w:tcPr>
          <w:p>
            <w:pPr>
              <w:spacing w:after="0"/>
              <w:rPr>
                <w:sz w:val="10"/>
                <w:szCs w:val="10"/>
                <w:color w:val="auto"/>
              </w:rPr>
            </w:pPr>
          </w:p>
        </w:tc>
        <w:tc>
          <w:tcPr>
            <w:tcW w:w="720" w:type="dxa"/>
            <w:vAlign w:val="bottom"/>
            <w:gridSpan w:val="3"/>
          </w:tcPr>
          <w:p>
            <w:pPr>
              <w:jc w:val="center"/>
              <w:ind w:left="185"/>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left="245"/>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left="165"/>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left="165"/>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05"/>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5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Accumul</w:t>
            </w:r>
          </w:p>
        </w:tc>
        <w:tc>
          <w:tcPr>
            <w:tcW w:w="6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w:t>
            </w:r>
          </w:p>
        </w:tc>
      </w:tr>
      <w:tr>
        <w:trPr>
          <w:trHeight w:val="148"/>
        </w:trPr>
        <w:tc>
          <w:tcPr>
            <w:tcW w:w="1040" w:type="dxa"/>
            <w:vAlign w:val="bottom"/>
          </w:tcPr>
          <w:p>
            <w:pPr>
              <w:spacing w:after="0"/>
              <w:rPr>
                <w:sz w:val="12"/>
                <w:szCs w:val="12"/>
                <w:color w:val="auto"/>
              </w:rPr>
            </w:pPr>
          </w:p>
        </w:tc>
        <w:tc>
          <w:tcPr>
            <w:tcW w:w="620" w:type="dxa"/>
            <w:vAlign w:val="bottom"/>
            <w:tcBorders>
              <w:bottom w:val="single" w:sz="8" w:color="auto"/>
            </w:tcBorders>
            <w:gridSpan w:val="2"/>
          </w:tcPr>
          <w:p>
            <w:pPr>
              <w:jc w:val="center"/>
              <w:ind w:left="30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gridSpan w:val="2"/>
          </w:tcPr>
          <w:p>
            <w:pPr>
              <w:jc w:val="center"/>
              <w:ind w:left="22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28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gridSpan w:val="2"/>
          </w:tcPr>
          <w:p>
            <w:pPr>
              <w:jc w:val="center"/>
              <w:ind w:left="30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jc w:val="center"/>
              <w:ind w:left="30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rs'</w:t>
            </w:r>
          </w:p>
        </w:tc>
      </w:tr>
      <w:tr>
        <w:trPr>
          <w:trHeight w:val="113"/>
        </w:trPr>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6"/>
        </w:trPr>
        <w:tc>
          <w:tcPr>
            <w:tcW w:w="10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unt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2"/>
                <w:szCs w:val="12"/>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r>
      <w:tr>
        <w:trPr>
          <w:trHeight w:val="117"/>
        </w:trPr>
        <w:tc>
          <w:tcPr>
            <w:tcW w:w="104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4"/>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5,075,0</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73,598,28</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22,0</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53,271,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3"/>
              </w:rPr>
              <w:t>47,3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6"/>
              </w:rPr>
              <w:t>120,0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105,</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5,222,28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(129,94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10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81,587,937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(123,100 )</w:t>
            </w: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7"/>
              </w:rPr>
              <w:t>redeemable convertible</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(73,598,28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(120,</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5,02</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38,413,9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000 )</w:t>
            </w:r>
          </w:p>
        </w:tc>
        <w:tc>
          <w:tcPr>
            <w:tcW w:w="10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(11,973,000 )</w:t>
            </w:r>
          </w:p>
        </w:tc>
        <w:tc>
          <w:tcPr>
            <w:tcW w:w="6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754 )</w:t>
            </w:r>
          </w:p>
        </w:tc>
        <w:tc>
          <w:tcPr>
            <w:tcW w:w="12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300 )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0 )</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100" w:type="dxa"/>
            <w:vAlign w:val="bottom"/>
          </w:tcPr>
          <w:p>
            <w:pPr>
              <w:spacing w:after="0"/>
              <w:rPr>
                <w:sz w:val="12"/>
                <w:szCs w:val="12"/>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1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100" w:type="dxa"/>
            <w:vAlign w:val="bottom"/>
            <w:shd w:val="clear" w:color="auto" w:fill="CFF0FC"/>
          </w:tcPr>
          <w:p>
            <w:pPr>
              <w:spacing w:after="0"/>
              <w:rPr>
                <w:sz w:val="12"/>
                <w:szCs w:val="12"/>
                <w:color w:val="auto"/>
              </w:rPr>
            </w:pP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2"/>
                <w:szCs w:val="12"/>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(16,932 )</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(16,932 )</w:t>
            </w: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66,636,2</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(146,87</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715,807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4 )  $</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568,940</w:t>
            </w:r>
          </w:p>
        </w:tc>
        <w:tc>
          <w:tcPr>
            <w:tcW w:w="100" w:type="dxa"/>
            <w:vAlign w:val="bottom"/>
            <w:shd w:val="clear" w:color="auto" w:fill="CFF0FC"/>
          </w:tcPr>
          <w:p>
            <w:pPr>
              <w:spacing w:after="0"/>
              <w:rPr>
                <w:sz w:val="14"/>
                <w:szCs w:val="14"/>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-2237105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-2219325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-2237105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-2219325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-2237105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-2219325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-2237105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-2219325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-2237105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-2219325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-2237105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-2219325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-2237105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-2219325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-2237105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-2219325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-2237105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-2237105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-2219325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-2237105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-2219325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-2237105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-2219325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-2237105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-2219325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-2237105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-2219325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-2237105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-25400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-25400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-8255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-25400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-8255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-25400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-8255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-25400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-8255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(16,932 )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(8,667 )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loan fees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Final payment amortization</w:t>
            </w:r>
          </w:p>
        </w:tc>
        <w:tc>
          <w:tcPr>
            <w:tcW w:w="32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Success fee amortization</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discount) amortization of premium on short-term investments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(2,199 )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and current assets</w:t>
            </w: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(5,654 )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(4,129 )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(26,012</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(453,297 )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(78,699 )</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(307,444</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success fee or long-term debt</w:t>
            </w: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(365 )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(3,387 )</w:t>
            </w: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402,658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 and restricted cash</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(87,450 )</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77,468</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00" w:type="dxa"/>
            <w:vAlign w:val="bottom"/>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Reclassification of 38,413,909 redeemable convertible preferred stock to 38,413,909 shares of common</w:t>
            </w: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307,890</w:t>
            </w:r>
          </w:p>
        </w:tc>
        <w:tc>
          <w:tcPr>
            <w:tcW w:w="2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deferred offering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-3578225</wp:posOffset>
            </wp:positionV>
            <wp:extent cx="9398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-3578225</wp:posOffset>
            </wp:positionV>
            <wp:extent cx="9398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-2789555</wp:posOffset>
            </wp:positionV>
            <wp:extent cx="9398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-2789555</wp:posOffset>
            </wp:positionV>
            <wp:extent cx="9398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-1846580</wp:posOffset>
            </wp:positionV>
            <wp:extent cx="9398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-1846580</wp:posOffset>
            </wp:positionV>
            <wp:extent cx="9398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-1353820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-676275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-659130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-205105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Cold Genesys Inc. was incorporated in California in September 2010, reincorporated in Delaware in November 2017 and is headquartered in Irvine, California. Cold Genesys, Inc. changed its name to CG Oncology, Inc. (the Company), in March 2020. The Company is a late-stage clinical biopharmaceutical company focused on developing and commercializing its product candidate, cretostimogene, for patients with bladder cancer. The Company is at a clinical stage and does not project to generate significant revenues if and until the U.S. Food and Drug Administration (FDA) approves its primary asset, cretostimogene.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condensed financial statements, on a retrospective basis, to reflect the reverse stock split for all periods presented. The par value of the common stock and preferred stock was not adjusted as a result of the reverse stock split.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offering, were proportionally adjusted. Stockholders entitled to fractional shares as a result of the reverse stock split will receive a cash payment in lieu of receiving fractional shares.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initial public offering (IPO) of 20,000,000 common shares at a price of $19.00 per share. Additionally, the underwriters exercised their option to purchase an additional 3,000,000 at a price of $19.00 per share. The common shares began trading on the Nasdaq Global Market on January 25, 2024, under the symbol "CGON". The Company received net proceeds of $399.6 million, after deducting discounts and commissions and other offering expenses. In addition, as a result of its IPO, the Company’s convertible preferred stock converted into common stock concurrently with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March 31, 2024 and for the three months ended March 31, 2024 and 2023 have been prepared in accordance with U.S. generally accepted accounting principle (U.S. GAAP) for interim financial information and pursuant to Article 10 of Regulation of the Securities Act of 1933, as amended. Accordingly, they do not include all of the information and notes required by U.S. GAAP for complete financial statements. Pursuant to these SEC rules and regulations, the Company has condensed or omitted certain financial information and disclosures normally included in annual financial statements prepared in accordance with GAAP. In the opinion of management, the interim financial statements reflect all adjustments, which include only normal and recurring adjustments, considered necessary for a fair statement of the interim periods.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included in our Annual Report on Form 10-K for the year ended December 31, 2023 (2023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the Company had approximately $566.5 million of cash, cash equivalents and marketable securities and working capital of approximately $568.6 million. The Company has a relatively limited operating history, and the revenue and income potential of the Company’s business and market are unproven. The Company has experienced net losses and negative cash flows from operations since its inception and, as of March 31, 2024, the Company had an accumulated deficit of $146.9 million. During the three months ended March 31, 2024, the Company incurred a net loss of $16.9 million and negative cash flows from operations of $26.0 million.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appearing in its 2023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as deferred offering costs all direct and incremental legal, professional, accounting and other third-party fees incurred in connection with the Company’s IPO. The deferred offering costs were offset against the IPO proceeds upon the consummation of an offering. As of March 31, 2024 and December 31, 2023, the Company had zero and $4.7 million, respectively, in deferred offering costs, of which less than $0.1 million were in accrued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Redeemable Convertible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Classification of the Company’s Series A-1, B, C, D, E and F redeemable convertible preferred stock as of December 31, 2023 was being treated as mezzanine equity and not as part of stockholders’ deficit because the holders of such shares had liquidation rights in the event of a deemed liquidation that, in certain situations, were not solely within the control of the Company and would have required the redemption of the then-outstanding redeemable convertible preferred stock. In addition, all of the Company’s redeemable convertible preferred stock was redeemable with the passage of time on or after July 28, 2028, by class and if requested by a requisite majority of each class. As a result of the Company’s IPO, the Company’s redeemable convertible preferred stock converted into common stock concurrently with the IPO.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condensed financial statements.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Improvements to Reportable Segment Disclosures. The guidance includes the requirements that a public entity disclose, on an annual and interim basis, 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The guidance also requires that a public entity that has a single reportable segment provide all the disclosures required by the guidance and all existing segment disclosures in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guidance is effective for fiscal years beginning after December 15, 2023, and interim periods within fiscal years beginning after December 15, 2024. Early adoption is permitted. A public entity should apply the amendments in the guidance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impact that this guidance may have on its financial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For public business entities, the guidance is effective for annual periods beginning after December 15, 2024.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March 31, 2024 and December 31, 2023,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489,040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489,040</w:t>
            </w:r>
          </w:p>
        </w:tc>
        <w:tc>
          <w:tcPr>
            <w:tcW w:w="100" w:type="dxa"/>
            <w:vAlign w:val="bottom"/>
            <w:shd w:val="clear" w:color="auto" w:fill="CFF0FC"/>
          </w:tcPr>
          <w:p>
            <w:pPr>
              <w:spacing w:after="0"/>
              <w:rPr>
                <w:sz w:val="21"/>
                <w:szCs w:val="21"/>
                <w:color w:val="auto"/>
              </w:rPr>
            </w:pPr>
          </w:p>
        </w:tc>
      </w:tr>
      <w:tr>
        <w:trPr>
          <w:trHeight w:val="418"/>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100" w:type="dxa"/>
            <w:vAlign w:val="bottom"/>
            <w:shd w:val="clear" w:color="auto" w:fill="CFF0FC"/>
          </w:tcPr>
          <w:p>
            <w:pPr>
              <w:spacing w:after="0"/>
              <w:rPr>
                <w:sz w:val="21"/>
                <w:szCs w:val="21"/>
                <w:color w:val="auto"/>
              </w:rPr>
            </w:pPr>
          </w:p>
        </w:tc>
      </w:tr>
      <w:tr>
        <w:trPr>
          <w:trHeight w:val="47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 fee liability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success fee liability associated with the Loan and Security Agreement (the Loan Agreement) the Company entered into in January 2021 was classified as a Level 3 fair value measurement, due to the use of unobservable inputs. On March 5, 2024, the Company paid $0.4 million for the success fee. See Note 10 for additional information on the success fee.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2024 and the year ended December 31,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March 31,2024 and as of December 31, 2023 were as follows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66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FF0FC"/>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6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had two operating leases, in which the Company was the lessee for office space. As of March 31, 2024 and December 31, 2023, the lease terms were through 2025 and 2026. The Company had no finance leases as of March 31, 2024 and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as of March 31, 2024 and 2023 were as follows (in thousands):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0" w:type="dxa"/>
            <w:vAlign w:val="bottom"/>
            <w:gridSpan w:val="9"/>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1120" w:type="dxa"/>
            <w:vAlign w:val="bottom"/>
          </w:tcPr>
          <w:p>
            <w:pPr>
              <w:spacing w:after="0"/>
              <w:rPr>
                <w:sz w:val="20"/>
                <w:szCs w:val="20"/>
                <w:color w:val="auto"/>
              </w:rPr>
            </w:pPr>
          </w:p>
        </w:tc>
        <w:tc>
          <w:tcPr>
            <w:tcW w:w="5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6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1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r>
      <w:tr>
        <w:trPr>
          <w:trHeight w:val="276"/>
        </w:trPr>
        <w:tc>
          <w:tcPr>
            <w:tcW w:w="1120" w:type="dxa"/>
            <w:vAlign w:val="bottom"/>
          </w:tcPr>
          <w:p>
            <w:pPr>
              <w:spacing w:after="0"/>
              <w:rPr>
                <w:sz w:val="24"/>
                <w:szCs w:val="24"/>
                <w:color w:val="auto"/>
              </w:rPr>
            </w:pPr>
          </w:p>
        </w:tc>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r>
      <w:tr>
        <w:trPr>
          <w:trHeight w:val="226"/>
        </w:trPr>
        <w:tc>
          <w:tcPr>
            <w:tcW w:w="112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120" w:type="dxa"/>
            <w:vAlign w:val="bottom"/>
          </w:tcPr>
          <w:p>
            <w:pPr>
              <w:spacing w:after="0"/>
              <w:rPr>
                <w:sz w:val="18"/>
                <w:szCs w:val="18"/>
                <w:color w:val="auto"/>
              </w:rPr>
            </w:pPr>
          </w:p>
        </w:tc>
        <w:tc>
          <w:tcPr>
            <w:tcW w:w="5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120" w:type="dxa"/>
            <w:vAlign w:val="bottom"/>
          </w:tcPr>
          <w:p>
            <w:pPr>
              <w:spacing w:after="0"/>
              <w:rPr>
                <w:sz w:val="21"/>
                <w:szCs w:val="21"/>
                <w:color w:val="auto"/>
              </w:rPr>
            </w:pPr>
          </w:p>
        </w:tc>
        <w:tc>
          <w:tcPr>
            <w:tcW w:w="50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lease liabilities, included in operating cash flows</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r>
      <w:tr>
        <w:trPr>
          <w:trHeight w:val="234"/>
        </w:trPr>
        <w:tc>
          <w:tcPr>
            <w:tcW w:w="1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6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r>
      <w:tr>
        <w:trPr>
          <w:trHeight w:val="238"/>
        </w:trPr>
        <w:tc>
          <w:tcPr>
            <w:tcW w:w="1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60" w:type="dxa"/>
            <w:vAlign w:val="bottom"/>
          </w:tcPr>
          <w:p>
            <w:pPr>
              <w:spacing w:after="0"/>
              <w:rPr>
                <w:sz w:val="20"/>
                <w:szCs w:val="20"/>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2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473"/>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2024 were as follows (in thousands):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Ending March 31,</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740" w:type="dxa"/>
            <w:vAlign w:val="bottom"/>
            <w:gridSpan w:val="2"/>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tcBorders>
              <w:left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1740" w:type="dxa"/>
            <w:vAlign w:val="bottom"/>
            <w:gridSpan w:val="2"/>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1740" w:type="dxa"/>
            <w:vAlign w:val="bottom"/>
            <w:gridSpan w:val="2"/>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Borders>
              <w:left w:val="single" w:sz="8" w:color="CFF0FC"/>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740" w:type="dxa"/>
            <w:vAlign w:val="bottom"/>
            <w:gridSpan w:val="2"/>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spacing w:after="0"/>
              <w:rPr>
                <w:sz w:val="20"/>
                <w:szCs w:val="20"/>
                <w:color w:val="auto"/>
              </w:rPr>
            </w:pPr>
          </w:p>
        </w:tc>
      </w:tr>
      <w:tr>
        <w:trPr>
          <w:trHeight w:val="241"/>
        </w:trPr>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tcBorders>
              <w:left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860" w:type="dxa"/>
            <w:vAlign w:val="bottom"/>
            <w:shd w:val="clear" w:color="auto" w:fill="CFF0FC"/>
          </w:tcPr>
          <w:p>
            <w:pPr>
              <w:spacing w:after="0"/>
              <w:rPr>
                <w:sz w:val="22"/>
                <w:szCs w:val="22"/>
                <w:color w:val="auto"/>
              </w:rPr>
            </w:pP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60" w:type="dxa"/>
            <w:vAlign w:val="bottom"/>
            <w:tcBorders>
              <w:left w:val="single" w:sz="8" w:color="CFF0FC"/>
            </w:tcBorders>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left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-1824990</wp:posOffset>
            </wp:positionV>
            <wp:extent cx="505777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-2451100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-2433955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-2451100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-2433955</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condensed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judgment that an assignment and technology transfer agreement between the Company and ANI, dated November 15, 2010, obligates the Company to pay ANI a royalty on certain "net sales" of cretostimogene. The Company disputes the allegations raised in the case and intends to vigorously defend the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March 31, 2024, the Company had not experienced any losses related to these indemnification obligations, and no claims with respect thereto were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$0.5 million and zero in development income for the three months ended March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Kissei Agreement to determine whether it is a collaborative arrangement 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concluded the Kissei Agreement is a collaborative agreement under ASC 808, as the Kissei Agreement involves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zero and $0.2 million in development income for the three months ended March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and 493,530,000 shares of common stock at March 31, 2024 and December 31, 2023, respectively, of which 66,636,252 and 5,222,283 shares were issued and outstanding at March 31, 2024 and December 31,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reserved the following shares of common stock for issuance upon conversion of the outstanding and exercise of stock options:</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5520" w:type="dxa"/>
            <w:vAlign w:val="bottom"/>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available for issuance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7,788,535</w:t>
            </w:r>
          </w:p>
        </w:tc>
        <w:tc>
          <w:tcPr>
            <w:tcW w:w="60" w:type="dxa"/>
            <w:vAlign w:val="bottom"/>
            <w:shd w:val="clear" w:color="auto" w:fill="CFF0FC"/>
          </w:tcPr>
          <w:p>
            <w:pPr>
              <w:spacing w:after="0"/>
              <w:rPr>
                <w:sz w:val="20"/>
                <w:szCs w:val="20"/>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5,998,420</w:t>
            </w:r>
          </w:p>
        </w:tc>
        <w:tc>
          <w:tcPr>
            <w:tcW w:w="60" w:type="dxa"/>
            <w:vAlign w:val="bottom"/>
          </w:tcPr>
          <w:p>
            <w:pPr>
              <w:spacing w:after="0"/>
              <w:rPr>
                <w:sz w:val="20"/>
                <w:szCs w:val="20"/>
                <w:color w:val="auto"/>
              </w:rPr>
            </w:pPr>
          </w:p>
        </w:tc>
      </w:tr>
      <w:tr>
        <w:trPr>
          <w:trHeight w:val="277"/>
        </w:trPr>
        <w:tc>
          <w:tcPr>
            <w:tcW w:w="5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13,786,955</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March 31, 2024, there were 1,743,673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March 31, 2024, there were 3,759,940 shares of common stock subject to outstanding awards under the 2022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March 31, 2024, there were 494,807 shares of common stock subject to outstanding awards and 7,788,535 shares of common stock remaining and available for issuance under the 2024 Plan.</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to be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months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4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4720" w:type="dxa"/>
            <w:vAlign w:val="bottom"/>
          </w:tcPr>
          <w:p>
            <w:pPr>
              <w:spacing w:after="0"/>
              <w:rPr>
                <w:sz w:val="14"/>
                <w:szCs w:val="14"/>
                <w:color w:val="auto"/>
              </w:rPr>
            </w:pPr>
          </w:p>
        </w:tc>
        <w:tc>
          <w:tcPr>
            <w:tcW w:w="114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FF0FC"/>
          </w:tcPr>
          <w:p>
            <w:pPr>
              <w:jc w:val="center"/>
              <w:ind w:left="356"/>
              <w:spacing w:after="0"/>
              <w:rPr>
                <w:sz w:val="20"/>
                <w:szCs w:val="20"/>
                <w:color w:val="auto"/>
              </w:rPr>
            </w:pPr>
            <w:r>
              <w:rPr>
                <w:rFonts w:ascii="Times New Roman" w:cs="Times New Roman" w:eastAsia="Times New Roman" w:hAnsi="Times New Roman"/>
                <w:sz w:val="18"/>
                <w:szCs w:val="18"/>
                <w:color w:val="auto"/>
                <w:w w:val="98"/>
              </w:rPr>
              <w:t>84.5%</w:t>
            </w:r>
          </w:p>
        </w:tc>
        <w:tc>
          <w:tcPr>
            <w:tcW w:w="2000" w:type="dxa"/>
            <w:vAlign w:val="bottom"/>
            <w:gridSpan w:val="3"/>
            <w:shd w:val="clear" w:color="auto" w:fill="CFF0FC"/>
          </w:tcPr>
          <w:p>
            <w:pPr>
              <w:jc w:val="center"/>
              <w:ind w:left="434"/>
              <w:spacing w:after="0"/>
              <w:rPr>
                <w:sz w:val="20"/>
                <w:szCs w:val="20"/>
                <w:color w:val="auto"/>
              </w:rPr>
            </w:pPr>
            <w:r>
              <w:rPr>
                <w:rFonts w:ascii="Times New Roman" w:cs="Times New Roman" w:eastAsia="Times New Roman" w:hAnsi="Times New Roman"/>
                <w:sz w:val="18"/>
                <w:szCs w:val="18"/>
                <w:color w:val="auto"/>
                <w:w w:val="99"/>
              </w:rPr>
              <w:t>82.9% - 83.7%</w:t>
            </w: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rPr>
              <w:t>3.93 %</w:t>
            </w:r>
          </w:p>
        </w:tc>
        <w:tc>
          <w:tcPr>
            <w:tcW w:w="200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color w:val="auto"/>
                <w:w w:val="99"/>
              </w:rPr>
              <w:t>3.58% - 3.82%</w:t>
            </w:r>
          </w:p>
        </w:tc>
      </w:tr>
      <w:tr>
        <w:trPr>
          <w:trHeight w:val="24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FF0FC"/>
          </w:tcPr>
          <w:p>
            <w:pPr>
              <w:jc w:val="center"/>
              <w:ind w:left="336"/>
              <w:spacing w:after="0"/>
              <w:rPr>
                <w:sz w:val="20"/>
                <w:szCs w:val="20"/>
                <w:color w:val="auto"/>
              </w:rPr>
            </w:pPr>
            <w:r>
              <w:rPr>
                <w:rFonts w:ascii="Times New Roman" w:cs="Times New Roman" w:eastAsia="Times New Roman" w:hAnsi="Times New Roman"/>
                <w:sz w:val="18"/>
                <w:szCs w:val="18"/>
                <w:color w:val="auto"/>
                <w:w w:val="99"/>
              </w:rPr>
              <w:t>0%</w:t>
            </w:r>
          </w:p>
        </w:tc>
        <w:tc>
          <w:tcPr>
            <w:tcW w:w="2000" w:type="dxa"/>
            <w:vAlign w:val="bottom"/>
            <w:gridSpan w:val="3"/>
            <w:shd w:val="clear" w:color="auto" w:fill="CFF0FC"/>
          </w:tcPr>
          <w:p>
            <w:pPr>
              <w:jc w:val="center"/>
              <w:ind w:left="434"/>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rPr>
              <w:t>6.05</w:t>
            </w:r>
          </w:p>
        </w:tc>
        <w:tc>
          <w:tcPr>
            <w:tcW w:w="200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color w:val="auto"/>
              </w:rPr>
              <w:t>5.82</w:t>
            </w:r>
          </w:p>
        </w:tc>
      </w:tr>
    </w:tbl>
    <w:p>
      <w:pPr>
        <w:spacing w:after="0" w:line="2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the options granted was $13.94 and $1.62 per share for the three months ended March 31, 2024 and 2023, respectively. The fair value of shares vested during the three months ended March 31, 2024 and 2023 was $3.40 and $1.94 per share, respectively. The fair value of shares exercised during the three months ended March 31, 2024 and 2023 was $1.82 and $1.76 per share, respectively.</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2024 (in thousands, except share and per share amounts):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5,532,871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494,807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Forfeited/Expired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(29,198 )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5,998,420</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5,998,420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March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1,929,734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-333375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-316230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-316230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-333375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-316230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$1.5 million and $0.2 million for the three months ended March 31, 2024 and 2023, respectively. The Company had an aggregate $19.1 million of gross unrecognized stock-based compensation expense as of March 31, 2024 remaining to be amortized over a weighted average period of 2.8 years.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recorded in the accompanying statements of operations for the nine months ended March 31, 2024 and 2023 was as follows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5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3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20"/>
                <w:szCs w:val="20"/>
                <w:color w:val="auto"/>
              </w:rPr>
            </w:pP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1,517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2024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was declared effective by the SEC. The number of shares initially available for issuance pursuant to the 2024 ESPP is 812,242 shares. The 2024 ESPP </w:t>
      </w:r>
      <w:r>
        <w:rPr>
          <w:rFonts w:ascii="Times New Roman" w:cs="Times New Roman" w:eastAsia="Times New Roman" w:hAnsi="Times New Roman"/>
          <w:sz w:val="18"/>
          <w:szCs w:val="18"/>
          <w:color w:val="000000"/>
        </w:rPr>
        <w:t>provides for the sale of our common stock to eligible employees at 85% of the fair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market value of our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no purchases of shares under the ESPP during the three months ended March 31, 2024. On March 31, 2024, there were approximately 0.8 million shares available for issuance under the ESPP.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12, 2023, the Company repaid all outstanding principal and accrued and unpaid interest on the funds received under the Loan Agreement and all other outstanding obligations with respect to the funds received under the Loan Agreement and made a final payment. On March 5, 2024, the Company paid $0.4 million for the success fee under the Success Fee Agreement entered into in connection with the Loan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Cumulative redeemable convertible preferred</w:t>
            </w:r>
          </w:p>
        </w:tc>
        <w:tc>
          <w:tcPr>
            <w:tcW w:w="1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 dividends</w:t>
            </w:r>
          </w:p>
        </w:tc>
        <w:tc>
          <w:tcPr>
            <w:tcW w:w="16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(12,401 )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47,064,768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3,855,383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(0.36 )</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6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-925195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 March 31, 2024 and 2023 because including them would have had an anti-dilutive effect:</w:t>
      </w:r>
    </w:p>
    <w:p>
      <w:pPr>
        <w:spacing w:after="0" w:line="169"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2"/>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5,998,420</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3,449,548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5,998,420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3,449,548</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entered into an agreement with Danforth Advisors, LLC for the provision of interim Chief Financial Officer (CFO) services. Under the agreement, the Company paid Danforth Advisors, LLC for Stephen DiPalma’s services as part-time CFO approximately less than $0.1 million for services rendered for each of the three months ended March 31,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May 2024 and expect to report topline data by the end of 2024. If successful, we believe that this trial could serve as the basis for a Biologics License Application (BLA) submission to the U.S. Food and Drug Administration (FDA). We are also evaluating the use of cretostimogene when administered to this same patient population in combination with FDA-approved pembrolizumab in CORE-001, our ongoing Phase 2 clinical trial.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up to 364 intermediate-risk NMIBC patients following transurethral resection of the bladder tumor (TURBT). We believe cretostimogene, if approved, has the potential to serve as first-line therapy, thereby alleviating the current need to prioritize treatment recipients and ration administration of BCG given its significant market shortage.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$16.9 million and $8.7 million for the three months ended March 31, 2024 and 2023, respectively. As of March 31, 2024, we had an accumulated deficit of $146.9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the sale of common shares from our IPO, our redeemable convertible preferred stock and previously outstanding term debt. From inception through March 31, 2024, we have received aggregate gross proceeds of approximately $747.5 million from the sale of common shares from our IPO and sales of redeemable convertible preferred stock. In addition, from inception through March 31, 2024, we have recognized $25.5 million in research and collaboration revenue pursuant to our license and collaboration agreements. As of March 31, 2024, we had cash, cash equivalents and marketable securities of $566.5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2024, we completed our initial public offering of 23,000,000 common shares at a price of $19.00 per share, including the exercise in full by the underwriters of their option to purchase an additional 3,000,000 shares of common stock. We received net proceeds of $399.6 million, after deducting discounts and commissions and offering expenses. In addition, as a result of our initial public offering, our convertible preferred stock converted into common stock concurrently with the initial public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years ended December 31, 2023 and 2022, less than $0.1 million and zero collaboration revenue, respectively, was recorded related to the Lepu License Agreement. During the three months ended March 31, 2024 and 2023, $0.5 million and zero in collaboration revenue was recorded related to the Lepu License Agreement,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years ended December 31, 2023 and 2022, we recorded $0.2 million and $0.2 million, respectively in development income related to the Kissei License Agreement. During the three months ended March 31, 2024 and 2023, zero and $0.2 million in collaboration revenue was recorded related to the Kissei License Agreement,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inception through March 31, 2024, we have recognized $25.5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income related to interest earned on our invested cash and cash equivalents and marketable securities balances and expenses related to our previously outstanding term debt. We expect our interest income will increase as we invest the cash received from the net proceeds from our IPO.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consists of miscellaneous items, such as success fees and final payment amortization and other items not 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(9,368 )</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(3,715 )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(13,083 )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(22,469 )</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(9,721 )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(12,748 )</w:t>
            </w: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61"/>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CFF0FC"/>
            </w:tcBorders>
            <w:shd w:val="clear" w:color="auto" w:fill="CFF0FC"/>
          </w:tcPr>
          <w:p>
            <w:pPr>
              <w:spacing w:after="0"/>
              <w:rPr>
                <w:sz w:val="22"/>
                <w:szCs w:val="22"/>
                <w:color w:val="auto"/>
              </w:rPr>
            </w:pPr>
          </w:p>
        </w:tc>
        <w:tc>
          <w:tcPr>
            <w:tcW w:w="8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-1148080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-1148080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Collaboration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collaboration revenue was $0.5 million for the three months ended March 31, 2024 compared to $0.2 million for the three months ended March 31, 2023. We recorded $0.5 million and zero for the three months ended March 31, 2024 and 2023, in development revenue related to the Lepu License Agreement. We recorded zero and $0.2 million for the three months ended March 31, 2024 and 2023, respectively, in development revenue related to the Kissei License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March 31,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2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Facilities-related fees and other expenses</w:t>
            </w:r>
          </w:p>
        </w:tc>
        <w:tc>
          <w:tcPr>
            <w:tcW w:w="1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-1096645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-1096645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R&amp;D expenses were $17.2 million for the three months ended March 31, 2024 compared to $7.8 million for the three months ended March 31, 2023. The increase of $9.4 million in R&amp;D expenses for the three months ended March 31, 2024 was primarily due to an increase of $7.8 million in external clinical trial expenses related to higher CRO fees as patient enrollment increased and higher chemistry, manufacturing and control (CMC) and consultant and other third party expenses, an increase of $1.4 million in personnel-related expenses due to increased headcount for R&amp;D, and higher facilities-related, fees and other related costs of $0.2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2024 and 2023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Facilities-related fees and other expenses</w:t>
            </w:r>
          </w:p>
        </w:tc>
        <w:tc>
          <w:tcPr>
            <w:tcW w:w="8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$5.8 million for the three months ended March 31, 2024 compared to $2.1 million for the three months ended March 31, 2023. The increase of $3.7 million in general and administrative expenses for the three months ended March 31, 2023 was primarily due to an increase in personnel-related expenses of $2.1 million due to increased headcount, increased professional and consultant fees of $1.3 million related to legal, accounting and consulting fees and higher facilities-related, travel and marketing-related costs of $0.3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2024 was a net income of $5.5 million compared to a net income of $1.1 million for the three months ended March 31, 2023. For the three months ended March 31, 2024, other income (expense), net primarily consisted of $5.5 million in interest income related to marketable securities balances for the three months ended March 31, 2023, other income (expense), net primarily consisted of interest income of $1.0 million related to marketable securities balances.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in our initial public offering, the sale of shares of our redeemable convertible preferred stock and previously outstanding term debt. Through March 31, 2024, we have received aggregate gross proceeds of $747.5 million from the sale of common stock in our IPO and sale of redeemable convertible preferred stock. In addition, through March 31, 2024, we have recognized $25.5 million in research and collaboration revenue through our license and collaboration agreements. As of March 31, 2024, we had cash, cash equivalents and marketable securities of $566.5 million. On January 29, 2024, we closed our initial public offering of common stock for aggregate net proceeds of $399.6 million, after deducting discounts and commissions and offering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2" w:name="page23"/>
    <w:bookmarkEnd w:id="22"/>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March 31, 2024 and 2023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(7,986 )</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(307,444 )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(78,699 )</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402,658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22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(87,450 )</w:t>
            </w:r>
          </w:p>
        </w:tc>
        <w:tc>
          <w:tcPr>
            <w:tcW w:w="0" w:type="dxa"/>
            <w:vAlign w:val="bottom"/>
          </w:tcPr>
          <w:p>
            <w:pPr>
              <w:spacing w:after="0"/>
              <w:rPr>
                <w:sz w:val="1"/>
                <w:szCs w:val="1"/>
                <w:color w:val="auto"/>
              </w:rPr>
            </w:pPr>
          </w:p>
        </w:tc>
      </w:tr>
      <w:tr>
        <w:trPr>
          <w:trHeight w:val="20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-299720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$26.0 million of cash, primarily resulting from our net loss of $16.9 million, partially offset by non-cash charges of $1.5 million, including stock-based compensation expense and success fees, offset by the accretion of the discount on short-term investments and net cash used in changes in our operating assets and liabilities of $10.6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operating activities used $8.0 million of cash, primarily resulting from our net loss of $8.7 million, partially offset by non-cash charges of less than $0.3 million, including stock-based compensation expense and amortization associated with the term loan final payoff and success fees, and net cash used in changes in our operating assets and liabilities of $0.4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$307.4 million, primarily due to purchases of marketable securities offset by proceeds from sales and maturities of short-term investments.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investing activities was $78.7 million, primarily due to purchases of marketable securities.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was $402.7 million, consisting primarily of net proceeds from the initial public offering, net of issuance costs and deferred offering costs and the exercise of common stock options of $403.1 million offset by the long-term debt success fee pay-off of $0.4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financing activities was $0.8 million, consisting of payments of long-term debt of $0.8 million partially offset by the exercise of common stock options of less than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condensed financial statements are prepared in accordance with generally accepted accounting principles in the United States. The preparation of our condensed financial statements and related disclosures requires us to make estimates and judgments that affect the reported amounts of assets, liabilities, costs and expenses, and the disclosure of contingent assets and liabilities in our condensed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condensed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of March 31,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have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2023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2024, we granted to certain of our employees, directors, and consultants options to purchase an aggregate of 494,807 shares of common stock at an exercise price of $19.00 per share. The stock options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Rule 506 promulgated thereunder as a transaction not involving any public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March 31, 2024, we estimate that we have used approximately $20.9 million of the proceeds from our initial public offering for general corporate purposes, including to fund the research and development of cretostimogene, and manufacturing and pre-commercial activities. There has been no material change in the planned use of proceeds from that described in the final prospectus for our initial public offering filed with the SEC pursuant to Rule 424(b)(4) under the Securities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three months ended March 31, 2024, none of our officers or directors adopted, modified or terminated any such trading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3"/>
        </w:trPr>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gridSpan w:val="11"/>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tcPr>
          <w:p>
            <w:pPr>
              <w:spacing w:after="0"/>
              <w:rPr>
                <w:sz w:val="24"/>
                <w:szCs w:val="24"/>
                <w:color w:val="auto"/>
              </w:rPr>
            </w:pPr>
          </w:p>
        </w:tc>
        <w:tc>
          <w:tcPr>
            <w:tcW w:w="29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45"/>
        </w:trPr>
        <w:tc>
          <w:tcPr>
            <w:tcW w:w="3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38"/>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7"/>
        </w:trPr>
        <w:tc>
          <w:tcPr>
            <w:tcW w:w="1640" w:type="dxa"/>
            <w:vAlign w:val="bottom"/>
            <w:gridSpan w:val="2"/>
          </w:tcPr>
          <w:p>
            <w:pPr>
              <w:jc w:val="center"/>
              <w:ind w:left="210"/>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6"/>
                <w:szCs w:val="16"/>
                <w:color w:val="auto"/>
              </w:rPr>
            </w:pPr>
          </w:p>
        </w:tc>
        <w:tc>
          <w:tcPr>
            <w:tcW w:w="4820" w:type="dxa"/>
            <w:vAlign w:val="bottom"/>
            <w:gridSpan w:val="12"/>
          </w:tcPr>
          <w:p>
            <w:pPr>
              <w:ind w:left="20"/>
              <w:spacing w:after="0" w:line="188"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Certificate of Incorporation</w:t>
              </w:r>
            </w:hyperlink>
          </w:p>
        </w:tc>
        <w:tc>
          <w:tcPr>
            <w:tcW w:w="14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9"/>
                <w:szCs w:val="19"/>
                <w:color w:val="auto"/>
              </w:rPr>
            </w:pPr>
          </w:p>
        </w:tc>
        <w:tc>
          <w:tcPr>
            <w:tcW w:w="3700" w:type="dxa"/>
            <w:vAlign w:val="bottom"/>
            <w:tcBorders>
              <w:top w:val="single" w:sz="8" w:color="0000FF"/>
            </w:tcBorders>
            <w:gridSpan w:val="7"/>
          </w:tcPr>
          <w:p>
            <w:pPr>
              <w:ind w:left="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Bylaws</w:t>
              </w:r>
            </w:hyperlink>
          </w:p>
        </w:tc>
        <w:tc>
          <w:tcPr>
            <w:tcW w:w="1120" w:type="dxa"/>
            <w:vAlign w:val="bottom"/>
            <w:gridSpan w:val="5"/>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01/02/24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9"/>
                <w:szCs w:val="19"/>
                <w:color w:val="auto"/>
              </w:rPr>
            </w:pPr>
          </w:p>
        </w:tc>
        <w:tc>
          <w:tcPr>
            <w:tcW w:w="480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Specimen stock certificate evidencing the shares of common stock</w:t>
              </w:r>
            </w:hyperlink>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01/18/24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9"/>
                <w:szCs w:val="19"/>
                <w:color w:val="auto"/>
              </w:rPr>
            </w:pPr>
          </w:p>
        </w:tc>
        <w:tc>
          <w:tcPr>
            <w:tcW w:w="4680" w:type="dxa"/>
            <w:vAlign w:val="bottom"/>
            <w:tcBorders>
              <w:bottom w:val="single" w:sz="8" w:color="0000FF"/>
            </w:tcBorders>
            <w:gridSpan w:val="8"/>
          </w:tcPr>
          <w:p>
            <w:pPr>
              <w:ind w:lef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Investors’ Rights Agreement, dated July</w:t>
              </w:r>
            </w:hyperlink>
          </w:p>
        </w:tc>
        <w:tc>
          <w:tcPr>
            <w:tcW w:w="14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01/18/24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28, 2023, as amended, by and among the Registrant and certain of</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its stockholders</w:t>
              </w:r>
            </w:hyperlink>
          </w:p>
        </w:tc>
        <w:tc>
          <w:tcPr>
            <w:tcW w:w="368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6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47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Executive Officer, as required by Rule 13a-</w:t>
            </w:r>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9"/>
                <w:szCs w:val="19"/>
                <w:color w:val="auto"/>
              </w:rPr>
            </w:pPr>
          </w:p>
        </w:tc>
        <w:tc>
          <w:tcPr>
            <w:tcW w:w="4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as required by Rule 13a-</w:t>
            </w:r>
          </w:p>
        </w:tc>
        <w:tc>
          <w:tcPr>
            <w:tcW w:w="1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7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9"/>
                <w:szCs w:val="19"/>
                <w:color w:val="auto"/>
              </w:rPr>
            </w:pPr>
          </w:p>
        </w:tc>
        <w:tc>
          <w:tcPr>
            <w:tcW w:w="46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14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482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2"/>
                <w:szCs w:val="22"/>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5"/>
        </w:trPr>
        <w:tc>
          <w:tcPr>
            <w:tcW w:w="3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19"/>
                <w:szCs w:val="19"/>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9" w:lineRule="exact"/>
        <w:rPr>
          <w:sz w:val="20"/>
          <w:szCs w:val="20"/>
          <w:color w:val="auto"/>
        </w:rPr>
      </w:pPr>
    </w:p>
    <w:p>
      <w:pPr>
        <w:ind w:left="1800" w:right="5020" w:hanging="969"/>
        <w:spacing w:after="0" w:line="282" w:lineRule="auto"/>
        <w:tabs>
          <w:tab w:leader="none" w:pos="1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6" w:lineRule="exact"/>
        <w:rPr>
          <w:rFonts w:ascii="Times New Roman" w:cs="Times New Roman" w:eastAsia="Times New Roman" w:hAnsi="Times New Roman"/>
          <w:sz w:val="18"/>
          <w:szCs w:val="18"/>
          <w:color w:val="auto"/>
        </w:rPr>
      </w:pPr>
    </w:p>
    <w:p>
      <w:pPr>
        <w:ind w:left="5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9512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4340" w:type="dxa"/>
            <w:vAlign w:val="bottom"/>
          </w:tcPr>
          <w:p>
            <w:pPr>
              <w:spacing w:after="0"/>
              <w:rPr>
                <w:sz w:val="20"/>
                <w:szCs w:val="20"/>
                <w:color w:val="auto"/>
              </w:rPr>
            </w:pPr>
          </w:p>
        </w:tc>
      </w:tr>
      <w:tr>
        <w:trPr>
          <w:trHeight w:val="47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05"/>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rPr>
              <w:t>Arthur Kuan</w:t>
            </w:r>
          </w:p>
        </w:tc>
      </w:tr>
      <w:tr>
        <w:trPr>
          <w:trHeight w:val="230"/>
        </w:trPr>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34"/>
        </w:trPr>
        <w:tc>
          <w:tcPr>
            <w:tcW w:w="3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5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 Corleen Roche</w:t>
            </w:r>
          </w:p>
        </w:tc>
      </w:tr>
      <w:tr>
        <w:trPr>
          <w:trHeight w:val="205"/>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rPr>
              <w:t>Corleen Roche</w:t>
            </w:r>
          </w:p>
        </w:tc>
      </w:tr>
      <w:tr>
        <w:trPr>
          <w:trHeight w:val="229"/>
        </w:trPr>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62"/>
        </w:trPr>
        <w:tc>
          <w:tcPr>
            <w:tcW w:w="3400" w:type="dxa"/>
            <w:vAlign w:val="bottom"/>
          </w:tcPr>
          <w:p>
            <w:pPr>
              <w:spacing w:after="0"/>
              <w:rPr>
                <w:sz w:val="24"/>
                <w:szCs w:val="24"/>
                <w:color w:val="auto"/>
              </w:rPr>
            </w:pPr>
          </w:p>
        </w:tc>
        <w:tc>
          <w:tcPr>
            <w:tcW w:w="2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34"/>
        </w:trPr>
        <w:tc>
          <w:tcPr>
            <w:tcW w:w="348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Kuan</w:t>
            </w:r>
          </w:p>
        </w:tc>
      </w:tr>
      <w:tr>
        <w:trPr>
          <w:trHeight w:val="238"/>
        </w:trPr>
        <w:tc>
          <w:tcPr>
            <w:tcW w:w="348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34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Corleen Roche, certify that:</w:t>
      </w:r>
    </w:p>
    <w:p>
      <w:pPr>
        <w:spacing w:after="0" w:line="117"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580" w:val="left"/>
          <w:tab w:leader="none" w:pos="62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26035</wp:posOffset>
            </wp:positionV>
            <wp:extent cx="31629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0" w:lineRule="exact"/>
        <w:rPr>
          <w:sz w:val="20"/>
          <w:szCs w:val="20"/>
          <w:color w:val="auto"/>
        </w:rPr>
      </w:pPr>
    </w:p>
    <w:p>
      <w:pPr>
        <w:ind w:left="560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Corleen Roche</w:t>
      </w:r>
    </w:p>
    <w:p>
      <w:pPr>
        <w:spacing w:after="0" w:line="36" w:lineRule="exact"/>
        <w:rPr>
          <w:sz w:val="20"/>
          <w:szCs w:val="20"/>
          <w:color w:val="auto"/>
        </w:rPr>
      </w:pPr>
    </w:p>
    <w:p>
      <w:pPr>
        <w:ind w:left="56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year ended March 31, 2024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34"/>
        </w:trPr>
        <w:tc>
          <w:tcPr>
            <w:tcW w:w="3780" w:type="dxa"/>
            <w:vAlign w:val="bottom"/>
          </w:tcPr>
          <w:p>
            <w:pPr>
              <w:spacing w:after="0"/>
              <w:rPr>
                <w:sz w:val="20"/>
                <w:szCs w:val="20"/>
                <w:color w:val="auto"/>
              </w:rPr>
            </w:pP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Kuan</w:t>
            </w:r>
          </w:p>
        </w:tc>
      </w:tr>
      <w:tr>
        <w:trPr>
          <w:trHeight w:val="238"/>
        </w:trPr>
        <w:tc>
          <w:tcPr>
            <w:tcW w:w="3780" w:type="dxa"/>
            <w:vAlign w:val="bottom"/>
          </w:tcPr>
          <w:p>
            <w:pPr>
              <w:spacing w:after="0"/>
              <w:rPr>
                <w:sz w:val="20"/>
                <w:szCs w:val="20"/>
                <w:color w:val="auto"/>
              </w:rPr>
            </w:pP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37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38"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year ended March 31, 2024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0" w:val="left"/>
          <w:tab w:leader="none" w:pos="6080" w:val="left"/>
          <w:tab w:leader="none" w:pos="6760" w:val="left"/>
        </w:tabs>
        <w:rPr>
          <w:sz w:val="20"/>
          <w:szCs w:val="20"/>
          <w:color w:val="auto"/>
        </w:rPr>
      </w:pPr>
      <w:r>
        <w:rPr>
          <w:rFonts w:ascii="Times New Roman" w:cs="Times New Roman" w:eastAsia="Times New Roman" w:hAnsi="Times New Roman"/>
          <w:sz w:val="18"/>
          <w:szCs w:val="18"/>
          <w:color w:val="auto"/>
        </w:rPr>
        <w:t>Date:</w:t>
        <w:tab/>
        <w:t>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8"/>
          <w:szCs w:val="18"/>
          <w:color w:val="auto"/>
        </w:rPr>
        <w:t>Name:</w:t>
        <w:tab/>
        <w:t>Corleen Roche</w:t>
      </w:r>
    </w:p>
    <w:p>
      <w:pPr>
        <w:spacing w:after="0" w:line="36"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6"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197" Type="http://schemas.openxmlformats.org/officeDocument/2006/relationships/hyperlink" Target="https://www.sec.gov/Archives/edgar/data/1991792/000119312524009621/d551455dex33.htm" TargetMode="External"/><Relationship Id="rId198" Type="http://schemas.openxmlformats.org/officeDocument/2006/relationships/hyperlink" Target="https://www.sec.gov/Archives/edgar/data/1991792/000119312524000766/d551455dex34.htm" TargetMode="External"/><Relationship Id="rId199" Type="http://schemas.openxmlformats.org/officeDocument/2006/relationships/hyperlink" Target="https://www.sec.gov/Archives/edgar/data/1991792/000119312524009621/d551455dex41.htm" TargetMode="External"/><Relationship Id="rId200" Type="http://schemas.openxmlformats.org/officeDocument/2006/relationships/hyperlink" Target="https://www.sec.gov/Archives/edgar/data/1991792/000119312524009621/d55145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2024-05-09T05:30:40Z</dcterms:created>
  <dcterms:modified xsi:type="dcterms:W3CDTF">2024-05-09T05:30:40Z</dcterms:modified>
</cp:coreProperties>
</file>