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59"/>
        <w:spacing w:after="0" w:line="365"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20" w:right="1600" w:hanging="2599"/>
        <w:spacing w:after="0" w:line="360" w:lineRule="auto"/>
        <w:tabs>
          <w:tab w:leader="none" w:pos="4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CG Oncology, Inc.</w:t>
      </w:r>
    </w:p>
    <w:p>
      <w:pPr>
        <w:sectPr>
          <w:pgSz w:w="11900" w:h="16838" w:orient="portrait"/>
          <w:cols w:equalWidth="0" w:num="1">
            <w:col w:w="11240"/>
          </w:cols>
          <w:pgMar w:left="320" w:top="102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37-1611499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024"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400 Spectrum Center Drive, Suite 2040</w:t>
      </w:r>
    </w:p>
    <w:p>
      <w:pPr>
        <w:spacing w:after="0" w:line="31" w:lineRule="exact"/>
        <w:rPr>
          <w:sz w:val="24"/>
          <w:szCs w:val="24"/>
          <w:color w:val="auto"/>
        </w:rPr>
      </w:pPr>
    </w:p>
    <w:p>
      <w:pPr>
        <w:ind w:left="24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Irvine, CA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CGON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6, 2025, the registrant had 76,247,581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(Deficit)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tcBorders>
              <w:left w:val="single" w:sz="8" w:color="0000FF"/>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vMerge w:val="continue"/>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300" w:type="dxa"/>
            <w:vAlign w:val="bottom"/>
            <w:gridSpan w:val="2"/>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5"/>
                <w:szCs w:val="15"/>
                <w:color w:val="auto"/>
              </w:rPr>
            </w:pPr>
          </w:p>
        </w:tc>
        <w:tc>
          <w:tcPr>
            <w:tcW w:w="128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14,624</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646,428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484,930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 other</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673,030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754,210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receivable, net</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118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701,445</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1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7,125</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Borders>
              <w:bottom w:val="single" w:sz="8" w:color="CFF0FC"/>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22,968</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30,381</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706</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31,087</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6)</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1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Common stock, $0.0001 par value per share; 700,000,000 and 700,000,000 shares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authorized as of June 30, 2025 and December 31, 2024, respectively; 76,231,859</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76,154,783 shares issued and outstanding as of June 30, 2025 and December 31, 2024,</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964,209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951,350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(293,859)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(217,981)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670,358</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733,377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701,445</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-2382520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-1799590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-1782445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-1902460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-1315085</wp:posOffset>
            </wp:positionV>
            <wp:extent cx="93980"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-1315085</wp:posOffset>
            </wp:positionV>
            <wp:extent cx="93980"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-1109345</wp:posOffset>
            </wp:positionV>
            <wp:extent cx="939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-1109345</wp:posOffset>
            </wp:positionV>
            <wp:extent cx="939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-128270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6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3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(48,741)</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(25,853)</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(90,945)</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(48,322)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(18,902)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(75,878)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(35,836)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178"/>
        </w:trPr>
        <w:tc>
          <w:tcPr>
            <w:tcW w:w="50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76,226,829</w:t>
            </w: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66,649,443</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76,207,333</w:t>
            </w:r>
          </w:p>
        </w:tc>
        <w:tc>
          <w:tcPr>
            <w:tcW w:w="2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56,857,104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-1469390</wp:posOffset>
            </wp:positionV>
            <wp:extent cx="10223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-1469390</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-1469390</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-1469390</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-607695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-607695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-299720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-281940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-281940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-281940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15"/>
        </w:trPr>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C</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Series D</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Series E</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4"/>
          </w:tcPr>
          <w:p>
            <w:pPr>
              <w:jc w:val="center"/>
              <w:ind w:left="166"/>
              <w:spacing w:after="0" w:line="115" w:lineRule="exact"/>
              <w:rPr>
                <w:sz w:val="20"/>
                <w:szCs w:val="20"/>
                <w:color w:val="auto"/>
              </w:rPr>
            </w:pPr>
            <w:r>
              <w:rPr>
                <w:rFonts w:ascii="Times New Roman" w:cs="Times New Roman" w:eastAsia="Times New Roman" w:hAnsi="Times New Roman"/>
                <w:sz w:val="11"/>
                <w:szCs w:val="11"/>
                <w:b w:val="1"/>
                <w:bCs w:val="1"/>
                <w:color w:val="auto"/>
                <w:w w:val="95"/>
              </w:rPr>
              <w:t>Series F</w:t>
            </w: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840" w:type="dxa"/>
            <w:vAlign w:val="bottom"/>
            <w:gridSpan w:val="4"/>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9"/>
              </w:rPr>
              <w:t>Series A-1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5"/>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780" w:type="dxa"/>
            <w:vAlign w:val="bottom"/>
            <w:gridSpan w:val="4"/>
          </w:tcPr>
          <w:p>
            <w:pPr>
              <w:jc w:val="center"/>
              <w:ind w:left="146"/>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280" w:type="dxa"/>
            <w:vAlign w:val="bottom"/>
            <w:gridSpan w:val="6"/>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0"/>
                <w:szCs w:val="10"/>
                <w:color w:val="auto"/>
              </w:rPr>
            </w:pPr>
          </w:p>
        </w:tc>
        <w:tc>
          <w:tcPr>
            <w:tcW w:w="5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w:t>
            </w:r>
          </w:p>
        </w:tc>
        <w:tc>
          <w:tcPr>
            <w:tcW w:w="40" w:type="dxa"/>
            <w:vAlign w:val="bottom"/>
          </w:tcPr>
          <w:p>
            <w:pPr>
              <w:spacing w:after="0"/>
              <w:rPr>
                <w:sz w:val="10"/>
                <w:szCs w:val="10"/>
                <w:color w:val="auto"/>
              </w:rPr>
            </w:pPr>
          </w:p>
        </w:tc>
        <w:tc>
          <w:tcPr>
            <w:tcW w:w="6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Stockholder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280" w:type="dxa"/>
            <w:vAlign w:val="bottom"/>
            <w:gridSpan w:val="6"/>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16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4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2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40" w:type="dxa"/>
            <w:vAlign w:val="bottom"/>
            <w:tcBorders>
              <w:right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0" w:type="dxa"/>
            <w:vAlign w:val="bottom"/>
          </w:tcPr>
          <w:p>
            <w:pPr>
              <w:spacing w:after="0"/>
              <w:rPr>
                <w:sz w:val="11"/>
                <w:szCs w:val="11"/>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ated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w:t>
            </w:r>
          </w:p>
        </w:tc>
        <w:tc>
          <w:tcPr>
            <w:tcW w:w="0" w:type="dxa"/>
            <w:vAlign w:val="bottom"/>
          </w:tcPr>
          <w:p>
            <w:pPr>
              <w:spacing w:after="0"/>
              <w:rPr>
                <w:sz w:val="1"/>
                <w:szCs w:val="1"/>
                <w:color w:val="auto"/>
              </w:rPr>
            </w:pPr>
          </w:p>
        </w:tc>
      </w:tr>
      <w:tr>
        <w:trPr>
          <w:trHeight w:val="99"/>
        </w:trPr>
        <w:tc>
          <w:tcPr>
            <w:tcW w:w="10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75"/>
              </w:rPr>
              <w:t>unt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99"/>
        </w:trPr>
        <w:tc>
          <w:tcPr>
            <w:tcW w:w="106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60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11,973,00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53,271,75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81,587,93</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105,</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5,222,28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(129,94</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8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(123,100)</w:t>
            </w:r>
          </w:p>
        </w:tc>
        <w:tc>
          <w:tcPr>
            <w:tcW w:w="0" w:type="dxa"/>
            <w:vAlign w:val="bottom"/>
          </w:tcPr>
          <w:p>
            <w:pPr>
              <w:spacing w:after="0"/>
              <w:rPr>
                <w:sz w:val="1"/>
                <w:szCs w:val="1"/>
                <w:color w:val="auto"/>
              </w:rPr>
            </w:pPr>
          </w:p>
        </w:tc>
      </w:tr>
      <w:tr>
        <w:trPr>
          <w:trHeight w:val="108"/>
        </w:trPr>
        <w:tc>
          <w:tcPr>
            <w:tcW w:w="10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Conversion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(5,075,00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(73,598,2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(53,271,7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38,413,9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(3,570)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w:t>
            </w:r>
          </w:p>
        </w:tc>
        <w:tc>
          <w:tcPr>
            <w:tcW w:w="6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700)</w:t>
            </w:r>
          </w:p>
        </w:tc>
        <w:tc>
          <w:tcPr>
            <w:tcW w:w="6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307,886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issuance costs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20"/>
                <w:szCs w:val="20"/>
                <w:color w:val="auto"/>
              </w:rPr>
            </w:pPr>
            <w:r>
              <w:rPr>
                <w:rFonts w:ascii="Times New Roman" w:cs="Times New Roman" w:eastAsia="Times New Roman" w:hAnsi="Times New Roman"/>
                <w:sz w:val="11"/>
                <w:szCs w:val="11"/>
                <w:color w:val="auto"/>
              </w:rPr>
              <w:t>stock</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(16,934)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(16,934)</w:t>
            </w:r>
          </w:p>
        </w:tc>
        <w:tc>
          <w:tcPr>
            <w:tcW w:w="0" w:type="dxa"/>
            <w:vAlign w:val="bottom"/>
          </w:tcPr>
          <w:p>
            <w:pPr>
              <w:spacing w:after="0"/>
              <w:rPr>
                <w:sz w:val="1"/>
                <w:szCs w:val="1"/>
                <w:color w:val="auto"/>
              </w:rPr>
            </w:pPr>
          </w:p>
        </w:tc>
      </w:tr>
      <w:tr>
        <w:trPr>
          <w:trHeight w:val="99"/>
        </w:trPr>
        <w:tc>
          <w:tcPr>
            <w:tcW w:w="106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60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66,636,2</w:t>
            </w: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(146,87</w:t>
            </w: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715,807</w:t>
            </w:r>
          </w:p>
        </w:tc>
        <w:tc>
          <w:tcPr>
            <w:tcW w:w="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568,938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60" w:type="dxa"/>
            <w:vAlign w:val="bottom"/>
            <w:tcBorders>
              <w:top w:val="single" w:sz="8" w:color="CFF0FC"/>
            </w:tcBorders>
          </w:tcPr>
          <w:p>
            <w:pPr>
              <w:spacing w:after="0" w:line="89" w:lineRule="exact"/>
              <w:rPr>
                <w:sz w:val="20"/>
                <w:szCs w:val="20"/>
                <w:color w:val="auto"/>
              </w:rPr>
            </w:pPr>
            <w:r>
              <w:rPr>
                <w:rFonts w:ascii="Times New Roman" w:cs="Times New Roman" w:eastAsia="Times New Roman" w:hAnsi="Times New Roman"/>
                <w:sz w:val="10"/>
                <w:szCs w:val="10"/>
                <w:color w:val="auto"/>
              </w:rPr>
              <w:t>Issuance of common</w:t>
            </w: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4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4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CFF0FC"/>
              <w:right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4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20"/>
                <w:szCs w:val="20"/>
                <w:color w:val="auto"/>
              </w:rPr>
            </w:pPr>
            <w:r>
              <w:rPr>
                <w:rFonts w:ascii="Times New Roman" w:cs="Times New Roman" w:eastAsia="Times New Roman" w:hAnsi="Times New Roman"/>
                <w:sz w:val="11"/>
                <w:szCs w:val="11"/>
                <w:color w:val="auto"/>
              </w:rPr>
              <w:t>stock</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(18,902)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(18,902)</w:t>
            </w:r>
          </w:p>
        </w:tc>
        <w:tc>
          <w:tcPr>
            <w:tcW w:w="0" w:type="dxa"/>
            <w:vAlign w:val="bottom"/>
          </w:tcPr>
          <w:p>
            <w:pPr>
              <w:spacing w:after="0"/>
              <w:rPr>
                <w:sz w:val="1"/>
                <w:szCs w:val="1"/>
                <w:color w:val="auto"/>
              </w:rPr>
            </w:pPr>
          </w:p>
        </w:tc>
      </w:tr>
      <w:tr>
        <w:trPr>
          <w:trHeight w:val="99"/>
        </w:trPr>
        <w:tc>
          <w:tcPr>
            <w:tcW w:w="106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June 30,</w:t>
            </w:r>
          </w:p>
        </w:tc>
        <w:tc>
          <w:tcPr>
            <w:tcW w:w="60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66,659,8</w:t>
            </w: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(165,77</w:t>
            </w: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718,130</w:t>
            </w:r>
          </w:p>
        </w:tc>
        <w:tc>
          <w:tcPr>
            <w:tcW w:w="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552,359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76,154,7</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(217,98</w:t>
            </w: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0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951,350</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733,377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66,506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(34,452)</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(34,452)</w:t>
            </w:r>
          </w:p>
        </w:tc>
        <w:tc>
          <w:tcPr>
            <w:tcW w:w="0" w:type="dxa"/>
            <w:vAlign w:val="bottom"/>
          </w:tcPr>
          <w:p>
            <w:pPr>
              <w:spacing w:after="0"/>
              <w:rPr>
                <w:sz w:val="1"/>
                <w:szCs w:val="1"/>
                <w:color w:val="auto"/>
              </w:rPr>
            </w:pPr>
          </w:p>
        </w:tc>
      </w:tr>
      <w:tr>
        <w:trPr>
          <w:trHeight w:val="99"/>
        </w:trPr>
        <w:tc>
          <w:tcPr>
            <w:tcW w:w="1060" w:type="dxa"/>
            <w:vAlign w:val="bottom"/>
            <w:tcBorders>
              <w:top w:val="single" w:sz="8" w:color="CFF0FC"/>
            </w:tcBorders>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76,221,2</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(252,43</w:t>
            </w: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957,183</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704,758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6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10"/>
                <w:szCs w:val="10"/>
                <w:color w:val="auto"/>
              </w:rPr>
              <w:t>Issuance of common</w:t>
            </w:r>
          </w:p>
        </w:tc>
        <w:tc>
          <w:tcPr>
            <w:tcW w:w="6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10,570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(41,426)</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(41,426)</w:t>
            </w:r>
          </w:p>
        </w:tc>
        <w:tc>
          <w:tcPr>
            <w:tcW w:w="0" w:type="dxa"/>
            <w:vAlign w:val="bottom"/>
          </w:tcPr>
          <w:p>
            <w:pPr>
              <w:spacing w:after="0"/>
              <w:rPr>
                <w:sz w:val="1"/>
                <w:szCs w:val="1"/>
                <w:color w:val="auto"/>
              </w:rPr>
            </w:pPr>
          </w:p>
        </w:tc>
      </w:tr>
      <w:tr>
        <w:trPr>
          <w:trHeight w:val="99"/>
        </w:trPr>
        <w:tc>
          <w:tcPr>
            <w:tcW w:w="1060" w:type="dxa"/>
            <w:vAlign w:val="bottom"/>
            <w:tcBorders>
              <w:top w:val="single" w:sz="8" w:color="CFF0FC"/>
            </w:tcBorders>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June 30,</w:t>
            </w: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76,231,8</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(293,85</w:t>
            </w: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964,209</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-2279650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-2262505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-2279650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-2262505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-2279650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-2262505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-2279650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-2262505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-2279650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-2262505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-2279650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-2262505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-2279650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-2262505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-2279650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-2262505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-2279650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-2262505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-2279650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-2262505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-2279650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-2262505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-2279650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-2262505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-2279650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-2262505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-2279650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-2262505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-2279650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-2262505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-2279650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-2262505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-1628140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-1610995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-1628140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-1610995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-1628140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-1610995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-1628140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-1610995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-1628140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-1610995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-1628140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-1610995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-1628140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-1610995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-1628140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-1610995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-1628140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-1610995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-1628140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-1610995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-1628140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-1610995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-1628140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-1610995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-1628140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-1610995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-1628140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-1610995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-1628140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-1610995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-1628140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-1610995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-839470</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-839470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-839470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-839470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-839470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-839470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-839470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-839470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-839470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-839470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-839470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-839470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-839470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-839470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-839470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-839470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-187960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-187960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-187960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-187960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-187960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-187960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-187960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(75,878)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(35,836)</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interest income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09"/>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(57,236)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(659,639)</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Issuance of note receivable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(185,362)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of success fee or long-term debt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98"/>
        </w:trPr>
        <w:tc>
          <w:tcPr>
            <w:tcW w:w="794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exercise of common stock options and issuance of common stock under the employee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 purchase plan</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0"/>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6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of 38,413,909 redeemable convertible preferred stock to 38,413,909 shares of common</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3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Conversion of deferred offering costs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6,845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7"/>
                <w:szCs w:val="17"/>
                <w:color w:val="auto"/>
              </w:rPr>
            </w:pPr>
          </w:p>
        </w:tc>
        <w:tc>
          <w:tcPr>
            <w:tcW w:w="44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-3603625</wp:posOffset>
            </wp:positionV>
            <wp:extent cx="10287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-2763520</wp:posOffset>
            </wp:positionV>
            <wp:extent cx="10287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-1786255</wp:posOffset>
            </wp:positionV>
            <wp:extent cx="939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-1786255</wp:posOffset>
            </wp:positionV>
            <wp:extent cx="10287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-1344930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-1344930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condensed consolidated financial statements, on a retrospective basis, to reflect the reverse stock split for all periods presented. The par value of the common stock and preferred stock was not adjusted as a result of the reverse stock split.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initial public offering (IPO) of 23,000,000 shares of common stock, which included the exercise in full by the underwriters of their option to purchase 3,000,000 additional shares, at a price of $19.00 per share. The common stock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 In December 2024, we completed a follow-on offering of 8,500,000 shares of common stock at a price of $28.00 per share, including the exercise in full by the underwriters of their option to purchase an additional 1,200,000 shares of common stock. We received net proceeds of $223.1 million, after deducting discounts, commissions and other offering expenses.</w:t>
      </w:r>
    </w:p>
    <w:p>
      <w:pPr>
        <w:spacing w:after="0" w:line="18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Company's wholly owned subsidiary, SafeGuard Healthcare, LLC, established a note receivable with a principal amount of $26.0 million through a convertible promissory note (Note) from SP Healthcare SPV I, LLC (the SPV). The SPV used the proceeds from the Note to make an investment in Biovire, Inc. for the purpose of Biovire acquiring substantially all of the assets of a contract manufacturing organization that provides clinical supply of cretostimogene to the Company. See footnote 4 for more information on the accounting for the Note.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June 30, 2025 and for the three and six months ended June 30, 2025 and 2024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2024 included in the Company's Annual Report on Form 10-K for the year ended December 31, 2024 (2024 Annual Report). In the opinion of management, the unaudited condensed consolidated financial statements reflect all adjustments, which include only normal and recurring adjustments, considered necessary for a fair statement of the interim periods.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33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approximately $661.1 million of cash, cash equivalents and marketable securities and working capital of approximately $642.6 million. The Company has a relatively limited operating history, and the revenue and income potential of the Company’s business and market are unproven. The Company has experienced net losses and negative cash flows from operations since its inception and, as of June 30, 2025, the Company had an accumulated deficit of $293.9 million. During the three and six months ended June 30, 2025, the Company incurred net losses of $41.4 million and $75.9 million, respectively, and had negative cash flows from operations of $57.2 million during the six months ended June 30, 2025.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344"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8"/>
          <w:szCs w:val="18"/>
          <w:color w:val="auto"/>
        </w:rPr>
        <w:t>On March 28, 2025,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(Jefferies Sales Agreement) with Jefferies LLC, as agent, pursuant to which the Company may offer and sell, from time to time through Jefferies, up to $250.0 million in shares of the Company’s common stock. As of June 30, 2025, no sales have been made under the Jefferies Sales Agreement.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appearing in its 2024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as deferred offering costs all direct and incremental legal, professional, accounting and other third-party fees incurred in connection with equity offerings. As of June 30, 2025 and December 31, 2024, the Company had $0.4 million and zero, respectively, in deferred offering costs. Deferred offering costs are included in Other assets in the Company's condensed consolidated balance sheets. The deferred offering costs as of June 30, 2025 were incurred in connection with the filing of a registration statement on Form S-3 in March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condensed consolidated financial statements.</w:t>
      </w:r>
    </w:p>
    <w:p>
      <w:pPr>
        <w:spacing w:after="0" w:line="16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guidance is effective for the Company for annual periods beginning after December 15, 2025.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future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Comprehensive Income - Expense Disaggregation Disclosures</w:t>
      </w:r>
      <w:r>
        <w:rPr>
          <w:rFonts w:ascii="Times New Roman" w:cs="Times New Roman" w:eastAsia="Times New Roman" w:hAnsi="Times New Roman"/>
          <w:sz w:val="18"/>
          <w:szCs w:val="18"/>
          <w:color w:val="auto"/>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1" w:lineRule="exact"/>
        <w:rPr>
          <w:sz w:val="20"/>
          <w:szCs w:val="20"/>
          <w:color w:val="auto"/>
        </w:rPr>
      </w:pPr>
    </w:p>
    <w:p>
      <w:pPr>
        <w:ind w:firstLine="8"/>
        <w:spacing w:after="0" w:line="260"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June 30, 2025 and December 31, 2024,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18"/>
                <w:szCs w:val="18"/>
                <w:color w:val="auto"/>
              </w:rPr>
            </w:pPr>
          </w:p>
        </w:tc>
      </w:tr>
      <w:tr>
        <w:trPr>
          <w:trHeight w:val="21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646,428</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646,428</w:t>
            </w:r>
          </w:p>
        </w:tc>
        <w:tc>
          <w:tcPr>
            <w:tcW w:w="120" w:type="dxa"/>
            <w:vAlign w:val="bottom"/>
            <w:shd w:val="clear" w:color="auto" w:fill="CFF0FC"/>
          </w:tcPr>
          <w:p>
            <w:pPr>
              <w:spacing w:after="0"/>
              <w:rPr>
                <w:sz w:val="18"/>
                <w:szCs w:val="18"/>
                <w:color w:val="auto"/>
              </w:rPr>
            </w:pPr>
          </w:p>
        </w:tc>
      </w:tr>
      <w:tr>
        <w:trPr>
          <w:trHeight w:val="364"/>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20" w:type="dxa"/>
            <w:vAlign w:val="bottom"/>
          </w:tcPr>
          <w:p>
            <w:pPr>
              <w:spacing w:after="0"/>
              <w:rPr>
                <w:sz w:val="18"/>
                <w:szCs w:val="18"/>
                <w:color w:val="auto"/>
              </w:rPr>
            </w:pPr>
          </w:p>
        </w:tc>
      </w:tr>
      <w:tr>
        <w:trPr>
          <w:trHeight w:val="21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As of June 30, 2025 and December 31, 2024, the amortized cost of the Company's available for sale marketable securities approximated their fair value. There was no material realized or unrealized gains or losses, either individually or in the aggregate.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and six months ended June 30, 2025 and the year ended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 Receivable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wholly owned subsidiary, SafeGuard Healthcare, LLC, has a note receivable from SPV totaling $26.0 million, which was established in February 2025. The note carries an interest rate of 8% and is due on February 3, 2029. As of June 30, 2025, no payments have been made, and the outstanding principal balance is $26.0 million. The note is recognized on an amortized cost basis, which is equal to the principal amount, adjusted for accrued interest.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June 30, 2025 and as of December 31, 2024 were as follows (in thousands):</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4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16,000</w:t>
            </w:r>
          </w:p>
        </w:tc>
        <w:tc>
          <w:tcPr>
            <w:tcW w:w="5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r>
      <w:tr>
        <w:trPr>
          <w:trHeight w:val="249"/>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22,968</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three and two operating leases, respectively, in which the Company was the lessee for office space. As of June 30, 2025, the leases have varying terms expiring between 2026 and 2030. The Company had no finance leases as of June 30, 2025 and December 31,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as of June 30, 2025 and 2024 were as follows (in thousands):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 w:type="dxa"/>
            <w:vAlign w:val="bottom"/>
            <w:vMerge w:val="continue"/>
          </w:tcPr>
          <w:p>
            <w:pPr>
              <w:spacing w:after="0"/>
              <w:rPr>
                <w:sz w:val="21"/>
                <w:szCs w:val="21"/>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35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5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 obtained in</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for new operating lease liabilities</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measurement of lease liabilities, included in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cash flows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414"/>
        </w:trPr>
        <w:tc>
          <w:tcPr>
            <w:tcW w:w="592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w w:val="99"/>
              </w:rPr>
              <w:t>Maturities of lease liabilities as of June 30, 2025 were as follows (in thousands):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gridSpan w:val="2"/>
            <w:vMerge w:val="restart"/>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vMerge w:val="continue"/>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-2811145</wp:posOffset>
            </wp:positionV>
            <wp:extent cx="111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-2794000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-2811145</wp:posOffset>
            </wp:positionV>
            <wp:extent cx="111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-2794000</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-2811145</wp:posOffset>
            </wp:positionV>
            <wp:extent cx="1111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-2794000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-2811145</wp:posOffset>
            </wp:positionV>
            <wp:extent cx="1117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-2794000</wp:posOffset>
            </wp:positionV>
            <wp:extent cx="1117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condensed consolidated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4, 2024, ANI Pharmaceuticals, Inc. (ANI) filed a complaint against the Company in the Superior Court of the State of Delaware seeking</w:t>
      </w:r>
    </w:p>
    <w:p>
      <w:pPr>
        <w:spacing w:after="0" w:line="27" w:lineRule="exact"/>
        <w:rPr>
          <w:sz w:val="20"/>
          <w:szCs w:val="20"/>
          <w:color w:val="auto"/>
        </w:rPr>
      </w:pPr>
    </w:p>
    <w:p>
      <w:pPr>
        <w:jc w:val="both"/>
        <w:ind w:firstLine="8"/>
        <w:spacing w:after="0" w:line="255"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June 30, 2025, the Company had not experienced any losses related to these indemnification obligations, and no claims with respect thereto were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Biotech Co., Ltd.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recognized zero and $0.5 million, respectively, in license and collaboration revenue. The Company recognized no license and collaboration revenue during the three months ended June 30,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Pharmaceutical Co., Ltd.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Kissei Agreement to determine whether it is a collaborative arrangement 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concluded the Kissei Agreement is a collaborative agreement under ASC 808, as the Kissei Agreement involves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a performance obligation at the outset of the arrangement.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zero and $0.1 million in license and collaboration revenue for the three months ended June 30, 2025 and 2024, respectively, and less than $0.1 million and $0.1 million in license and collaboration revenue for the six months ended June 30,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Disclosures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six months ended June 30, 2025 and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860" w:type="dxa"/>
            <w:vAlign w:val="bottom"/>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9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(1)</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00" w:type="dxa"/>
            <w:vAlign w:val="bottom"/>
          </w:tcPr>
          <w:p>
            <w:pPr>
              <w:spacing w:after="0"/>
              <w:rPr>
                <w:sz w:val="18"/>
                <w:szCs w:val="18"/>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(48,741)</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(25,853)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(90,945)</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(48,322)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Pr>
          <w:p>
            <w:pPr>
              <w:spacing w:after="0"/>
              <w:rPr>
                <w:sz w:val="18"/>
                <w:szCs w:val="18"/>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(41,426)</w:t>
            </w:r>
          </w:p>
        </w:tc>
        <w:tc>
          <w:tcPr>
            <w:tcW w:w="10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(18,902)</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(75,878)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(35,836)</w:t>
            </w: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-882650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-882650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-882650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-599440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-599440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-599440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research and development consists of indirect costs incurred for the benefit of the research and development efforts, including certain personnel, supply chain, quality assurance, and regulatory affairs.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shares of common stock at June 30, 2025 and December 31, 2024, of which 76,231,859 and 76,154,783 shares were issued and outstanding at June 30, 2025 and December 31, 2024,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therefore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the Company reserved the following shares of common stock for issuance:</w:t>
      </w:r>
    </w:p>
    <w:p>
      <w:pPr>
        <w:spacing w:after="0" w:line="206"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8,963,925</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stock option issuances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3,788,588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751,077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13,503,590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-170815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June 30, 2025, there were 901,931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June 30, 2025, there were 3,306,669 shares of common stock subject to outstanding awards under the 2022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Plans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and 2022 Plans as of the effective date of the 2024 Plan that become available for issuance under the 2024 Plan thereafter in accordance with its terms. As of June 30, 2025, there were 4,755,325 shares of common stock subject to outstanding awards and 3,788,583 shares of common stock remaining and available for issuance under the 2024 Plan.</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and six months ended June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18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8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- 77.58%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- 77.53%</w:t>
            </w:r>
          </w:p>
        </w:tc>
        <w:tc>
          <w:tcPr>
            <w:tcW w:w="2040" w:type="dxa"/>
            <w:vAlign w:val="bottom"/>
            <w:gridSpan w:val="3"/>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73.39% - 77.58%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- 84.50%</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- 4.62%</w:t>
            </w: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0" w:type="dxa"/>
            <w:vAlign w:val="bottom"/>
            <w:gridSpan w:val="3"/>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c>
          <w:tcPr>
            <w:tcW w:w="1240" w:type="dxa"/>
            <w:vAlign w:val="bottom"/>
            <w:gridSpan w:val="2"/>
            <w:shd w:val="clear" w:color="auto" w:fill="CFF0FC"/>
          </w:tcPr>
          <w:p>
            <w:pPr>
              <w:jc w:val="center"/>
              <w:ind w:left="910"/>
              <w:spacing w:after="0"/>
              <w:rPr>
                <w:sz w:val="20"/>
                <w:szCs w:val="20"/>
                <w:color w:val="auto"/>
              </w:rPr>
            </w:pPr>
            <w:r>
              <w:rPr>
                <w:rFonts w:ascii="Times New Roman" w:cs="Times New Roman" w:eastAsia="Times New Roman" w:hAnsi="Times New Roman"/>
                <w:sz w:val="18"/>
                <w:szCs w:val="18"/>
                <w:color w:val="auto"/>
                <w:w w:val="99"/>
              </w:rPr>
              <w:t>0%</w:t>
            </w:r>
          </w:p>
        </w:tc>
        <w:tc>
          <w:tcPr>
            <w:tcW w:w="800" w:type="dxa"/>
            <w:vAlign w:val="bottom"/>
            <w:shd w:val="clear" w:color="auto" w:fill="CFF0FC"/>
          </w:tcPr>
          <w:p>
            <w:pPr>
              <w:spacing w:after="0"/>
              <w:rPr>
                <w:sz w:val="18"/>
                <w:szCs w:val="18"/>
                <w:color w:val="auto"/>
              </w:rPr>
            </w:pPr>
          </w:p>
        </w:tc>
        <w:tc>
          <w:tcPr>
            <w:tcW w:w="2020" w:type="dxa"/>
            <w:vAlign w:val="bottom"/>
            <w:gridSpan w:val="3"/>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5.25 - 6.1</w:t>
            </w:r>
          </w:p>
        </w:tc>
        <w:tc>
          <w:tcPr>
            <w:tcW w:w="2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20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6.05 - 6.1</w:t>
            </w:r>
          </w:p>
        </w:tc>
      </w:tr>
    </w:tbl>
    <w:p>
      <w:pPr>
        <w:spacing w:after="0" w:line="2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the options granted was $20.79 and $16.49 per share for the six months ended June 30, 2025 and 2024, respectively. The weighted average fair value of shares vested during the six months ended June 30, 2025 and 2024 was $17.50 and $3.73 per share, respectively. The weighted average fair value of shares exercised during the six months ended June 30, 2025 and 2024 was $3.03 and $2.07 per share, respectively.</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2025 (in thousands, except share and per share amounts):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Granted</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Exercised</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Forfeited/Expired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June 30, 2025</w:t>
      </w:r>
    </w:p>
    <w:p>
      <w:pPr>
        <w:spacing w:after="0" w:line="59" w:lineRule="exact"/>
        <w:rPr>
          <w:sz w:val="20"/>
          <w:szCs w:val="20"/>
          <w:color w:val="auto"/>
        </w:rPr>
      </w:pPr>
    </w:p>
    <w:p>
      <w:pPr>
        <w:ind w:left="580" w:right="300"/>
        <w:spacing w:after="0" w:line="316" w:lineRule="auto"/>
        <w:rPr>
          <w:sz w:val="20"/>
          <w:szCs w:val="20"/>
          <w:color w:val="auto"/>
        </w:rPr>
      </w:pPr>
      <w:r>
        <w:rPr>
          <w:rFonts w:ascii="Times New Roman" w:cs="Times New Roman" w:eastAsia="Times New Roman" w:hAnsi="Times New Roman"/>
          <w:sz w:val="16"/>
          <w:szCs w:val="16"/>
          <w:color w:val="auto"/>
        </w:rPr>
        <w:t>Vested and expected to vest at June 30, 2025 Exercisable at June 30, 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6,574,580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2,470,041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(35,639)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8,963,925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106,753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8,963,925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106,753</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2,991,092</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-972820</wp:posOffset>
            </wp:positionV>
            <wp:extent cx="641223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-698500</wp:posOffset>
            </wp:positionV>
            <wp:extent cx="641223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-132715</wp:posOffset>
            </wp:positionV>
            <wp:extent cx="641223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-424180</wp:posOffset>
            </wp:positionV>
            <wp:extent cx="641223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780" w:space="720"/>
            <w:col w:w="6740"/>
          </w:cols>
          <w:pgMar w:left="320" w:top="765" w:right="339" w:bottom="1440" w:gutter="0" w:footer="0" w:header="0"/>
          <w:type w:val="continuous"/>
        </w:sectPr>
      </w:pPr>
    </w:p>
    <w:p>
      <w:pPr>
        <w:spacing w:after="0" w:line="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$6.4 million and $1.5 million for the three months ended June 30, 2025 and 2024, respectively, and $10.8 million and $3.0 million for the six months ended June 30, 2025 and 2024, respectively. As of June 30, 2025, the Company had an aggregate $79.8 million of gross unrecognized stock-based compensation expense related to unvested options to be recognized over a weighted average period of 3.2 years.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the 2024 Employee Stock Purchase Plan (see Note 11) recorded in the accompanying statements of operations for the three and six months ended June 30, 2025 and 2024 was as follows (in thousands):</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191"/>
        </w:trPr>
        <w:tc>
          <w:tcPr>
            <w:tcW w:w="2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stock-based</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4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4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14"/>
        </w:trPr>
        <w:tc>
          <w:tcPr>
            <w:tcW w:w="20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compensation expense</w:t>
            </w:r>
          </w:p>
        </w:tc>
        <w:tc>
          <w:tcPr>
            <w:tcW w:w="28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96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425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425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was declared effective by the SEC. The number of shares initially available for issuance pursuant to the ESPP is 812,242 shares. The ESPP </w:t>
      </w:r>
      <w:r>
        <w:rPr>
          <w:rFonts w:ascii="Times New Roman" w:cs="Times New Roman" w:eastAsia="Times New Roman" w:hAnsi="Times New Roman"/>
          <w:sz w:val="18"/>
          <w:szCs w:val="18"/>
          <w:color w:val="000000"/>
        </w:rPr>
        <w:t>provides for the sale of the Company's common stock to eligible employees at 85% of the fair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32,019 shares purchased under the ESPP during the three and six months ended June 30, 2025. On June 30, 2025, there were 751,077 shares available for issuance under the ESPP.</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$0.6 million and $0.7 million for the three months ended June 30, 2025 and 2024, respectively, and $1.4 million and $0.7 million for the six months ended June 30, 2025 and 2024, respectively. As of June 30, 2025, the Company had $1.9 million of gross unrecognized stock-based compensation expense under the ESPP to be recognized over a weighted average period of 0.85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2021, the Company entered into a loan agreement with Silicon Valley Bank (SVB) (the Loan Agreement) for a term loan in three tranches. In 2021, the Company drew down on two of the tranches in the aggregate principal amount of $15.0 million. On May 12, 2023, the Company repaid all outstanding principal and accrued and unpaid interest on the funds received under the Loan Agreement and all other outstanding obligations with respect to the funds received under the Loan Agreement and made a final payment.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IPO, within five business days of closing such IPO. In connection with the Company’s IPO, it became obligated to pay SVB the Success Fee.</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5, 2024, the Company paid $0.4 million for the Success Fee under the Success Fee Agreement. As of June 30, 2025, the Company has no further obligations in connection with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3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(18,902)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Weighted-average common stock outstanding, basic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76,226,829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66,649,443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76,207,333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56,857,104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shd w:val="clear" w:color="auto" w:fill="CFF0FC"/>
          </w:tcPr>
          <w:p>
            <w:pPr>
              <w:ind w:left="6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gridSpan w:val="2"/>
            <w:vMerge w:val="continue"/>
            <w:shd w:val="clear" w:color="auto" w:fill="CFF0FC"/>
          </w:tcPr>
          <w:p>
            <w:pPr>
              <w:spacing w:after="0"/>
              <w:rPr>
                <w:sz w:val="18"/>
                <w:szCs w:val="18"/>
                <w:color w:val="auto"/>
              </w:rPr>
            </w:pPr>
          </w:p>
        </w:tc>
        <w:tc>
          <w:tcPr>
            <w:tcW w:w="116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12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redeemable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 June 30, 2025 and 2024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42"/>
        </w:trPr>
        <w:tc>
          <w:tcPr>
            <w:tcW w:w="2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210"/>
        </w:trPr>
        <w:tc>
          <w:tcPr>
            <w:tcW w:w="2600" w:type="dxa"/>
            <w:vAlign w:val="bottom"/>
          </w:tcPr>
          <w:p>
            <w:pPr>
              <w:spacing w:after="0"/>
              <w:rPr>
                <w:sz w:val="18"/>
                <w:szCs w:val="18"/>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5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8,963,925</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6,040,339</w:t>
            </w:r>
          </w:p>
        </w:tc>
        <w:tc>
          <w:tcPr>
            <w:tcW w:w="180" w:type="dxa"/>
            <w:vAlign w:val="bottom"/>
            <w:tcBorders>
              <w:bottom w:val="single" w:sz="8" w:color="CFF0FC"/>
            </w:tcBorders>
            <w:shd w:val="clear" w:color="auto" w:fill="CFF0FC"/>
          </w:tcPr>
          <w:p>
            <w:pPr>
              <w:spacing w:after="0"/>
              <w:rPr>
                <w:sz w:val="18"/>
                <w:szCs w:val="18"/>
                <w:color w:val="auto"/>
              </w:rPr>
            </w:pPr>
          </w:p>
        </w:tc>
        <w:tc>
          <w:tcPr>
            <w:tcW w:w="2580" w:type="dxa"/>
            <w:vAlign w:val="bottom"/>
          </w:tcPr>
          <w:p>
            <w:pPr>
              <w:spacing w:after="0"/>
              <w:rPr>
                <w:sz w:val="18"/>
                <w:szCs w:val="18"/>
                <w:color w:val="auto"/>
              </w:rPr>
            </w:pPr>
          </w:p>
        </w:tc>
      </w:tr>
      <w:tr>
        <w:trPr>
          <w:trHeight w:val="210"/>
        </w:trPr>
        <w:tc>
          <w:tcPr>
            <w:tcW w:w="260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8,963,925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6,040,339</w:t>
            </w: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628"/>
        </w:trPr>
        <w:tc>
          <w:tcPr>
            <w:tcW w:w="2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8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763"/>
        </w:trPr>
        <w:tc>
          <w:tcPr>
            <w:tcW w:w="26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-1079500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Subsequent to the balance sheet date, on July 20, 2025, the Company obtained control of the SPV following the conversion of a convertible note (Note) held by the Company, triggered by the cessation of services by SkyPath to the SPV and Biovire (Conversion Event). Prior to this event, the SPV was accounted for as a variable interest entity (VIE) under ASC 810, Consolidation, for which the Company was not the primary beneficiary. Accordingly, the Company did not consolidate the SPV as of June 30, 2025. The Note was accounted for as a note receivable and recognized on an amortized cost basis. See footnote 4 for more information on the accounting for the Note as of June 30, 2025.</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the occurrence of the Conversion Event, the Company reassessed the nature of the SPV and its relationship with the entity. As a result of this evaluation, the Company concluded that the SPV no longer meets the definition of a VIE. The Company now holds a controlling financial interest in the SPV through its 100% ownership of voting and participating Preferred Units. As such, effective July 20, 2025, the Company will consolidate the SPV in accordance with the requirements of ASC 810.</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currently in the process of performing the preliminary purchase price allocation and related consolidation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condensed consolidated financial statements included in this Quarterly Report on Form 10-Q should be read in conjunction with the financial statements and notes thereto for the year ended December 31, 2024 and the related Management’s Discussion and Analysis of Financial Condition and Results of Operations, both of which are contained in the Annual Report on Form 10-K for the year ended December 31, 2024 (the 2024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2024 Annual Report, as supplemented in Part II, Item 1A, “Risk Factors” of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goal is to develop cretostimogene grenadenorepvec (cretostimogene), our product candidate, as an alternative to Bacillus Calmette-Guérin (BCG) in treating a broad range of bladder cancer indications. Cretostimogene is in clinical development for the treatment of patients with high-risk Non-Muscle Invasive Bladder Cancer (NMIBC) who are unresponsive to BCG therapy, the current standard-of-care for high-risk NMIBC. Given the limitations of currently approved therapies, the next course of treatment for these BCG-unresponsive patients is radical cystectomy, or the complete removal of the bladder, which is associated with significant social, functional and emotional burden. As such, there is a significant unmet need for effective treatments in these patients.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anticipation of potential U.S. Food and Drug Administration (FDA) approval, we are actively building our commercial operations, marketing, market access and patient access and field force capabilities. This includes pre-launch activities currently being executed, including scientific communication activities and engagements by our field medical organization. We are also implementing strategic initiatives to build seamless product distribution and patient support. Our efforts are focused on ensuring that we are fully prepared to launch and deliver cretostimogene to patients and healthcare providers, if approved. We are evaluating the safety and efficacy of cretostimogene as a monotherapy in BOND-003 Cohort C, our ongoing Phase 3 clinical trial in high-risk BCG-unresponsive NMIBC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and with or without Ta/T1 disease. We have completed enrollment for this cohort and reported interim data at the American Urological Association’s (AUA) 2024 Annual Meeting in May 2024, and topline data at the 2024 Society of Urologic Oncology (SUO) Annual Meeting in December 2024, which was updated at the 40th Annual European Association of Urology (EAU) Congress in March 2025, and at the 2025 AUA Annual Meeting in April 2025. We believe that this trial could serve as the basis for a BLA submission to the U.S. FDA, which we expect to initiate in the fourth quarter of 2025. Cretostimogene has received both Fast Track and Breakthrough Therapy designations from the FDA for the treatment of High-Risk BCG-unresponsive NMIBC with CIS with or without Ta or T1 tumors.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2024, we initiated BOND-003 Cohort P, an exploratory study evaluating cretostimogene monotherapy in high-risk BCG-unresponsive NMIBC with only Ta/T1 disease. Initial data from this Cohort was reported at the 2025 AUA Annual Meeting, with updated data expected in the fourth quarter of 2025. In October 2024, we initiated CORE-008 Cohort A, our Phase 2 clinical trial in high-risk NMIBC patients who are naïve to BCG treatment, including patients with CIS and with or without Ta/T1 disease and patients with only Ta/T1 disease. In March 2025, we expanded CORE-008 into the high-risk BCG-exposed population (Cohort B). In addition, in April 2025, we initiated a third Cohort (Cohort CX), evaluating cretostimogene in combination with gemcitabine in the high-risk BCG-exposed population. We have completed and published the results for CORE-001, our Phase 2 clinical trial of cretostimogene in combination with pembrolizumab in high-risk BCG-unresponsive NMIBC patients that have CIS. Additionally, in NMIBC that is not categorized as high-risk, we have launched our second Phase 3 clinical trial, PIVOT-006, evaluating adjuvant cretostimogene in intermediate-risk NMIBC following transurethral resection of the bladder tumor (TURBT). We believe cretostimogene, if approved in intermediate-risk NMIBC, has the potential to serve as backbone therapy, thereby alleviating the current need to prioritize treatment recipients and ration administration of BCG given its significant market shortage.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$75.9 million and $35.8 million for the six months ended June 30, 2025 and 2024, respectively. As of June 30, 2025, we had an accumulated deficit of $293.9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the sale of shares of our common stock through public offerings and our redeemable convertible preferred stock, as well as through previously outstanding term debt. From inception through June 30, 2025, we have received aggregate gross proceeds of approximately $982.9 million from the sale of shares of our common stock from our IPO, a follow-on offering in December 2024, and sales of redeemable convertible preferred stock. In addition, from inception through June 30, 2025, we have recognized $26.2 million in license and collaboration revenue pursuant to our license and collaboration agreements. As of June 30, 2025, we had cash, cash equivalents and marketable securities of $661.1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2024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Biotech Co., Ltd.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and six months ended June 30, 2025, the Company did not recognize any license and collaboration revenue related to the Lepu License Agreement. During the three and six months ended June 30, 2024, the Company recognized zero and $0.5 million, respectively, in license and collaboration revenue related to the Lepu License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three and six months ended June 30, 2025, zero and less than $0.1 million in license and collaboration revenue was recorded related to the Kissei License Agreement, respectively. During the three and six months ended June 30, 2024, $0.1 million in license and collaboration revenue was recorded related to the Kissei License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inception through June 30, 2025, we have recognized $26.2 million in license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income related to interest earned on our invested cash equivalents and marketable securities balances and expenses related to our previously outstanding term debt. We expect our interest income will increase as we invest the cash received from the net proceeds from our public offerings.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consists of miscellaneous items, such as success fees and final payment amortization and other items not 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 (in thousands):</w:t>
      </w:r>
    </w:p>
    <w:p>
      <w:pPr>
        <w:spacing w:after="0" w:line="327"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2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920" w:type="dxa"/>
            <w:vAlign w:val="bottom"/>
            <w:tcBorders>
              <w:top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(48,741)</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(25,853)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(22,888)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Borders>
              <w:top w:val="single" w:sz="8" w:color="auto"/>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92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(41,426)</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(18,902)</w:t>
            </w:r>
          </w:p>
        </w:tc>
        <w:tc>
          <w:tcPr>
            <w:tcW w:w="140" w:type="dxa"/>
            <w:vAlign w:val="bottom"/>
          </w:tcPr>
          <w:p>
            <w:pPr>
              <w:spacing w:after="0"/>
              <w:rPr>
                <w:sz w:val="17"/>
                <w:szCs w:val="17"/>
                <w:color w:val="auto"/>
              </w:rPr>
            </w:pPr>
          </w:p>
        </w:tc>
        <w:tc>
          <w:tcPr>
            <w:tcW w:w="36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(22,524)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-1028065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-1028065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-1028065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-179705</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was zero for the three months ended June 30, 2025 compared to $0.1 million for the three months ended June 30, 2024. All revenue recognized during the three months ended June 30, 2024 was related to the Kissei License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June 30, 2025 and 2024 (in thousands):</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9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$31.3 million for the three months ended June 30, 2025 compared to $18.5 million for the three months ended June 30, 2024. The increase of $12.9 million in R&amp;D expenses for the three months ended June 30, 2025 was primarily due to an increase of $7.9 million in external clinical trial expenses related to higher CRO fees as patient enrollment increased, as well as an increase of $3.9 million in compensation costs due to increased headcount, including a $1.5 million increase in stock-based compensation, and an increase in other fees and costs of $1.1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2025 and 2024 (in thousands):</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5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5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$17.4 million for the three months ended June 30, 2025 compared to $7.5 million for the three months ended June 30, 2024. The increase of $9.9 million in general and administrative expenses for the three months ended June 30, 2025 was primarily due to an increase in compensation costs of $5.4 million due to increased headcount, including a $3.2 million increase in stock-based compensation, as well as increased professional and consultant fees of $3.3 million, including a $3.0 million increase in legal fees, an increase in marketing-related costs of $0.4 million, and an increase in insurance, fees, and other costs of $0.8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three months ended June 30, 2025 was $7.3 million compared to $7.0 million for the three months ended June 30, 2024. The $0.4 million increase was driven by higher interest income earned related to cash equivalents and marketable securities balances.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 (in thousands):</w:t>
      </w:r>
    </w:p>
    <w:p>
      <w:pPr>
        <w:spacing w:after="0" w:line="327"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(90,945)</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(48,322)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(42,623)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(75,878)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(35,836)</w:t>
            </w:r>
          </w:p>
        </w:tc>
        <w:tc>
          <w:tcPr>
            <w:tcW w:w="120" w:type="dxa"/>
            <w:vAlign w:val="bottom"/>
          </w:tcPr>
          <w:p>
            <w:pPr>
              <w:spacing w:after="0"/>
              <w:rPr>
                <w:sz w:val="17"/>
                <w:szCs w:val="17"/>
                <w:color w:val="auto"/>
              </w:rPr>
            </w:pPr>
          </w:p>
        </w:tc>
        <w:tc>
          <w:tcPr>
            <w:tcW w:w="36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(40,042)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-1028065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-1028065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-1028065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-179070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License and collaboration revenue was less than $0.1 million for the six months ended June 30, 2025 compared to $0.6 million for the six months ended June 30, 2024. During the six months ended June 30, 2025 we recognized less than $0.1 million in license and collaboration revenue related to the Kissei License Agreement. During the six months ended June 30, 2024, we recognized $0.5 million in license and collaboration revenue related to the Lepu License Agreement and $0.1 million in license and collaboration revenue related to the Kissei License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six months ended June 30, 2025 and 2024 (in thousands):</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39,574</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$58.8 million for the six months ended June 30, 2025 compared to $35.7 million for the six months ended June 30, 2024. The increase of $23.1 million in R&amp;D expenses for the six months ended June 30, 2025 was primarily due to an increase of $13.4 million in external clinical trial expenses related to higher CRO fees as patient enrollment increased, as well as an increase of $7.4 million in compensation costs due to increased headcount, including a $2.6 million increase in stock-based compensation, and an increase in other fees and costs of $2.3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2025 and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52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6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5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-1079500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-1079500</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$32.2 million for the six months ended June 30, 2025 compared to $13.3 million for the six months ended June 30, 2024. The increase of $18.9 million in general and administrative expenses for the six months ended June 30, 2025 was primarily due to an increase in compensation costs of $10.7 million due to increased headcount, including a $5.8 million increase in stock-based compensation, as well as increased professional and consultant fees of $4.8 million related to legal, accounting and consulting fees, an increase in marketing-related costs of $1.5 million, and an increase in insurance, fees, and other costs of $2.0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six months ended June 30, 2025 was $15.1 million compared to $12.5 million for the six months ended June 30, 2024. The $2.6 million increase was driven by higher interest income earned related to cash equivalents and marketable securities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From inception through June 30, 2025, we have received aggregate gross proceeds of $982.9 million from the sale of shares of our common stock through our public offerings and our redeemable convertible preferred stock. In addition, through June 30, 2025, we have recognized $26.2 million in license and collaboration revenue through our license and collaboration agreements. As of June 30, 2025, we had cash, cash equivalents and marketable securities of $661.1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3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March 28,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(Jefferies Sales Agreement) with Jefferies LLC, as agent, pursuant to which we may offer and sell, from time to time through Jefferies, up to $250 million of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covering the offering, issuance and sale of up to a maximum aggregate offering price of $250 million of our common stock that may be issued and sold from time to time under the Jefferies Sales Agreement. As of June 30, 2025, no sales have been made under the shelf registration statement or the Jefferies Sales Agreement.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2024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2025 and 2024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(57,236)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402,698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(242,444)</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16,892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-281940</wp:posOffset>
            </wp:positionV>
            <wp:extent cx="431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operating activities used $57.2 million of cash, primarily resulting from our net loss of $75.9 million, as well as accretion of the discount on short-term investments of $2.2 million, partially offset by non-cash stock-based compensation charges of $12.2 million and net cash provided by changes in our operating assets and liabilities of $9.1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$42.1 million of cash, primarily resulting from our net loss of $35.8 million, accretion of the discount on short-term investments of $4.7 million, and net cash used in changes in our operating assets and liabilities of $5.4 million, partially offset by $3.8 million of non-cash stock-based compensation charges.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net cash used in investing activities was $185.4 million, primarily due to purchases of marketable securities and the issuance of a note receivable through a convertible promissory note in the principal amount of $26.0 million, partially offset by proceeds from sales and maturities of short-term investments.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$343.7 million, primarily due to purchases of marketable securities offset by proceeds from sales and maturities of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financing activities was $0.2 million, consisting primarily of proceeds from exercise of options of $0.7 million, partially offset by deferred offering costs of $0.5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$402.7 million, consisting primarily of net proceeds from the initial public offering, net of issuance costs and deferred offering costs of $403.0 million, partially offset by the long-term debt success fee payoff of $0.4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2024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condensed consolidated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exposure to market risk is limited primarily to interest rate sensitivity. </w:t>
      </w:r>
      <w:r>
        <w:rPr>
          <w:rFonts w:ascii="Times New Roman" w:cs="Times New Roman" w:eastAsia="Times New Roman" w:hAnsi="Times New Roman"/>
          <w:sz w:val="18"/>
          <w:szCs w:val="18"/>
          <w:color w:val="231F20"/>
        </w:rPr>
        <w:t>As of June 30, 2025,</w:t>
      </w:r>
      <w:r>
        <w:rPr>
          <w:rFonts w:ascii="Times New Roman" w:cs="Times New Roman" w:eastAsia="Times New Roman" w:hAnsi="Times New Roman"/>
          <w:sz w:val="18"/>
          <w:szCs w:val="18"/>
          <w:color w:val="auto"/>
        </w:rPr>
        <w:t xml:space="preserve"> we had cash, cash equivalents and marketable securities of approximately $661.1 million, which consisted primarily of money market funds and marketable securities, comprised of fixed income securities (U.S. Treasury bills).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to fund our operations. We also seek to maximize income from our investments without assuming significant risk. Due to the short-term duration of our investment portfolio and the low risk profile of our investment portfolio, we believe that our exposure to interest rate risk is not significant.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as of and for the periods covered by this Quarterly Report on Form 10-Q.</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 as of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4, 2024, ANI Pharmaceuticals, Inc. (ANI) filed a complaint against the Company in the Superior Court of the State of Delaware seeking</w:t>
      </w:r>
    </w:p>
    <w:p>
      <w:pPr>
        <w:spacing w:after="0" w:line="27" w:lineRule="exact"/>
        <w:rPr>
          <w:sz w:val="20"/>
          <w:szCs w:val="20"/>
          <w:color w:val="auto"/>
        </w:rPr>
      </w:pPr>
    </w:p>
    <w:p>
      <w:pPr>
        <w:jc w:val="both"/>
        <w:ind w:firstLine="8"/>
        <w:spacing w:after="0" w:line="251"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spacing w:after="0" w:line="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Below we are providing, in supplemental form, updates to our risk factors from those previously disclosed in Part I, Item 1A, “Risk Factors” of our 2024 Annual Report. Our risk factors disclosed in Part I, Item 1A of our 2024 Annual Report provide additional discussion regarding these supplemental risks and we encourage you to read and carefully consider all of the risk factors disclosed in Part I, Item 1A of our 2024 Annual Report, together with the below, for a more complete understanding of the risks and uncertainties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For example, on March 4, 2024, ANI Pharmaceuticals, Inc. (ANI) filed a complaint against us in the Superior Court of the State of Delaware seeking (i) a declaratory judgment that a provision in an assignment and technology transfer agreement between us and ANI (formerly BioSante Pharmaceuticals, Inc.), dated November 15, 2010 (the ANI Agreement), obligates us to pay ANI 5% of worldwide net sales of cretostimogene, and (ii) compensatory damages alleging we were unjustly enriched by obtaining the benefit of certain non-patent assets without paying adequate consideration to ANI. On July 16, 2025, the Superior Court granted our motion for summary judgment with respect to ANI’s request for a declaratory judgment to receive royalty payments from the potential sale of cretostimogene but denied our motion for summary judgment with respect to ANI’s unjust enrichment claim. On July 21, 2025, trial commenced regarding ANI’s unjust enrichment claim. On July 29, 2025, a jury entered a verdict in our favor. We expect ANI will continue to pursue its claims, including through post-trial motions and appeals. We will continue to vigorously defend against ANI’s claims, including any post-trial motions and appeals that ANI my file. While we intend to vigorously defend this matter, such litigation could result in substantial costs and divert our management’s attention from other business concerns, cause us reputational damage, negatively affect our stock price and result in monetary damages.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in each case,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certain raw materials are located outside of the United States. The active pharmaceutical ingredients (APIs) for cretostimogene is manufactured in the United States, and cretostimogene is manufactured in the United States.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 and in our 2024 Annual Report.</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cretostimogene or any future product candidates and may adversely affect the prices we may set.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(ACA), as amended by the Health Care and Education Reconciliation Act of 2010, was enacted in the United States, which substantially changed healthcare financing, access and delivery by both governmental and private insurers.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and amendments to certain aspects of the ACA.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things, the IRA (i) directs the Department of Health and Human Services (HHS) to negotiate the price of certain high-expenditure, single-source biologics that have been on the market for at least 11 years covered under Medicare (the Medicare Drug Price Negotiation Program) and (ii) imposes rebates under Medicare Part B and Medicare Part D to penalize price increases that outpace inflation. The IRA permits the Secretary of the HHS to implement many of these provisions through guidance, as opposed to regulation, for the initial years. HHS has and will continue to issue and update guidance as these programs are implemented.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propose policy changes that create additional uncertainty for our business. These actions and proposals, for example, include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plan price transparency and by standardizing prices across hospitals and health plans. Additionally, in its June 2024 decision in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For example, the U.S. government recently enacted the OBBBA,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in future legislation. The Trump administration and the U.S. Congress could also enact other tax law changes that could have an adverse effect on our operations, cash flows and results from operations and contribute to overall market volatility. In addition, it is uncertain if and to what extent various states will conform to federal tax legislation. Changes in corporate tax rates, the realization of net deferred tax assets relating to our operations, the taxation of foreign earnings, and the deductibility of expenses or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June 30, 2025, we estimate that we have used approximately $204.7 million of the proceeds from our initial public offering for general corporate purposes, including to fund the research and development of cretostimogene, and manufacturing and pre-commercial activities. There has been no material change in the planned use of proceeds from that described in the final prospectus for our initial public offering filed with the SEC pursuant to Rule 424(b)(4) under the Securities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Section 16 officers (as defined in Rule 16a–1(f)) and directors may enter into Rule 10b5-1 or non-Rule 10b5-1 trading arrangements (as each such term is defined in Item 408 of Regulation S-K) for the purchase or sale of our securities. During the six months ended June 30, 2025, except for James J. Mulé, none of our officers or directors adopted, modified or terminated any such trading arrangements.</w:t>
      </w:r>
    </w:p>
    <w:p>
      <w:pPr>
        <w:spacing w:after="0" w:line="279" w:lineRule="exact"/>
        <w:rPr>
          <w:sz w:val="20"/>
          <w:szCs w:val="20"/>
          <w:color w:val="auto"/>
        </w:rPr>
      </w:pPr>
    </w:p>
    <w:tbl>
      <w:tblPr>
        <w:tblLayout w:type="fixed"/>
        <w:tblInd w:w="650" w:type="dxa"/>
        <w:tblCellMar>
          <w:top w:w="0" w:type="dxa"/>
          <w:left w:w="0" w:type="dxa"/>
          <w:bottom w:w="0" w:type="dxa"/>
          <w:right w:w="0" w:type="dxa"/>
        </w:tblCellMar>
      </w:tblPr>
      <w:tr>
        <w:trPr>
          <w:trHeight w:val="250"/>
        </w:trPr>
        <w:tc>
          <w:tcPr>
            <w:tcW w:w="21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spacing w:after="0"/>
              <w:rPr>
                <w:sz w:val="21"/>
                <w:szCs w:val="21"/>
                <w:color w:val="auto"/>
              </w:rPr>
            </w:pPr>
          </w:p>
        </w:tc>
        <w:tc>
          <w:tcPr>
            <w:tcW w:w="272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36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170"/>
        </w:trPr>
        <w:tc>
          <w:tcPr>
            <w:tcW w:w="21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3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3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Expiration Da</w:t>
            </w:r>
          </w:p>
        </w:tc>
      </w:tr>
      <w:tr>
        <w:trPr>
          <w:trHeight w:val="238"/>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 10b5-1**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0"/>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James J. Mulé, Director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6, 2025</w:t>
            </w:r>
          </w:p>
        </w:tc>
        <w:tc>
          <w:tcPr>
            <w:tcW w:w="136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99,032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09"/>
        </w:trPr>
        <w:tc>
          <w:tcPr>
            <w:tcW w:w="21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-728345</wp:posOffset>
            </wp:positionV>
            <wp:extent cx="6489065" cy="10198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89065" cy="1019810"/>
                    </a:xfrm>
                    <a:prstGeom prst="rect">
                      <a:avLst/>
                    </a:prstGeom>
                    <a:noFill/>
                  </pic:spPr>
                </pic:pic>
              </a:graphicData>
            </a:graphic>
          </wp:anchor>
        </w:drawing>
      </w:r>
    </w:p>
    <w:p>
      <w:pPr>
        <w:ind w:left="760" w:right="740" w:hanging="6"/>
        <w:spacing w:after="0" w:line="276"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40" w:type="dxa"/>
            <w:vAlign w:val="bottom"/>
            <w:gridSpan w:val="16"/>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4"/>
                <w:szCs w:val="24"/>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09"/>
        </w:trPr>
        <w:tc>
          <w:tcPr>
            <w:tcW w:w="164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3700" w:type="dxa"/>
            <w:vAlign w:val="bottom"/>
            <w:gridSpan w:val="9"/>
            <w:vMerge w:val="restart"/>
          </w:tcPr>
          <w:p>
            <w:pPr>
              <w:spacing w:after="0"/>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Amended and Restated Certificate of Incorporation</w:t>
              </w:r>
            </w:hyperlink>
          </w:p>
        </w:tc>
        <w:tc>
          <w:tcPr>
            <w:tcW w:w="1160" w:type="dxa"/>
            <w:vAlign w:val="bottom"/>
            <w:gridSpan w:val="8"/>
            <w:vMerge w:val="restart"/>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bottom w:val="single" w:sz="8" w:color="0000FF"/>
            </w:tcBorders>
            <w:gridSpan w:val="9"/>
            <w:vMerge w:val="continue"/>
          </w:tcPr>
          <w:p>
            <w:pPr>
              <w:spacing w:after="0"/>
              <w:rPr>
                <w:sz w:val="14"/>
                <w:szCs w:val="14"/>
                <w:color w:val="auto"/>
              </w:rPr>
            </w:pPr>
          </w:p>
        </w:tc>
        <w:tc>
          <w:tcPr>
            <w:tcW w:w="11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22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Amended and Restated Bylaws</w:t>
              </w:r>
            </w:hyperlink>
          </w:p>
        </w:tc>
        <w:tc>
          <w:tcPr>
            <w:tcW w:w="20" w:type="dxa"/>
            <w:vAlign w:val="bottom"/>
            <w:tcBorders>
              <w:bottom w:val="single" w:sz="8" w:color="0000EE"/>
            </w:tcBorders>
          </w:tcPr>
          <w:p>
            <w:pPr>
              <w:spacing w:after="0"/>
              <w:rPr>
                <w:sz w:val="17"/>
                <w:szCs w:val="17"/>
                <w:color w:val="auto"/>
              </w:rPr>
            </w:pPr>
          </w:p>
        </w:tc>
        <w:tc>
          <w:tcPr>
            <w:tcW w:w="25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4860" w:type="dxa"/>
            <w:vAlign w:val="bottom"/>
            <w:gridSpan w:val="17"/>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Specimen stock certificate evidencing the shares of common stock</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466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Amended and Restated Investors’ Rights Agreement, dated July</w:t>
              </w:r>
            </w:hyperlink>
          </w:p>
        </w:tc>
        <w:tc>
          <w:tcPr>
            <w:tcW w:w="120" w:type="dxa"/>
            <w:vAlign w:val="bottom"/>
            <w:tcBorders>
              <w:top w:val="single" w:sz="8" w:color="0000FF"/>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28, 2023, as amended, by and among the Registrant and certain of</w:t>
              </w:r>
            </w:hyperlink>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17"/>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its stockholders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7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as required by Rule 13a-</w:t>
            </w:r>
          </w:p>
        </w:tc>
        <w:tc>
          <w:tcPr>
            <w:tcW w:w="20" w:type="dxa"/>
            <w:vAlign w:val="bottom"/>
            <w:tcBorders>
              <w:bottom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278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6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as required by Rule</w:t>
            </w:r>
          </w:p>
        </w:tc>
        <w:tc>
          <w:tcPr>
            <w:tcW w:w="2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13a-14(a) or Rule 15d-14(a), as adopted pursuant to Section 302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5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4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3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760" w:right="5040" w:hanging="929"/>
        <w:spacing w:after="0" w:line="260" w:lineRule="auto"/>
        <w:tabs>
          <w:tab w:leader="none" w:pos="1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02" w:lineRule="exact"/>
        <w:rPr>
          <w:rFonts w:ascii="Times New Roman" w:cs="Times New Roman" w:eastAsia="Times New Roman" w:hAnsi="Times New Roman"/>
          <w:sz w:val="18"/>
          <w:szCs w:val="18"/>
          <w:color w:val="auto"/>
        </w:rPr>
      </w:pPr>
    </w:p>
    <w:p>
      <w:pPr>
        <w:ind w:left="5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9512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3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43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33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0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33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 Robert Lapetina</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Robert Lapetina</w:t>
            </w: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Vice President, Financial Planning &amp; Analysis</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480" w:type="dxa"/>
            <w:vAlign w:val="bottom"/>
          </w:tcPr>
          <w:p>
            <w:pPr>
              <w:spacing w:after="0"/>
              <w:rPr>
                <w:sz w:val="24"/>
                <w:szCs w:val="24"/>
                <w:color w:val="auto"/>
              </w:rPr>
            </w:pPr>
          </w:p>
        </w:tc>
        <w:tc>
          <w:tcPr>
            <w:tcW w:w="2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560" w:type="dxa"/>
            <w:vAlign w:val="bottom"/>
          </w:tcPr>
          <w:p>
            <w:pPr>
              <w:spacing w:after="0"/>
              <w:rPr>
                <w:sz w:val="16"/>
                <w:szCs w:val="16"/>
                <w:color w:val="auto"/>
              </w:rPr>
            </w:pPr>
          </w:p>
        </w:tc>
        <w:tc>
          <w:tcPr>
            <w:tcW w:w="270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56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13"/>
        </w:trPr>
        <w:tc>
          <w:tcPr>
            <w:tcW w:w="35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Lapetina, certify that:</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Lapetina</w:t>
            </w:r>
          </w:p>
        </w:tc>
      </w:tr>
      <w:tr>
        <w:trPr>
          <w:trHeight w:val="191"/>
        </w:trPr>
        <w:tc>
          <w:tcPr>
            <w:tcW w:w="3560" w:type="dxa"/>
            <w:vAlign w:val="bottom"/>
          </w:tcPr>
          <w:p>
            <w:pPr>
              <w:spacing w:after="0"/>
              <w:rPr>
                <w:sz w:val="16"/>
                <w:szCs w:val="16"/>
                <w:color w:val="auto"/>
              </w:rPr>
            </w:pPr>
          </w:p>
        </w:tc>
        <w:tc>
          <w:tcPr>
            <w:tcW w:w="270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Lapetina</w:t>
            </w:r>
          </w:p>
        </w:tc>
      </w:tr>
      <w:tr>
        <w:trPr>
          <w:trHeight w:val="216"/>
        </w:trPr>
        <w:tc>
          <w:tcPr>
            <w:tcW w:w="356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Planning &amp; Analysis</w:t>
            </w:r>
          </w:p>
        </w:tc>
      </w:tr>
      <w:tr>
        <w:trPr>
          <w:trHeight w:val="234"/>
        </w:trPr>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35"/>
        </w:trPr>
        <w:tc>
          <w:tcPr>
            <w:tcW w:w="35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June 30,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880" w:type="dxa"/>
            <w:vAlign w:val="bottom"/>
          </w:tcPr>
          <w:p>
            <w:pPr>
              <w:spacing w:after="0"/>
              <w:rPr>
                <w:sz w:val="16"/>
                <w:szCs w:val="16"/>
                <w:color w:val="auto"/>
              </w:rPr>
            </w:pPr>
          </w:p>
        </w:tc>
        <w:tc>
          <w:tcPr>
            <w:tcW w:w="288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880" w:type="dxa"/>
            <w:vAlign w:val="bottom"/>
          </w:tcPr>
          <w:p>
            <w:pPr>
              <w:spacing w:after="0"/>
              <w:rPr>
                <w:sz w:val="18"/>
                <w:szCs w:val="18"/>
                <w:color w:val="auto"/>
              </w:rPr>
            </w:pP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8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June 30,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Lapetina</w:t>
            </w:r>
          </w:p>
        </w:tc>
      </w:tr>
      <w:tr>
        <w:trPr>
          <w:trHeight w:val="191"/>
        </w:trPr>
        <w:tc>
          <w:tcPr>
            <w:tcW w:w="3880" w:type="dxa"/>
            <w:vAlign w:val="bottom"/>
          </w:tcPr>
          <w:p>
            <w:pPr>
              <w:spacing w:after="0"/>
              <w:rPr>
                <w:sz w:val="16"/>
                <w:szCs w:val="16"/>
                <w:color w:val="auto"/>
              </w:rPr>
            </w:pPr>
          </w:p>
        </w:tc>
        <w:tc>
          <w:tcPr>
            <w:tcW w:w="288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Lapetina</w:t>
            </w:r>
          </w:p>
        </w:tc>
      </w:tr>
      <w:tr>
        <w:trPr>
          <w:trHeight w:val="216"/>
        </w:trPr>
        <w:tc>
          <w:tcPr>
            <w:tcW w:w="3880" w:type="dxa"/>
            <w:vAlign w:val="bottom"/>
          </w:tcPr>
          <w:p>
            <w:pPr>
              <w:spacing w:after="0"/>
              <w:rPr>
                <w:sz w:val="18"/>
                <w:szCs w:val="18"/>
                <w:color w:val="auto"/>
              </w:rPr>
            </w:pP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Planning &amp; Analysis</w:t>
            </w:r>
          </w:p>
        </w:tc>
      </w:tr>
      <w:tr>
        <w:trPr>
          <w:trHeight w:val="234"/>
        </w:trPr>
        <w:tc>
          <w:tcPr>
            <w:tcW w:w="38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75" Type="http://schemas.openxmlformats.org/officeDocument/2006/relationships/hyperlink" Target="https://www.sec.gov/Archives/edgar/data/1991792/000119312524009621/d551455dex33.htm" TargetMode="External"/><Relationship Id="rId276" Type="http://schemas.openxmlformats.org/officeDocument/2006/relationships/hyperlink" Target="https://www.sec.gov/Archives/edgar/data/1991792/000119312524000766/d551455dex34.htm" TargetMode="External"/><Relationship Id="rId277" Type="http://schemas.openxmlformats.org/officeDocument/2006/relationships/hyperlink" Target="https://www.sec.gov/Archives/edgar/data/1991792/000119312524009621/d551455dex41.htm" TargetMode="External"/><Relationship Id="rId278" Type="http://schemas.openxmlformats.org/officeDocument/2006/relationships/hyperlink" Target="https://www.sec.gov/Archives/edgar/data/1991792/000119312524009621/d55145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2025-08-08T15:30:46Z</dcterms:created>
  <dcterms:modified xsi:type="dcterms:W3CDTF">2025-08-08T15:30:46Z</dcterms:modified>
</cp:coreProperties>
</file>