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06, 2026</w:t>
      </w:r>
    </w:p>
    <w:p>
      <w:pPr>
        <w:spacing w:after="0" w:line="8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6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27"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001-41925</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62"/>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3000 Pegasus Park Drive</w:t>
            </w:r>
          </w:p>
        </w:tc>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Suite 1640</w:t>
            </w:r>
          </w:p>
        </w:tc>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700" w:type="dxa"/>
            <w:vAlign w:val="bottom"/>
          </w:tcPr>
          <w:p>
            <w:pPr>
              <w:spacing w:after="0"/>
              <w:rPr>
                <w:sz w:val="23"/>
                <w:szCs w:val="23"/>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202"/>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7"/>
                <w:szCs w:val="17"/>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4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vMerge w:val="restart"/>
          </w:tcPr>
          <w:p>
            <w:pPr>
              <w:spacing w:after="0"/>
              <w:rPr>
                <w:sz w:val="18"/>
                <w:szCs w:val="18"/>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80" w:type="dxa"/>
            <w:vAlign w:val="bottom"/>
          </w:tcPr>
          <w:p>
            <w:pPr>
              <w:spacing w:after="0"/>
              <w:rPr>
                <w:sz w:val="21"/>
                <w:szCs w:val="21"/>
                <w:color w:val="auto"/>
              </w:rPr>
            </w:pPr>
          </w:p>
        </w:tc>
        <w:tc>
          <w:tcPr>
            <w:tcW w:w="3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CGON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304" w:lineRule="exact"/>
        <w:rPr>
          <w:sz w:val="20"/>
          <w:szCs w:val="20"/>
          <w:color w:val="auto"/>
        </w:rPr>
      </w:pPr>
    </w:p>
    <w:p>
      <w:pPr>
        <w:jc w:val="both"/>
        <w:ind w:firstLine="405"/>
        <w:spacing w:after="0" w:line="280" w:lineRule="auto"/>
        <w:rPr>
          <w:sz w:val="20"/>
          <w:szCs w:val="20"/>
          <w:color w:val="auto"/>
        </w:rPr>
      </w:pPr>
      <w:r>
        <w:rPr>
          <w:rFonts w:ascii="Times New Roman" w:cs="Times New Roman" w:eastAsia="Times New Roman" w:hAnsi="Times New Roman"/>
          <w:sz w:val="16"/>
          <w:szCs w:val="16"/>
          <w:color w:val="auto"/>
        </w:rPr>
        <w:t>On November 6, 2026, CG Oncology, Inc. issued a press release announcing its financial results for the quarter ended September 30, 2026. A copy of the press release is attached hereto as Exhibit 99.1 and is incorporated herein by reference.</w:t>
      </w:r>
    </w:p>
    <w:p>
      <w:pPr>
        <w:spacing w:after="0" w:line="178"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 w:name="page3"/>
    <w:bookmarkEnd w:id="2"/>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ind w:left="80"/>
        <w:spacing w:after="0"/>
        <w:tabs>
          <w:tab w:leader="none" w:pos="400" w:val="left"/>
        </w:tabs>
        <w:rPr>
          <w:sz w:val="20"/>
          <w:szCs w:val="20"/>
          <w:color w:val="auto"/>
        </w:rPr>
      </w:pPr>
      <w:r>
        <w:rPr>
          <w:rFonts w:ascii="Times New Roman" w:cs="Times New Roman" w:eastAsia="Times New Roman" w:hAnsi="Times New Roman"/>
          <w:sz w:val="16"/>
          <w:szCs w:val="16"/>
          <w:color w:val="auto"/>
        </w:rPr>
        <w:t>(d)</w:t>
        <w:tab/>
        <w:t>Exhibits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Exhibit</w:t>
            </w:r>
          </w:p>
        </w:tc>
        <w:tc>
          <w:tcPr>
            <w:tcW w:w="2520" w:type="dxa"/>
            <w:vAlign w:val="bottom"/>
          </w:tcPr>
          <w:p>
            <w:pPr>
              <w:spacing w:after="0"/>
              <w:rPr>
                <w:sz w:val="16"/>
                <w:szCs w:val="16"/>
                <w:color w:val="auto"/>
              </w:rPr>
            </w:pPr>
          </w:p>
        </w:tc>
        <w:tc>
          <w:tcPr>
            <w:tcW w:w="682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color w:val="auto"/>
              </w:rPr>
              <w:t>Description</w:t>
            </w:r>
          </w:p>
        </w:tc>
        <w:tc>
          <w:tcPr>
            <w:tcW w:w="6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0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dated November 6, 2026</w:t>
            </w: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012"/>
        </w:trPr>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40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b w:val="1"/>
          <w:bCs w:val="1"/>
          <w:color w:val="auto"/>
        </w:rPr>
        <w:t>CG Oncology, Inc.</w:t>
      </w:r>
    </w:p>
    <w:p>
      <w:pPr>
        <w:spacing w:after="0" w:line="318" w:lineRule="exact"/>
        <w:rPr>
          <w:sz w:val="20"/>
          <w:szCs w:val="20"/>
          <w:color w:val="auto"/>
        </w:rPr>
      </w:pPr>
    </w:p>
    <w:p>
      <w:pPr>
        <w:ind w:left="360"/>
        <w:spacing w:after="0"/>
        <w:tabs>
          <w:tab w:leader="none" w:pos="6620" w:val="left"/>
        </w:tabs>
        <w:rPr>
          <w:sz w:val="20"/>
          <w:szCs w:val="20"/>
          <w:color w:val="auto"/>
        </w:rPr>
      </w:pPr>
      <w:r>
        <w:rPr>
          <w:rFonts w:ascii="Times New Roman" w:cs="Times New Roman" w:eastAsia="Times New Roman" w:hAnsi="Times New Roman"/>
          <w:sz w:val="16"/>
          <w:szCs w:val="16"/>
          <w:color w:val="auto"/>
        </w:rPr>
        <w:t>Date: November 6, 2026</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Josh Patterson</w:t>
      </w:r>
    </w:p>
    <w:p>
      <w:pPr>
        <w:spacing w:after="0" w:line="4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Name: Josh Patterson</w:t>
      </w:r>
    </w:p>
    <w:p>
      <w:pPr>
        <w:spacing w:after="0" w:line="4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Title: General Counsel and Chief</w:t>
      </w:r>
    </w:p>
    <w:p>
      <w:pPr>
        <w:ind w:left="6640"/>
        <w:spacing w:after="0"/>
        <w:rPr>
          <w:sz w:val="20"/>
          <w:szCs w:val="20"/>
          <w:color w:val="auto"/>
        </w:rPr>
      </w:pPr>
      <w:r>
        <w:rPr>
          <w:rFonts w:ascii="Times New Roman" w:cs="Times New Roman" w:eastAsia="Times New Roman" w:hAnsi="Times New Roman"/>
          <w:sz w:val="16"/>
          <w:szCs w:val="16"/>
          <w:color w:val="auto"/>
        </w:rPr>
        <w:t>Compliance Officer</w:t>
      </w:r>
    </w:p>
    <w:p>
      <w:pPr>
        <w:sectPr>
          <w:pgSz w:w="11900" w:h="16838" w:orient="portrait"/>
          <w:cols w:equalWidth="0" w:num="1">
            <w:col w:w="11100"/>
          </w:cols>
          <w:pgMar w:left="320" w:top="934" w:right="4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945515</wp:posOffset>
            </wp:positionV>
            <wp:extent cx="4011930"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119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CG Oncology Reports Third Quarter 2026 Financial Results and Provides Business Updates</w:t>
      </w:r>
    </w:p>
    <w:p>
      <w:pPr>
        <w:spacing w:after="0" w:line="373" w:lineRule="exact"/>
        <w:rPr>
          <w:sz w:val="20"/>
          <w:szCs w:val="20"/>
          <w:color w:val="auto"/>
        </w:rPr>
      </w:pPr>
    </w:p>
    <w:p>
      <w:pPr>
        <w:ind w:left="660" w:hanging="328"/>
        <w:spacing w:after="0" w:line="385"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PIVOT-006 Phase 3 topline data evaluating cretostimogene monotherapy as an adjuvant therapy in intermediate-risk and high-grade Ta NMIBC anticipated November 2026</w:t>
      </w:r>
    </w:p>
    <w:p>
      <w:pPr>
        <w:spacing w:after="0" w:line="58"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BOND-003 Cohort P and CORE-008 Cohort CX 12-month data anticipated December 2026</w:t>
      </w:r>
    </w:p>
    <w:p>
      <w:pPr>
        <w:spacing w:after="0" w:line="215"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BLA completion for BCG-unresponsive NMIBC anticipated Q4 2026</w:t>
      </w:r>
    </w:p>
    <w:p>
      <w:pPr>
        <w:spacing w:after="0" w:line="229" w:lineRule="exact"/>
        <w:rPr>
          <w:rFonts w:ascii="Times New Roman" w:cs="Times New Roman" w:eastAsia="Times New Roman" w:hAnsi="Times New Roman"/>
          <w:sz w:val="20"/>
          <w:szCs w:val="20"/>
          <w:color w:val="auto"/>
        </w:rPr>
      </w:pPr>
    </w:p>
    <w:p>
      <w:pPr>
        <w:ind w:left="660" w:right="20" w:hanging="328"/>
        <w:spacing w:after="0" w:line="385"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Well-positioned to deliver on key milestones with approximately $984.5 million of cash, cash equivalents and marketable securities sufficient to fund operations through 2029</w:t>
      </w:r>
    </w:p>
    <w:p>
      <w:pPr>
        <w:spacing w:after="0" w:line="200" w:lineRule="exact"/>
        <w:rPr>
          <w:sz w:val="20"/>
          <w:szCs w:val="20"/>
          <w:color w:val="auto"/>
        </w:rPr>
      </w:pPr>
    </w:p>
    <w:p>
      <w:pPr>
        <w:spacing w:after="0" w:line="237" w:lineRule="exact"/>
        <w:rPr>
          <w:sz w:val="20"/>
          <w:szCs w:val="20"/>
          <w:color w:val="auto"/>
        </w:rPr>
      </w:pPr>
    </w:p>
    <w:p>
      <w:pPr>
        <w:spacing w:after="0" w:line="385" w:lineRule="auto"/>
        <w:rPr>
          <w:sz w:val="20"/>
          <w:szCs w:val="20"/>
          <w:color w:val="auto"/>
        </w:rPr>
      </w:pPr>
      <w:r>
        <w:rPr>
          <w:rFonts w:ascii="Times New Roman" w:cs="Times New Roman" w:eastAsia="Times New Roman" w:hAnsi="Times New Roman"/>
          <w:sz w:val="20"/>
          <w:szCs w:val="20"/>
          <w:b w:val="1"/>
          <w:bCs w:val="1"/>
          <w:color w:val="auto"/>
        </w:rPr>
        <w:t xml:space="preserve">DALLAS, Texas, November 6, 2026 (GLOBE NEWSWIRE) </w:t>
      </w:r>
      <w:r>
        <w:rPr>
          <w:rFonts w:ascii="Times New Roman" w:cs="Times New Roman" w:eastAsia="Times New Roman" w:hAnsi="Times New Roman"/>
          <w:sz w:val="20"/>
          <w:szCs w:val="20"/>
          <w:color w:val="auto"/>
        </w:rPr>
        <w:t>-- CG Oncology, Inc. (NASDAQ: CGON) today reported financial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third quarter ended September 30, 2026, and provided business updates.</w:t>
      </w:r>
    </w:p>
    <w:p>
      <w:pPr>
        <w:spacing w:after="0" w:line="130" w:lineRule="exact"/>
        <w:rPr>
          <w:sz w:val="20"/>
          <w:szCs w:val="20"/>
          <w:color w:val="auto"/>
        </w:rPr>
      </w:pPr>
    </w:p>
    <w:p>
      <w:pPr>
        <w:ind w:right="300"/>
        <w:spacing w:after="0" w:line="366" w:lineRule="auto"/>
        <w:rPr>
          <w:sz w:val="20"/>
          <w:szCs w:val="20"/>
          <w:color w:val="auto"/>
        </w:rPr>
      </w:pPr>
      <w:r>
        <w:rPr>
          <w:rFonts w:ascii="Times New Roman" w:cs="Times New Roman" w:eastAsia="Times New Roman" w:hAnsi="Times New Roman"/>
          <w:sz w:val="20"/>
          <w:szCs w:val="20"/>
          <w:color w:val="auto"/>
        </w:rPr>
        <w:t>“We are entering an eventful period for CG Oncology as we look forward to sharing PIVOT-006 topline data this month. As a reminder, PIVOT-006 is the first randomized registrational trial in intermediate-risk and high-grade Ta NMIBC. Additionally, we expect to have 12-month data from both CORE-008 Cohort CX and BOND-003 Cohort P in December, which further strengthens the growing body of evidence for cretostimogene across the NMIBC landscape and supports our goal to address the broadest number of patients. We remain confident in cretostimogene’s potential to become a backbone therapy for patients and to create long-term value for shareholders,” stated Arthur Kuan, Chairman, President &amp; Chief Executive Officer at CG Oncology.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Highlights</w:t>
      </w:r>
    </w:p>
    <w:p>
      <w:pPr>
        <w:spacing w:after="0" w:line="337" w:lineRule="exact"/>
        <w:rPr>
          <w:sz w:val="20"/>
          <w:szCs w:val="20"/>
          <w:color w:val="auto"/>
        </w:rPr>
      </w:pPr>
    </w:p>
    <w:p>
      <w:pPr>
        <w:ind w:left="660" w:hanging="328"/>
        <w:spacing w:after="0" w:line="40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Strengthened Executive Leadership Team with the addition of life-science executive Isabel Kalofonos as Chief Commercial Officer</w:t>
      </w:r>
    </w:p>
    <w:p>
      <w:pPr>
        <w:spacing w:after="0" w:line="33" w:lineRule="exact"/>
        <w:rPr>
          <w:rFonts w:ascii="Times New Roman" w:cs="Times New Roman" w:eastAsia="Times New Roman" w:hAnsi="Times New Roman"/>
          <w:sz w:val="20"/>
          <w:szCs w:val="20"/>
          <w:color w:val="auto"/>
        </w:rPr>
      </w:pPr>
    </w:p>
    <w:p>
      <w:pPr>
        <w:ind w:left="1320" w:hanging="340"/>
        <w:spacing w:after="0"/>
        <w:tabs>
          <w:tab w:leader="none" w:pos="1320"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October, the Company appointed Isabel Kalofonos as Chief Commercial Officer. Ms. Kalofonos brings more than 20</w:t>
      </w:r>
    </w:p>
    <w:p>
      <w:pPr>
        <w:spacing w:after="0" w:line="109" w:lineRule="exact"/>
        <w:rPr>
          <w:rFonts w:ascii="Times New Roman" w:cs="Times New Roman" w:eastAsia="Times New Roman" w:hAnsi="Times New Roman"/>
          <w:sz w:val="20"/>
          <w:szCs w:val="20"/>
          <w:b w:val="1"/>
          <w:bCs w:val="1"/>
          <w:color w:val="auto"/>
        </w:rPr>
      </w:pPr>
    </w:p>
    <w:p>
      <w:pPr>
        <w:jc w:val="both"/>
        <w:ind w:left="1300"/>
        <w:spacing w:after="0" w:line="33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years of experience driving successful launches including PALSONIFY</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(paltusotine) and ELAHERE® (mirvetuximab soravtansine) through strong commercial execution, helping bring innovative therapies to patients at scale across the biotechnology and pharmaceutical industries.</w:t>
      </w:r>
    </w:p>
    <w:p>
      <w:pPr>
        <w:sectPr>
          <w:pgSz w:w="11900" w:h="16838" w:orient="portrait"/>
          <w:cols w:equalWidth="0" w:num="1">
            <w:col w:w="11240"/>
          </w:cols>
          <w:pgMar w:left="320" w:top="603"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Anticipated 2026 Milestones</w:t>
      </w:r>
    </w:p>
    <w:p>
      <w:pPr>
        <w:spacing w:after="0" w:line="341"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PIVOT-006 (intermediate-risk and high-grade Ta ≤ 3cm NMIBC): Phase 3 topline data November 2026</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CORE-008 Cohort CX (BCG-exposed HR and BCG-unresponsive NMIBC) 12-month data December 2026</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BOND-003 Cohort P (BCG-unresponsive papillary only NMIBC) 12-month data December 2026</w:t>
      </w:r>
    </w:p>
    <w:p>
      <w:pPr>
        <w:spacing w:after="0" w:line="215" w:lineRule="exact"/>
        <w:rPr>
          <w:rFonts w:ascii="Times New Roman" w:cs="Times New Roman" w:eastAsia="Times New Roman" w:hAnsi="Times New Roman"/>
          <w:sz w:val="20"/>
          <w:szCs w:val="20"/>
          <w:color w:val="auto"/>
        </w:rPr>
      </w:pPr>
    </w:p>
    <w:p>
      <w:pPr>
        <w:ind w:left="660" w:right="20" w:hanging="328"/>
        <w:spacing w:after="0" w:line="395"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BLA submission in initial indication of BCG-unresponsive NMIBC with CIS with or without papillary disease Q4 2026</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Financial Highlights</w:t>
      </w:r>
    </w:p>
    <w:p>
      <w:pPr>
        <w:spacing w:after="0" w:line="337" w:lineRule="exact"/>
        <w:rPr>
          <w:sz w:val="20"/>
          <w:szCs w:val="20"/>
          <w:color w:val="auto"/>
        </w:rPr>
      </w:pPr>
    </w:p>
    <w:p>
      <w:pPr>
        <w:jc w:val="both"/>
        <w:ind w:left="660" w:hanging="328"/>
        <w:spacing w:after="0" w:line="35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Position</w:t>
      </w:r>
      <w:r>
        <w:rPr>
          <w:rFonts w:ascii="Times New Roman" w:cs="Times New Roman" w:eastAsia="Times New Roman" w:hAnsi="Times New Roman"/>
          <w:sz w:val="20"/>
          <w:szCs w:val="20"/>
          <w:color w:val="auto"/>
        </w:rPr>
        <w:t>: Cash, cash equivalents and marketable securities as of September 30, 2026 were $984.5 million, compared with $1.0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billion as of June 30, 2026.  The Company anticipates its existing cash, cash equivalents and marketable securities as of this date will be sufficient to fund operations through 2029.</w:t>
      </w:r>
    </w:p>
    <w:p>
      <w:pPr>
        <w:spacing w:after="0" w:line="2" w:lineRule="exact"/>
        <w:rPr>
          <w:rFonts w:ascii="Times New Roman" w:cs="Times New Roman" w:eastAsia="Times New Roman" w:hAnsi="Times New Roman"/>
          <w:sz w:val="20"/>
          <w:szCs w:val="20"/>
          <w:color w:val="auto"/>
        </w:rPr>
      </w:pPr>
    </w:p>
    <w:p>
      <w:pPr>
        <w:jc w:val="both"/>
        <w:ind w:left="660" w:hanging="328"/>
        <w:spacing w:after="0" w:line="361"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Research and Development (R&amp;D) Expenses</w:t>
      </w:r>
      <w:r>
        <w:rPr>
          <w:rFonts w:ascii="Times New Roman" w:cs="Times New Roman" w:eastAsia="Times New Roman" w:hAnsi="Times New Roman"/>
          <w:sz w:val="20"/>
          <w:szCs w:val="20"/>
          <w:color w:val="auto"/>
        </w:rPr>
        <w:t>: R&amp;D expenses were $39.2 million for the third quarter of 2026, as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$27.9 million for the prior year period. The increase was primarily due to an increase in clinical trial expenses, including CMC costs, and an increase in compensation costs due to increased headcount.</w:t>
      </w:r>
    </w:p>
    <w:p>
      <w:pPr>
        <w:spacing w:after="0" w:line="1" w:lineRule="exact"/>
        <w:rPr>
          <w:rFonts w:ascii="Times New Roman" w:cs="Times New Roman" w:eastAsia="Times New Roman" w:hAnsi="Times New Roman"/>
          <w:sz w:val="20"/>
          <w:szCs w:val="20"/>
          <w:color w:val="auto"/>
        </w:rPr>
      </w:pPr>
    </w:p>
    <w:p>
      <w:pPr>
        <w:jc w:val="both"/>
        <w:ind w:left="660" w:hanging="328"/>
        <w:spacing w:after="0" w:line="35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and Administrative (G&amp;A) Expenses</w:t>
      </w:r>
      <w:r>
        <w:rPr>
          <w:rFonts w:ascii="Times New Roman" w:cs="Times New Roman" w:eastAsia="Times New Roman" w:hAnsi="Times New Roman"/>
          <w:sz w:val="20"/>
          <w:szCs w:val="20"/>
          <w:color w:val="auto"/>
        </w:rPr>
        <w:t>: G&amp;A expenses were $23.0 million for the third quarter of 2026, as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$23.3 million for the prior year period. The decrease was primarily due to a decrease in professional and consultant fees, partially offset by an increase in personnel-related expenses, including compensation costs from increased headcount, and an increase in other general G&amp;A expenses.</w:t>
      </w:r>
    </w:p>
    <w:p>
      <w:pPr>
        <w:ind w:left="660" w:hanging="328"/>
        <w:spacing w:after="0" w:line="385"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Net Loss</w:t>
      </w:r>
      <w:r>
        <w:rPr>
          <w:rFonts w:ascii="Times New Roman" w:cs="Times New Roman" w:eastAsia="Times New Roman" w:hAnsi="Times New Roman"/>
          <w:sz w:val="20"/>
          <w:szCs w:val="20"/>
          <w:color w:val="auto"/>
        </w:rPr>
        <w:t>: Net loss was $56.9 million, or $(0.64) per share, for the third quarter of 2026, as compared to a net loss of $43.8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$(0.57) per share, for the prior year period.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Cretostimogene Grenadenorepvec</w:t>
      </w:r>
    </w:p>
    <w:p>
      <w:pPr>
        <w:spacing w:after="0" w:line="179" w:lineRule="exact"/>
        <w:rPr>
          <w:sz w:val="20"/>
          <w:szCs w:val="20"/>
          <w:color w:val="auto"/>
        </w:rPr>
      </w:pPr>
    </w:p>
    <w:p>
      <w:pPr>
        <w:ind w:right="260"/>
        <w:spacing w:after="0" w:line="362" w:lineRule="auto"/>
        <w:rPr>
          <w:sz w:val="20"/>
          <w:szCs w:val="20"/>
          <w:color w:val="auto"/>
        </w:rPr>
      </w:pPr>
      <w:r>
        <w:rPr>
          <w:rFonts w:ascii="Times New Roman" w:cs="Times New Roman" w:eastAsia="Times New Roman" w:hAnsi="Times New Roman"/>
          <w:sz w:val="20"/>
          <w:szCs w:val="20"/>
          <w:color w:val="auto"/>
        </w:rPr>
        <w:t>Cretostimogene is an investigational, intravesically delivered oncolytic immunotherapy that has been studied in a clinical development program, which includes more than 700 patients with Non-Muscle Invasive Bladder Cancer (NMIBC). This program includes two Phase 3 clinical trials: BOND-003 for BCG-unresponsive NMIBC and PIVOT-006 for intermediate-risk and high-grade Ta ≤ 3cm NMIBC. Cretostimogene has received FDA Fast Track and Breakthrough Therapy designations for BCG-unresponsive NMIBC. CG Oncology also has a multi-cohort trial, CORE-008, evaluating the safety and efficacy of cretostimogene in BCG-exposed HR and BCG-unresponsive NMIBC. Additionally, we have initiated an Expanded Access Program for cretostimogene in North America for patients who are unresponsive to BCG and meet certain program eligibility requirements. Cretostimogene is an investigational candidate, and its safety and efficacy have not been established by the FDA or any other health authority.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CG Oncology</w:t>
      </w:r>
    </w:p>
    <w:p>
      <w:pPr>
        <w:spacing w:after="0" w:line="166"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9"/>
          <w:szCs w:val="19"/>
          <w:color w:val="auto"/>
        </w:rPr>
        <w:t>CG Oncology is a late-stage clinical biopharmaceutical company focused on developing and commercializing a potential backbone bladder-sparing therapeutic for patients afflicted with bladder cancer. CG Oncology sees a world where urologic cancer patients may benefit from our innovative immunotherapies to live with dignity and have an enhanced quality of life. To learn more, please visit: www.cgoncology.com.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9"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CG Oncology cautions you that statements contained in this press release regarding matters that are not historical facts are forward-looking statements. The forward-looking statements are based on our current beliefs and expectations and include, but are not limited to, statements regarding our anticipated cash runway; our future results of operations and financial position; the timing, progress, conduct and completion of our ongoing and planned clinical trials and preclinical studies of cretostimogene; the timing, availability, announcement, presentation and results of clinical data, including topline data from PIVOT-006 and 12-month data from BOND-003 Cohort P and CORE-008 Cohort CX; anticipated milestones in our development pipeline; the timing, completion, acceptance, review and outcome of regulatory filings and submissions for cretostimogene, including the anticipated completion of our BLA submission for BCG-unresponsive NMIBC; the timing or likelihood of regulatory approvals and the scope of any approved indication or product label; the potential safety, efficacy, therapeutic benefits, clinical utility, commercial potential and market opportunity of cretostimogene for patients with BCG-unresponsive, BCG-exposed, intermediate-risk and high-grade Ta NMIBC; and the potential for cretostimogene to address a broad range of NMIBC patients or become a backbone therapy. Actual results may differ from those set forth in this press release due to the risks and uncertainties inherent in our business, including, without limitation: topline, preliminary, interim or 12-month clinical-trial results may not be complete, may differ from final results, may not be confirmed upon full analysis of the data, and may not predict future or longer-term results; data from one trial, patient population, cohort or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32"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19"/>
          <w:szCs w:val="19"/>
          <w:color w:val="auto"/>
        </w:rPr>
        <w:t>time point may not be predictive of results from other trials, populations, cohorts or time points; potential delays in the commencement, enrollment, conduct or completion of clinical trials, including the BOND-003, PIVOT-006 and CORE-008 trials; potential delays in the completion, submission, acceptance or review of our BLA, and the possibility that the FDA may not approve cretostimogene on the anticipated timeline, for the anticipated indication or label, or at all; we may use our capital resources sooner than expected, and our existing capital resources may be insufficient to achieve our anticipated milestones or fund operations for the period anticipated; our cash-runway estimates are based on assumptions regarding our current operating plans, expenses and capital requirements that may prove to be incorrect or may change; our dependence on third parties in connection with manufacturing, shipping, clinical and preclinical testing activities; results from earlier clinical trials and preclinical studies may not be predictive of future results; unexpected adverse side effects or inadequate efficacy of cretostimogene may limit or prevent its development, regulatory approval or commercialization; we may be unable to successfully develop, obtain approval for, manufacture or commercialize cretostimogene; and other risks described in our filings with the Securities and Exchange Commission (SEC), including under the heading “Risk Factors” in our annual report on Form 10-K and other filings that we make with the SEC from time to time (which are available at http://www.sec.gov).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Sarah Connors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Communications and Patient Advocacy, CG Oncology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sarah.connors@cgoncology.com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Megan Knight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Investor Relations, CG Oncology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megan.knight@cgoncology.com</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3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and development revenue</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40" w:type="dxa"/>
            <w:vAlign w:val="bottom"/>
          </w:tcPr>
          <w:p>
            <w:pPr>
              <w:spacing w:after="0"/>
              <w:rPr>
                <w:sz w:val="22"/>
                <w:szCs w:val="22"/>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40" w:type="dxa"/>
            <w:vAlign w:val="bottom"/>
          </w:tcPr>
          <w:p>
            <w:pPr>
              <w:spacing w:after="0"/>
              <w:rPr>
                <w:sz w:val="22"/>
                <w:szCs w:val="22"/>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269"/>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License and collaboration revenue</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23"/>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33"/>
        </w:trPr>
        <w:tc>
          <w:tcPr>
            <w:tcW w:w="3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sales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5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137,608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86,683</w:t>
            </w:r>
          </w:p>
        </w:tc>
        <w:tc>
          <w:tcPr>
            <w:tcW w:w="0" w:type="dxa"/>
            <w:vAlign w:val="bottom"/>
          </w:tcPr>
          <w:p>
            <w:pPr>
              <w:spacing w:after="0"/>
              <w:rPr>
                <w:sz w:val="1"/>
                <w:szCs w:val="1"/>
                <w:color w:val="auto"/>
              </w:rPr>
            </w:pPr>
          </w:p>
        </w:tc>
      </w:tr>
      <w:tr>
        <w:trPr>
          <w:trHeight w:val="269"/>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22,963</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72,719</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55,532</w:t>
            </w:r>
          </w:p>
        </w:tc>
        <w:tc>
          <w:tcPr>
            <w:tcW w:w="0" w:type="dxa"/>
            <w:vAlign w:val="bottom"/>
          </w:tcPr>
          <w:p>
            <w:pPr>
              <w:spacing w:after="0"/>
              <w:rPr>
                <w:sz w:val="1"/>
                <w:szCs w:val="1"/>
                <w:color w:val="auto"/>
              </w:rPr>
            </w:pPr>
          </w:p>
        </w:tc>
      </w:tr>
      <w:tr>
        <w:trPr>
          <w:trHeight w:val="223"/>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143,792</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(142,074)</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 net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22,487</w:t>
            </w:r>
          </w:p>
        </w:tc>
        <w:tc>
          <w:tcPr>
            <w:tcW w:w="0" w:type="dxa"/>
            <w:vAlign w:val="bottom"/>
          </w:tcPr>
          <w:p>
            <w:pPr>
              <w:spacing w:after="0"/>
              <w:rPr>
                <w:sz w:val="1"/>
                <w:szCs w:val="1"/>
                <w:color w:val="auto"/>
              </w:rPr>
            </w:pPr>
          </w:p>
        </w:tc>
      </w:tr>
      <w:tr>
        <w:trPr>
          <w:trHeight w:val="27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23"/>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22,388</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(56,891)</w:t>
            </w:r>
          </w:p>
        </w:tc>
        <w:tc>
          <w:tcPr>
            <w:tcW w:w="14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(196,149)</w:t>
            </w:r>
          </w:p>
        </w:tc>
        <w:tc>
          <w:tcPr>
            <w:tcW w:w="14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(119,686)</w:t>
            </w:r>
          </w:p>
        </w:tc>
        <w:tc>
          <w:tcPr>
            <w:tcW w:w="0" w:type="dxa"/>
            <w:vAlign w:val="bottom"/>
          </w:tcPr>
          <w:p>
            <w:pPr>
              <w:spacing w:after="0"/>
              <w:rPr>
                <w:sz w:val="1"/>
                <w:szCs w:val="1"/>
                <w:color w:val="auto"/>
              </w:rPr>
            </w:pPr>
          </w:p>
        </w:tc>
      </w:tr>
      <w:tr>
        <w:trPr>
          <w:trHeight w:val="33"/>
        </w:trPr>
        <w:tc>
          <w:tcPr>
            <w:tcW w:w="3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4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33"/>
        </w:trPr>
        <w:tc>
          <w:tcPr>
            <w:tcW w:w="3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of common stock</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88,871,135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76,729,726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87,212,504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76,383,376</w:t>
            </w:r>
          </w:p>
        </w:tc>
        <w:tc>
          <w:tcPr>
            <w:tcW w:w="0" w:type="dxa"/>
            <w:vAlign w:val="bottom"/>
          </w:tcPr>
          <w:p>
            <w:pPr>
              <w:spacing w:after="0"/>
              <w:rPr>
                <w:sz w:val="1"/>
                <w:szCs w:val="1"/>
                <w:color w:val="auto"/>
              </w:rPr>
            </w:pPr>
          </w:p>
        </w:tc>
      </w:tr>
      <w:tr>
        <w:trPr>
          <w:trHeight w:val="213"/>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basic and diluted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6"/>
        </w:trPr>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6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cash equivalents, and marketable securities</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984,458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742,155</w:t>
            </w: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1,046,670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791,592</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38,990</w:t>
            </w: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990,966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752,602</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2026-11-06T07:31:04Z</dcterms:created>
  <dcterms:modified xsi:type="dcterms:W3CDTF">2026-11-06T07:31:04Z</dcterms:modified>
</cp:coreProperties>
</file>