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CG ONCOLOGY,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RTW Investments,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6,984,808.00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6,984,808.00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6,984,808.00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8.3 %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Roderick Wong</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6,984,808.00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6,984,808.00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6,984,808.00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8.3 %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right="6140" w:hanging="1112"/>
        <w:spacing w:after="0" w:line="489" w:lineRule="auto"/>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 HC, IN</w:t>
      </w: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CG ONCOLOGY,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400 Spectrum Center Drive, Suite 2040, Irvine, CA, 92618.</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120"/>
        <w:spacing w:after="0" w:line="253" w:lineRule="auto"/>
        <w:rPr>
          <w:sz w:val="20"/>
          <w:szCs w:val="20"/>
          <w:color w:val="auto"/>
        </w:rPr>
      </w:pPr>
      <w:r>
        <w:rPr>
          <w:rFonts w:ascii="Times New Roman" w:cs="Times New Roman" w:eastAsia="Times New Roman" w:hAnsi="Times New Roman"/>
          <w:sz w:val="21"/>
          <w:szCs w:val="21"/>
          <w:color w:val="auto"/>
        </w:rPr>
        <w:t>This statement is filed by: (i) RTW Investments, LP ("RTW Investments"), a Delaware limited partnership and the investment adviser to certain funds (the "RTW Funds"), with respect to shares of Common Stock, par value $0.0001</w:t>
      </w:r>
    </w:p>
    <w:p>
      <w:pPr>
        <w:spacing w:after="0" w:line="1" w:lineRule="exact"/>
        <w:rPr>
          <w:sz w:val="20"/>
          <w:szCs w:val="20"/>
          <w:color w:val="auto"/>
        </w:rPr>
      </w:pPr>
    </w:p>
    <w:p>
      <w:pPr>
        <w:ind w:left="920" w:right="40" w:hanging="912"/>
        <w:spacing w:after="0" w:line="201" w:lineRule="auto"/>
        <w:tabs>
          <w:tab w:leader="none" w:pos="920" w:val="left"/>
        </w:tabs>
        <w:numPr>
          <w:ilvl w:val="0"/>
          <w:numId w:val="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per share (the "Shares") of CG Oncology, Inc. (the "Company") directly held by the RTW Funds; and (ii) Roderick Wong, M.D. ("Dr. Wong"), the Managing Partner and Chief Investment Officer of RTW Investments, with respect to the Shares directly held by the RTW Funds. The foregoing persons are hereinafter sometimes collectively referred to as the "Reporting Persons." The filing of this statement should not be construed as an admission that any of the foregoing persons or any Reporting Person is, for the purposes of Section 13 of the Securities Exchange Act of 1934, as amended, the beneficial owner of the Shares reported herein.</w:t>
      </w:r>
    </w:p>
    <w:p>
      <w:pPr>
        <w:sectPr>
          <w:pgSz w:w="11900" w:h="16838" w:orient="portrait"/>
          <w:cols w:equalWidth="0" w:num="1">
            <w:col w:w="11080"/>
          </w:cols>
          <w:pgMar w:left="360" w:top="111" w:right="459" w:bottom="0" w:gutter="0" w:footer="0" w:header="0"/>
        </w:sect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The address of the business office of each of the Reporting Persons is 40 10th Avenue, Floor 7, New York, New York 10014.</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RTW Investments is a Delaware limited partnership. Dr. Wong is a citizen of the United States.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$0.0001 par value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2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6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160"/>
          </w:cols>
          <w:pgMar w:left="360" w:top="111" w:right="459" w:bottom="0" w:gutter="0" w:footer="0" w:header="0"/>
          <w:type w:val="continuous"/>
        </w:sectPr>
      </w:pPr>
    </w:p>
    <w:p>
      <w:pPr>
        <w:spacing w:after="0" w:line="33" w:lineRule="exact"/>
        <w:rPr>
          <w:sz w:val="20"/>
          <w:szCs w:val="20"/>
          <w:color w:val="auto"/>
        </w:rPr>
      </w:pPr>
    </w:p>
    <w:p>
      <w:pPr>
        <w:ind w:left="920" w:right="120" w:hanging="912"/>
        <w:spacing w:after="0" w:line="193" w:lineRule="auto"/>
        <w:tabs>
          <w:tab w:leader="none" w:pos="92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The information required by Item 4(a) is set forth in Rows 5 - 9 of the cover page for each of the Reporting Persons and is incorporated herein by reference. The percentages set forth in Row 11 of the cover pages are calculated based upon 84,435,200 Shares outstanding as of February 25, 2026 as reported in the Company's Annual Report on Form 10-K filed with the Securities and Exchange Commission on February 27, 2026.</w:t>
      </w:r>
    </w:p>
    <w:p>
      <w:pPr>
        <w:sectPr>
          <w:pgSz w:w="11900" w:h="16838" w:orient="portrait"/>
          <w:cols w:equalWidth="0" w:num="1">
            <w:col w:w="11080"/>
          </w:cols>
          <w:pgMar w:left="360" w:top="111" w:right="459" w:bottom="0" w:gutter="0" w:footer="0" w:header="0"/>
          <w:type w:val="continuous"/>
        </w:sectPr>
      </w:pPr>
    </w:p>
    <w:bookmarkStart w:id="3" w:name="page4"/>
    <w:bookmarkEnd w:id="3"/>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RTW Investments: 8.3% Dr. Wong: 8.3% %</w:t>
      </w:r>
    </w:p>
    <w:p>
      <w:pPr>
        <w:spacing w:after="0" w:line="55"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RTW Investments: 0 Dr. Wong: 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RTW Investments: 6,984,808 Shares Dr. Wong: 6,984,808 Shares</w:t>
      </w:r>
    </w:p>
    <w:p>
      <w:pPr>
        <w:spacing w:after="0" w:line="287" w:lineRule="exact"/>
        <w:rPr>
          <w:sz w:val="20"/>
          <w:szCs w:val="20"/>
          <w:color w:val="auto"/>
        </w:rPr>
      </w:pPr>
    </w:p>
    <w:p>
      <w:pPr>
        <w:ind w:right="5320" w:firstLine="6"/>
        <w:spacing w:after="0" w:line="486" w:lineRule="auto"/>
        <w:tabs>
          <w:tab w:leader="none" w:pos="37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RTW Investments: 0 Dr. Wong: 0</w:t>
      </w:r>
    </w:p>
    <w:p>
      <w:pPr>
        <w:spacing w:after="0" w:line="1" w:lineRule="exact"/>
        <w:rPr>
          <w:rFonts w:ascii="Times New Roman" w:cs="Times New Roman" w:eastAsia="Times New Roman" w:hAnsi="Times New Roman"/>
          <w:sz w:val="22"/>
          <w:szCs w:val="22"/>
          <w:color w:val="auto"/>
        </w:rPr>
      </w:pPr>
    </w:p>
    <w:p>
      <w:pPr>
        <w:ind w:right="4540" w:firstLine="6"/>
        <w:spacing w:after="0" w:line="500" w:lineRule="auto"/>
        <w:tabs>
          <w:tab w:leader="none" w:pos="36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RTW Investments: 6,984,808 Shares Dr. Wong: 6,984,808 Shares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520"/>
        <w:spacing w:after="0" w:line="256" w:lineRule="auto"/>
        <w:rPr>
          <w:sz w:val="20"/>
          <w:szCs w:val="20"/>
          <w:color w:val="auto"/>
        </w:rPr>
      </w:pPr>
      <w:r>
        <w:rPr>
          <w:rFonts w:ascii="Times New Roman" w:cs="Times New Roman" w:eastAsia="Times New Roman" w:hAnsi="Times New Roman"/>
          <w:sz w:val="22"/>
          <w:szCs w:val="22"/>
          <w:color w:val="auto"/>
        </w:rPr>
        <w:t>See Item 2. The RTW Funds have the right to receive or the power to direct the receipt of dividends from, or the proceeds from the sale of, the Shares reported herein.</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2"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RTW Investments, LP</w:t>
      </w:r>
    </w:p>
    <w:p>
      <w:pPr>
        <w:spacing w:after="0" w:line="152" w:lineRule="exact"/>
        <w:rPr>
          <w:sz w:val="20"/>
          <w:szCs w:val="20"/>
          <w:color w:val="auto"/>
        </w:rPr>
      </w:pPr>
    </w:p>
    <w:p>
      <w:pPr>
        <w:ind w:left="4860"/>
        <w:spacing w:after="0"/>
        <w:tabs>
          <w:tab w:leader="none" w:pos="5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Roderick Wong, M.D.</w:t>
      </w:r>
    </w:p>
    <w:p>
      <w:pPr>
        <w:spacing w:after="0" w:line="4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Name/Title: Roderick Wong, M.D., Managing Partner</w:t>
      </w:r>
    </w:p>
    <w:p>
      <w:pPr>
        <w:spacing w:after="0" w:line="44" w:lineRule="exact"/>
        <w:rPr>
          <w:sz w:val="20"/>
          <w:szCs w:val="20"/>
          <w:color w:val="auto"/>
        </w:rPr>
      </w:pPr>
    </w:p>
    <w:p>
      <w:pPr>
        <w:ind w:left="4860"/>
        <w:spacing w:after="0"/>
        <w:tabs>
          <w:tab w:leader="none" w:pos="5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Roderick Wong</w:t>
      </w:r>
    </w:p>
    <w:p>
      <w:pPr>
        <w:spacing w:after="0" w:line="152"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Roderick Wong, M.D.</w:t>
      </w:r>
    </w:p>
    <w:p>
      <w:pPr>
        <w:spacing w:after="0" w:line="4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Name/Title: Roderick Wong, M.D.</w:t>
      </w:r>
    </w:p>
    <w:p>
      <w:pPr>
        <w:spacing w:after="0" w:line="44"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ectPr>
          <w:pgSz w:w="11900" w:h="16838" w:orient="portrait"/>
          <w:cols w:equalWidth="0" w:num="1">
            <w:col w:w="11140"/>
          </w:cols>
          <w:pgMar w:left="360" w:top="112" w:right="399" w:bottom="0" w:gutter="0" w:footer="0" w:header="0"/>
          <w:type w:val="continuous"/>
        </w:sectPr>
      </w:pPr>
    </w:p>
    <w:bookmarkStart w:id="4" w:name="page5"/>
    <w:bookmarkEnd w:id="4"/>
    <w:p>
      <w:pPr>
        <w:jc w:val="center"/>
        <w:ind w:right="701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Exhibit 99.1 Joint Filing Agreement</w:t>
      </w:r>
    </w:p>
    <w:p>
      <w:pPr>
        <w:sectPr>
          <w:pgSz w:w="11900" w:h="16838" w:orient="portrait"/>
          <w:cols w:equalWidth="0" w:num="1">
            <w:col w:w="10099"/>
          </w:cols>
          <w:pgMar w:left="360" w:top="108" w:right="1440" w:bottom="1440" w:gutter="0" w:footer="0" w:header="0"/>
        </w:sectPr>
      </w:pPr>
    </w:p>
    <w:bookmarkStart w:id="5" w:name="page6"/>
    <w:bookmarkEnd w:id="5"/>
    <w:p>
      <w:pPr>
        <w:jc w:val="center"/>
        <w:ind w:left="480"/>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4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0"/>
          <w:szCs w:val="20"/>
          <w:b w:val="1"/>
          <w:bCs w:val="1"/>
          <w:color w:val="auto"/>
        </w:rPr>
        <w:t>JOINT FILING AGREEMENT</w:t>
      </w:r>
    </w:p>
    <w:p>
      <w:pPr>
        <w:spacing w:after="0" w:line="2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0"/>
          <w:szCs w:val="20"/>
          <w:b w:val="1"/>
          <w:bCs w:val="1"/>
          <w:color w:val="auto"/>
        </w:rPr>
        <w:t>PURSUANT TO RULE 13(d)-1(k)</w:t>
      </w:r>
    </w:p>
    <w:p>
      <w:pPr>
        <w:spacing w:after="0" w:line="207"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May 15, 2026</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RTW Investments, LP</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Roderick Wong, M.D.</w:t>
      </w:r>
    </w:p>
    <w:p>
      <w:pPr>
        <w:spacing w:after="0" w:line="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Name: Roderick Wong, M.D.</w:t>
      </w:r>
    </w:p>
    <w:p>
      <w:pPr>
        <w:ind w:left="420"/>
        <w:spacing w:after="0"/>
        <w:rPr>
          <w:sz w:val="20"/>
          <w:szCs w:val="20"/>
          <w:color w:val="auto"/>
        </w:rPr>
      </w:pPr>
      <w:r>
        <w:rPr>
          <w:rFonts w:ascii="Times New Roman" w:cs="Times New Roman" w:eastAsia="Times New Roman" w:hAnsi="Times New Roman"/>
          <w:sz w:val="20"/>
          <w:szCs w:val="20"/>
          <w:color w:val="auto"/>
        </w:rPr>
        <w:t>Title: Managing Partner</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Roderick Wong, M.D.</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 Roderick Wong, M.D.</w:t>
      </w:r>
    </w:p>
    <w:sectPr>
      <w:pgSz w:w="11900" w:h="16838" w:orient="portrait"/>
      <w:cols w:equalWidth="0" w:num="1">
        <w:col w:w="11180"/>
      </w:cols>
      <w:pgMar w:left="320" w:top="114"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decimal"/>
      <w:start w:val="1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2"/>
    </w:lvl>
  </w:abstractNum>
  <w:abstractNum w:abstractNumId="6">
    <w:nsid w:val="79E2A9E3"/>
    <w:multiLevelType w:val="hybridMultilevel"/>
    <w:lvl w:ilvl="0">
      <w:lvlJc w:val="left"/>
      <w:lvlText w:val="(%1)"/>
      <w:numFmt w:val="lowerRoman"/>
      <w:start w:val="1"/>
    </w:lvl>
  </w:abstractNum>
  <w:abstractNum w:abstractNumId="7">
    <w:nsid w:val="7545E146"/>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2026-05-15T07:17:45Z</dcterms:created>
  <dcterms:modified xsi:type="dcterms:W3CDTF">2026-05-15T07:17:45Z</dcterms:modified>
</cp:coreProperties>
</file>