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991792-20240930.htm"/>
      <w:bookmarkStart w:id="1" w:name="ksck00019917922024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September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_____________________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18"/>
        </w:rPr>
        <w:t>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001-41925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CG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406"/>
        <w:gridCol w:w="1246"/>
      </w:tblGrid>
      <w:tr>
        <w:trPr/>
        <w:tc>
          <w:tcPr>
            <w:tcW w:w="34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37-1611499</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40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400 Spectrum Center Drive, Suite 2040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(949) 409-3700</w:t>
      </w:r>
    </w:p>
    <w:p>
      <w:pPr>
        <w:pStyle w:val="TextBody"/>
        <w:pBdr>
          <w:bottom w:val="single" w:sz="4" w:space="1" w:color="000000"/>
        </w:pBdr>
        <w:bidi w:val="0"/>
        <w:spacing w:before="40" w:after="283"/>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CGON</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both"/>
        <w:rPr>
          <w:rFonts w:ascii="Times New Roman" w:hAnsi="Times New Roman"/>
          <w:sz w:val="20"/>
        </w:rPr>
      </w:pPr>
      <w:r>
        <w:rPr>
          <w:rFonts w:ascii="Times New Roman" w:hAnsi="Times New Roman"/>
          <w:color w:val="000000"/>
          <w:sz w:val="18"/>
        </w:rPr>
        <w:t>As of November 8, 2024, the registrant had 67,629,675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738" w:type="dxa"/>
        <w:jc w:val="left"/>
        <w:tblInd w:w="0" w:type="dxa"/>
        <w:tblLayout w:type="fixed"/>
        <w:tblCellMar>
          <w:top w:w="28" w:type="dxa"/>
          <w:left w:w="28" w:type="dxa"/>
          <w:bottom w:w="28" w:type="dxa"/>
          <w:right w:w="28" w:type="dxa"/>
        </w:tblCellMar>
      </w:tblPr>
      <w:tblGrid>
        <w:gridCol w:w="886"/>
        <w:gridCol w:w="834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341" w:type="dxa"/>
            <w:tcBorders/>
            <w:shd w:fill="FFFFFF" w:val="clear"/>
            <w:vAlign w:val="center"/>
          </w:tcPr>
          <w:p>
            <w:pPr>
              <w:pStyle w:val="TableContents"/>
              <w:bidi w:val="0"/>
              <w:spacing w:before="0" w:after="283"/>
              <w:jc w:val="both"/>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1" w:type="dxa"/>
            <w:tcBorders/>
            <w:shd w:fill="FFFFFF" w:val="clear"/>
            <w:vAlign w:val="center"/>
          </w:tcPr>
          <w:p>
            <w:pPr>
              <w:pStyle w:val="TableContents"/>
              <w:bidi w:val="0"/>
              <w:spacing w:before="0" w:after="283"/>
              <w:jc w:val="both"/>
              <w:rPr/>
            </w:pPr>
            <w:hyperlink w:anchor="item_1_financial_statements">
              <w:r>
                <w:rPr>
                  <w:rStyle w:val="InternetLink"/>
                  <w:rFonts w:ascii="Times New Roman" w:hAnsi="Times New Roman"/>
                  <w:color w:val="0000FF"/>
                  <w:sz w:val="20"/>
                  <w:u w:val="single"/>
                </w:rPr>
                <w:t>Condensed Financial Statements (unaudited)</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hyperlink w:anchor="stmt_of_operations_and_comp_los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hyperlink w:anchor="preferred_stock_and_stockholders_deficit">
              <w:r>
                <w:rPr>
                  <w:rStyle w:val="InternetLink"/>
                  <w:rFonts w:ascii="Times New Roman" w:hAnsi="Times New Roman"/>
                  <w:color w:val="0000FF"/>
                  <w:sz w:val="20"/>
                  <w:u w:val="single"/>
                </w:rPr>
                <w:t>Condensed Statements of Redeemable Convertible Preferred Stock and Stockholders’ Equity (Deficit)</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hyperlink w:anchor="condensed_statements_of_cash_flows">
              <w:r>
                <w:rPr>
                  <w:rStyle w:val="InternetLink"/>
                  <w:rFonts w:ascii="Times New Roman" w:hAnsi="Times New Roman"/>
                  <w:color w:val="0000FF"/>
                  <w:sz w:val="20"/>
                  <w:u w:val="single"/>
                </w:rPr>
                <w:t>Condensed Statements of Cash Flows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hyperlink w:anchor="notes_to_condensed_financial_statements">
              <w:r>
                <w:rPr>
                  <w:rStyle w:val="InternetLink"/>
                  <w:rFonts w:ascii="Times New Roman" w:hAnsi="Times New Roman"/>
                  <w:color w:val="0000FF"/>
                  <w:sz w:val="20"/>
                  <w:u w:val="single"/>
                </w:rPr>
                <w:t>Notes to Condensed Financial Statements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1" w:type="dxa"/>
            <w:tcBorders/>
            <w:shd w:fill="FFFFFF" w:val="clear"/>
            <w:vAlign w:val="center"/>
          </w:tcPr>
          <w:p>
            <w:pPr>
              <w:pStyle w:val="TableContents"/>
              <w:bidi w:val="0"/>
              <w:spacing w:before="0" w:after="283"/>
              <w:jc w:val="both"/>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1" w:type="dxa"/>
            <w:tcBorders/>
            <w:shd w:fill="FFFFFF" w:val="clear"/>
            <w:vAlign w:val="center"/>
          </w:tcPr>
          <w:p>
            <w:pPr>
              <w:pStyle w:val="TableContents"/>
              <w:bidi w:val="0"/>
              <w:spacing w:before="0" w:after="283"/>
              <w:jc w:val="both"/>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1" w:type="dxa"/>
            <w:tcBorders/>
            <w:shd w:fill="FFFFFF" w:val="clear"/>
            <w:vAlign w:val="center"/>
          </w:tcPr>
          <w:p>
            <w:pPr>
              <w:pStyle w:val="TableContents"/>
              <w:bidi w:val="0"/>
              <w:spacing w:before="0" w:after="283"/>
              <w:jc w:val="both"/>
              <w:rPr/>
            </w:pPr>
            <w:hyperlink w:anchor="item_4_controls_and_procedure">
              <w:r>
                <w:rPr>
                  <w:rStyle w:val="InternetLink"/>
                  <w:rFonts w:ascii="Times New Roman" w:hAnsi="Times New Roman"/>
                  <w:color w:val="0000FF"/>
                  <w:sz w:val="20"/>
                  <w:u w:val="single"/>
                </w:rPr>
                <w:t>Controls and Procedures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341" w:type="dxa"/>
            <w:tcBorders/>
            <w:shd w:fill="FFFFFF" w:val="clear"/>
            <w:vAlign w:val="center"/>
          </w:tcPr>
          <w:p>
            <w:pPr>
              <w:pStyle w:val="TableContents"/>
              <w:bidi w:val="0"/>
              <w:spacing w:before="0" w:after="283"/>
              <w:jc w:val="both"/>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pPr>
            <w:r>
              <w:rPr/>
              <w:t> </w:t>
            </w:r>
          </w:p>
        </w:tc>
        <w:tc>
          <w:tcPr>
            <w:tcW w:w="8341" w:type="dxa"/>
            <w:tcBorders/>
            <w:shd w:fill="FFFFFF" w:val="clear"/>
            <w:vAlign w:val="center"/>
          </w:tcPr>
          <w:p>
            <w:pPr>
              <w:pStyle w:val="TableContents"/>
              <w:bidi w:val="0"/>
              <w:spacing w:before="0" w:after="283"/>
              <w:jc w:val="both"/>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1" w:type="dxa"/>
            <w:tcBorders/>
            <w:shd w:fill="FFFFFF" w:val="clear"/>
            <w:vAlign w:val="center"/>
          </w:tcPr>
          <w:p>
            <w:pPr>
              <w:pStyle w:val="TableContents"/>
              <w:bidi w:val="0"/>
              <w:spacing w:before="0" w:after="283"/>
              <w:jc w:val="both"/>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41" w:type="dxa"/>
            <w:tcBorders/>
            <w:shd w:fill="FFFFFF" w:val="clear"/>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1" w:type="dxa"/>
            <w:tcBorders/>
            <w:shd w:fill="FFFFFF" w:val="clear"/>
            <w:vAlign w:val="center"/>
          </w:tcPr>
          <w:p>
            <w:pPr>
              <w:pStyle w:val="TableContents"/>
              <w:bidi w:val="0"/>
              <w:spacing w:before="0" w:after="283"/>
              <w:jc w:val="both"/>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1" w:type="dxa"/>
            <w:tcBorders/>
            <w:shd w:fill="FFFFFF" w:val="clear"/>
            <w:vAlign w:val="center"/>
          </w:tcPr>
          <w:p>
            <w:pPr>
              <w:pStyle w:val="TableContents"/>
              <w:bidi w:val="0"/>
              <w:spacing w:before="0" w:after="283"/>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1" w:type="dxa"/>
            <w:tcBorders/>
            <w:shd w:fill="FFFFFF" w:val="clear"/>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41" w:type="dxa"/>
            <w:tcBorders/>
            <w:shd w:fill="FFFFFF" w:val="clear"/>
            <w:vAlign w:val="center"/>
          </w:tcPr>
          <w:p>
            <w:pPr>
              <w:pStyle w:val="TableContents"/>
              <w:bidi w:val="0"/>
              <w:spacing w:before="0" w:after="283"/>
              <w:jc w:val="both"/>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41" w:type="dxa"/>
            <w:tcBorders/>
            <w:shd w:fill="FFFFFF" w:val="clear"/>
            <w:vAlign w:val="center"/>
          </w:tcPr>
          <w:p>
            <w:pPr>
              <w:pStyle w:val="TableContents"/>
              <w:bidi w:val="0"/>
              <w:spacing w:before="0" w:after="283"/>
              <w:jc w:val="both"/>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227" w:type="dxa"/>
            <w:gridSpan w:val="2"/>
            <w:tcBorders/>
            <w:shd w:fill="FFFFFF" w:val="clear"/>
            <w:vAlign w:val="center"/>
          </w:tcPr>
          <w:p>
            <w:pPr>
              <w:pStyle w:val="TableContents"/>
              <w:bidi w:val="0"/>
              <w:spacing w:before="0" w:after="283"/>
              <w:jc w:val="both"/>
              <w:rPr/>
            </w:pPr>
            <w:hyperlink w:anchor="signatures">
              <w:r>
                <w:rPr>
                  <w:rStyle w:val="InternetLink"/>
                  <w:rFonts w:ascii="Times New Roman" w:hAnsi="Times New Roman"/>
                  <w:color w:val="0000FF"/>
                  <w:sz w:val="20"/>
                  <w:u w:val="single"/>
                </w:rPr>
                <w:t>Signatures</w:t>
              </w:r>
            </w:hyperlink>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densed_balance_sheets"/>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6"/>
        <w:gridCol w:w="146"/>
        <w:gridCol w:w="234"/>
        <w:gridCol w:w="897"/>
        <w:gridCol w:w="166"/>
        <w:gridCol w:w="146"/>
        <w:gridCol w:w="224"/>
        <w:gridCol w:w="863"/>
        <w:gridCol w:w="613"/>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vAlign w:val="center"/>
          </w:tcPr>
          <w:p>
            <w:pPr>
              <w:pStyle w:val="TableContents"/>
              <w:bidi w:val="0"/>
              <w:spacing w:before="0" w:after="283"/>
              <w:jc w:val="center"/>
              <w:rPr/>
            </w:pPr>
            <w:r>
              <w:rPr/>
              <w:t> </w:t>
            </w:r>
          </w:p>
        </w:tc>
      </w:tr>
      <w:tr>
        <w:trPr/>
        <w:tc>
          <w:tcPr>
            <w:tcW w:w="6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3" w:type="dxa"/>
            <w:tcBorders/>
            <w:shd w:fill="FFFFFF" w:val="clear"/>
            <w:vAlign w:val="center"/>
          </w:tcPr>
          <w:p>
            <w:pPr>
              <w:pStyle w:val="TableContents"/>
              <w:bidi w:val="0"/>
              <w:spacing w:before="0" w:after="283"/>
              <w:jc w:val="center"/>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179,408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6,358</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 - other</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194,124</w:t>
            </w:r>
          </w:p>
        </w:tc>
        <w:tc>
          <w:tcPr>
            <w:tcW w:w="613" w:type="dxa"/>
            <w:tcBorders/>
            <w:shd w:fill="FFFFFF" w:val="cle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613"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613" w:type="dxa"/>
            <w:tcBorders/>
            <w:shd w:fill="FFFFFF" w:val="cle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613"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offering costs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2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552,471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199,301</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Convertible Preferred Stock and Stockholders’ Equity (Deficit)</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Success fee liability, current portion</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10,443</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14,254</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 liability, non-current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613"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14,511</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5)</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Series A-1 redeemable convertible preferred stock, $0.0001</w:t>
            </w:r>
            <w:r>
              <w:rPr>
                <w:rFonts w:ascii="Times New Roman" w:hAnsi="Times New Roman"/>
                <w:color w:val="000000"/>
                <w:sz w:val="20"/>
              </w:rPr>
              <w:t> </w:t>
            </w:r>
            <w:r>
              <w:rPr>
                <w:rFonts w:ascii="Times New Roman" w:hAnsi="Times New Roman"/>
                <w:color w:val="000000"/>
                <w:sz w:val="16"/>
              </w:rPr>
              <w:t>par value per share; zero</w:t>
            </w:r>
            <w:r>
              <w:rPr>
                <w:rFonts w:ascii="Times New Roman" w:hAnsi="Times New Roman"/>
                <w:color w:val="000000"/>
                <w:sz w:val="20"/>
              </w:rPr>
              <w:t> </w:t>
            </w:r>
            <w:r>
              <w:rPr>
                <w:rFonts w:ascii="Times New Roman" w:hAnsi="Times New Roman"/>
                <w:color w:val="000000"/>
                <w:sz w:val="16"/>
              </w:rPr>
              <w:br/>
              <w:t>   and 5,075,000</w:t>
            </w:r>
            <w:r>
              <w:rPr>
                <w:rFonts w:ascii="Times New Roman" w:hAnsi="Times New Roman"/>
                <w:color w:val="000000"/>
                <w:sz w:val="20"/>
              </w:rPr>
              <w:t> </w:t>
            </w:r>
            <w:r>
              <w:rPr>
                <w:rFonts w:ascii="Times New Roman" w:hAnsi="Times New Roman"/>
                <w:color w:val="000000"/>
                <w:sz w:val="16"/>
              </w:rPr>
              <w:t>shares authorized, issued and outstanding as of September 30, 2024 and</w:t>
              <w:br/>
              <w:t>   December 31, 2023, respectively; liquidation value of $0</w:t>
            </w:r>
            <w:r>
              <w:rPr>
                <w:rFonts w:ascii="Times New Roman" w:hAnsi="Times New Roman"/>
                <w:color w:val="000000"/>
                <w:sz w:val="20"/>
              </w:rPr>
              <w:t> </w:t>
            </w:r>
            <w:r>
              <w:rPr>
                <w:rFonts w:ascii="Times New Roman" w:hAnsi="Times New Roman"/>
                <w:color w:val="000000"/>
                <w:sz w:val="16"/>
              </w:rPr>
              <w:t>and $3,570</w:t>
            </w:r>
            <w:r>
              <w:rPr>
                <w:rFonts w:ascii="Times New Roman" w:hAnsi="Times New Roman"/>
                <w:color w:val="000000"/>
                <w:sz w:val="20"/>
              </w:rPr>
              <w:t> </w:t>
            </w:r>
            <w:r>
              <w:rPr>
                <w:rFonts w:ascii="Times New Roman" w:hAnsi="Times New Roman"/>
                <w:color w:val="000000"/>
                <w:sz w:val="16"/>
              </w:rPr>
              <w:t>as of</w:t>
              <w:br/>
              <w: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Series B redeemable convertible preferred stock, $0.0001</w:t>
            </w:r>
            <w:r>
              <w:rPr>
                <w:rFonts w:ascii="Times New Roman" w:hAnsi="Times New Roman"/>
                <w:color w:val="000000"/>
                <w:sz w:val="20"/>
              </w:rPr>
              <w:t> </w:t>
            </w:r>
            <w:r>
              <w:rPr>
                <w:rFonts w:ascii="Times New Roman" w:hAnsi="Times New Roman"/>
                <w:color w:val="000000"/>
                <w:sz w:val="16"/>
              </w:rPr>
              <w:t>par value per share; zero</w:t>
              <w:br/>
              <w:t>   and 11,973,000</w:t>
            </w:r>
            <w:r>
              <w:rPr>
                <w:rFonts w:ascii="Times New Roman" w:hAnsi="Times New Roman"/>
                <w:color w:val="000000"/>
                <w:sz w:val="20"/>
              </w:rPr>
              <w:t> </w:t>
            </w:r>
            <w:r>
              <w:rPr>
                <w:rFonts w:ascii="Times New Roman" w:hAnsi="Times New Roman"/>
                <w:color w:val="000000"/>
                <w:sz w:val="16"/>
              </w:rPr>
              <w:t>shares authorized, issued and outstanding as of September 30, 2024 and</w:t>
              <w:br/>
              <w:t>   December 31, 2023; liquidation value of $0</w:t>
            </w:r>
            <w:r>
              <w:rPr>
                <w:rFonts w:ascii="Times New Roman" w:hAnsi="Times New Roman"/>
                <w:color w:val="000000"/>
                <w:sz w:val="20"/>
              </w:rPr>
              <w:t> </w:t>
            </w:r>
            <w:r>
              <w:rPr>
                <w:rFonts w:ascii="Times New Roman" w:hAnsi="Times New Roman"/>
                <w:color w:val="000000"/>
                <w:sz w:val="16"/>
              </w:rPr>
              <w:t>and $10,000</w:t>
            </w:r>
            <w:r>
              <w:rPr>
                <w:rFonts w:ascii="Times New Roman" w:hAnsi="Times New Roman"/>
                <w:color w:val="000000"/>
                <w:sz w:val="20"/>
              </w:rPr>
              <w:t> </w:t>
            </w:r>
            <w:r>
              <w:rPr>
                <w:rFonts w:ascii="Times New Roman" w:hAnsi="Times New Roman"/>
                <w:color w:val="000000"/>
                <w:sz w:val="16"/>
              </w:rPr>
              <w:t>as of September 30, 2024 and</w:t>
              <w:br/>
              <w:t>   December 31, 2023, respectively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Series C redeemable convertible preferred stock, $0.0001</w:t>
            </w:r>
            <w:r>
              <w:rPr>
                <w:rFonts w:ascii="Times New Roman" w:hAnsi="Times New Roman"/>
                <w:color w:val="000000"/>
                <w:sz w:val="20"/>
              </w:rPr>
              <w:t> </w:t>
            </w:r>
            <w:r>
              <w:rPr>
                <w:rFonts w:ascii="Times New Roman" w:hAnsi="Times New Roman"/>
                <w:color w:val="000000"/>
                <w:sz w:val="16"/>
              </w:rPr>
              <w:t>par value per share; zero</w:t>
              <w:br/>
              <w:t>   and 73,598,283</w:t>
            </w:r>
            <w:r>
              <w:rPr>
                <w:rFonts w:ascii="Times New Roman" w:hAnsi="Times New Roman"/>
                <w:color w:val="000000"/>
                <w:sz w:val="20"/>
              </w:rPr>
              <w:t> </w:t>
            </w:r>
            <w:r>
              <w:rPr>
                <w:rFonts w:ascii="Times New Roman" w:hAnsi="Times New Roman"/>
                <w:color w:val="000000"/>
                <w:sz w:val="16"/>
              </w:rPr>
              <w:t>shares authorized, issued and outstanding as of September 30, 2024 and</w:t>
              <w:br/>
              <w:t>   December 31, 2023, respectively; liquidation value of $0</w:t>
            </w:r>
            <w:r>
              <w:rPr>
                <w:rFonts w:ascii="Times New Roman" w:hAnsi="Times New Roman"/>
                <w:color w:val="000000"/>
                <w:sz w:val="20"/>
              </w:rPr>
              <w:t> </w:t>
            </w:r>
            <w:r>
              <w:rPr>
                <w:rFonts w:ascii="Times New Roman" w:hAnsi="Times New Roman"/>
                <w:color w:val="000000"/>
                <w:sz w:val="16"/>
              </w:rPr>
              <w:t>and $22,000</w:t>
            </w:r>
            <w:r>
              <w:rPr>
                <w:rFonts w:ascii="Times New Roman" w:hAnsi="Times New Roman"/>
                <w:color w:val="000000"/>
                <w:sz w:val="20"/>
              </w:rPr>
              <w:t> </w:t>
            </w:r>
            <w:r>
              <w:rPr>
                <w:rFonts w:ascii="Times New Roman" w:hAnsi="Times New Roman"/>
                <w:color w:val="000000"/>
                <w:sz w:val="16"/>
              </w:rPr>
              <w:t>as of</w:t>
              <w:br/>
              <w: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Series D redeemable convertible preferred stock, $0.0001</w:t>
            </w:r>
            <w:r>
              <w:rPr>
                <w:rFonts w:ascii="Times New Roman" w:hAnsi="Times New Roman"/>
                <w:color w:val="000000"/>
                <w:sz w:val="20"/>
              </w:rPr>
              <w:t> </w:t>
            </w:r>
            <w:r>
              <w:rPr>
                <w:rFonts w:ascii="Times New Roman" w:hAnsi="Times New Roman"/>
                <w:color w:val="000000"/>
                <w:sz w:val="16"/>
              </w:rPr>
              <w:t>par value per share; zero</w:t>
              <w:br/>
              <w:t>   and 53,271,754</w:t>
            </w:r>
            <w:r>
              <w:rPr>
                <w:rFonts w:ascii="Times New Roman" w:hAnsi="Times New Roman"/>
                <w:color w:val="000000"/>
                <w:sz w:val="20"/>
              </w:rPr>
              <w:t> </w:t>
            </w:r>
            <w:r>
              <w:rPr>
                <w:rFonts w:ascii="Times New Roman" w:hAnsi="Times New Roman"/>
                <w:color w:val="000000"/>
                <w:sz w:val="16"/>
              </w:rPr>
              <w:t>shares authorized, issued and outstanding as of September 30, 2024 and</w:t>
              <w:br/>
              <w:t>   December 31, 2023, respectively; liquidation value of $0</w:t>
            </w:r>
            <w:r>
              <w:rPr>
                <w:rFonts w:ascii="Times New Roman" w:hAnsi="Times New Roman"/>
                <w:color w:val="000000"/>
                <w:sz w:val="20"/>
              </w:rPr>
              <w:t> </w:t>
            </w:r>
            <w:r>
              <w:rPr>
                <w:rFonts w:ascii="Times New Roman" w:hAnsi="Times New Roman"/>
                <w:color w:val="000000"/>
                <w:sz w:val="16"/>
              </w:rPr>
              <w:t>and $47,300</w:t>
            </w:r>
            <w:r>
              <w:rPr>
                <w:rFonts w:ascii="Times New Roman" w:hAnsi="Times New Roman"/>
                <w:color w:val="000000"/>
                <w:sz w:val="20"/>
              </w:rPr>
              <w:t> </w:t>
            </w:r>
            <w:r>
              <w:rPr>
                <w:rFonts w:ascii="Times New Roman" w:hAnsi="Times New Roman"/>
                <w:color w:val="000000"/>
                <w:sz w:val="16"/>
              </w:rPr>
              <w:t>as of</w:t>
              <w:br/>
              <w: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Series E redeemable convertible preferred stock, $0.0001</w:t>
            </w:r>
            <w:r>
              <w:rPr>
                <w:rFonts w:ascii="Times New Roman" w:hAnsi="Times New Roman"/>
                <w:color w:val="000000"/>
                <w:sz w:val="20"/>
              </w:rPr>
              <w:t> </w:t>
            </w:r>
            <w:r>
              <w:rPr>
                <w:rFonts w:ascii="Times New Roman" w:hAnsi="Times New Roman"/>
                <w:color w:val="000000"/>
                <w:sz w:val="16"/>
              </w:rPr>
              <w:t>par value per share; zero</w:t>
              <w:br/>
              <w:t>   and 112,422,700</w:t>
            </w:r>
            <w:r>
              <w:rPr>
                <w:rFonts w:ascii="Times New Roman" w:hAnsi="Times New Roman"/>
                <w:color w:val="000000"/>
                <w:sz w:val="20"/>
              </w:rPr>
              <w:t> </w:t>
            </w:r>
            <w:r>
              <w:rPr>
                <w:rFonts w:ascii="Times New Roman" w:hAnsi="Times New Roman"/>
                <w:color w:val="000000"/>
                <w:sz w:val="16"/>
              </w:rPr>
              <w:t>shares authorized, issued and outstanding as of September 30, 2024 and</w:t>
              <w:br/>
              <w:t>   December 31, 2023, respectively; liquidation value of $0</w:t>
            </w:r>
            <w:r>
              <w:rPr>
                <w:rFonts w:ascii="Times New Roman" w:hAnsi="Times New Roman"/>
                <w:color w:val="000000"/>
                <w:sz w:val="20"/>
              </w:rPr>
              <w:t> </w:t>
            </w:r>
            <w:r>
              <w:rPr>
                <w:rFonts w:ascii="Times New Roman" w:hAnsi="Times New Roman"/>
                <w:color w:val="000000"/>
                <w:sz w:val="16"/>
              </w:rPr>
              <w:t>and $120,000</w:t>
            </w:r>
            <w:r>
              <w:rPr>
                <w:rFonts w:ascii="Times New Roman" w:hAnsi="Times New Roman"/>
                <w:color w:val="000000"/>
                <w:sz w:val="20"/>
              </w:rPr>
              <w:t> </w:t>
            </w:r>
            <w:r>
              <w:rPr>
                <w:rFonts w:ascii="Times New Roman" w:hAnsi="Times New Roman"/>
                <w:color w:val="000000"/>
                <w:sz w:val="16"/>
              </w:rPr>
              <w:t>as of</w:t>
              <w:br/>
              <w: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Series F redeemable convertible preferred stock, $0.0001</w:t>
            </w:r>
            <w:r>
              <w:rPr>
                <w:rFonts w:ascii="Times New Roman" w:hAnsi="Times New Roman"/>
                <w:color w:val="000000"/>
                <w:sz w:val="20"/>
              </w:rPr>
              <w:t> </w:t>
            </w:r>
            <w:r>
              <w:rPr>
                <w:rFonts w:ascii="Times New Roman" w:hAnsi="Times New Roman"/>
                <w:color w:val="000000"/>
                <w:sz w:val="16"/>
              </w:rPr>
              <w:t>par value per share; zero</w:t>
              <w:br/>
              <w:t>   and 81,587,937</w:t>
            </w:r>
            <w:r>
              <w:rPr>
                <w:rFonts w:ascii="Times New Roman" w:hAnsi="Times New Roman"/>
                <w:color w:val="000000"/>
                <w:sz w:val="20"/>
              </w:rPr>
              <w:t> </w:t>
            </w:r>
            <w:r>
              <w:rPr>
                <w:rFonts w:ascii="Times New Roman" w:hAnsi="Times New Roman"/>
                <w:color w:val="000000"/>
                <w:sz w:val="16"/>
              </w:rPr>
              <w:t>shares issued and outstanding as of September 30, 2024 and</w:t>
              <w:br/>
              <w:t>   December 31, 2023, respectively; liquidation value of zero</w:t>
            </w:r>
            <w:r>
              <w:rPr>
                <w:rFonts w:ascii="Times New Roman" w:hAnsi="Times New Roman"/>
                <w:color w:val="000000"/>
                <w:sz w:val="20"/>
              </w:rPr>
              <w:t> </w:t>
            </w:r>
            <w:r>
              <w:rPr>
                <w:rFonts w:ascii="Times New Roman" w:hAnsi="Times New Roman"/>
                <w:color w:val="000000"/>
                <w:sz w:val="16"/>
              </w:rPr>
              <w:t>and $105,020</w:t>
            </w:r>
            <w:r>
              <w:rPr>
                <w:rFonts w:ascii="Times New Roman" w:hAnsi="Times New Roman"/>
                <w:color w:val="000000"/>
                <w:sz w:val="20"/>
              </w:rPr>
              <w:t> </w:t>
            </w:r>
            <w:r>
              <w:rPr>
                <w:rFonts w:ascii="Times New Roman" w:hAnsi="Times New Roman"/>
                <w:color w:val="000000"/>
                <w:sz w:val="16"/>
              </w:rPr>
              <w:t>as of</w:t>
              <w:br/>
              <w: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105,020</w:t>
            </w:r>
          </w:p>
        </w:tc>
        <w:tc>
          <w:tcPr>
            <w:tcW w:w="613"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(deficit):</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per share; 700,000,000</w:t>
            </w:r>
            <w:r>
              <w:rPr>
                <w:rFonts w:ascii="Times New Roman" w:hAnsi="Times New Roman"/>
                <w:color w:val="000000"/>
                <w:sz w:val="20"/>
              </w:rPr>
              <w:t> </w:t>
            </w:r>
            <w:r>
              <w:rPr>
                <w:rFonts w:ascii="Times New Roman" w:hAnsi="Times New Roman"/>
                <w:color w:val="000000"/>
                <w:sz w:val="16"/>
              </w:rPr>
              <w:t>and 493,530,000</w:t>
            </w:r>
            <w:r>
              <w:rPr>
                <w:rFonts w:ascii="Times New Roman" w:hAnsi="Times New Roman"/>
                <w:color w:val="000000"/>
                <w:sz w:val="20"/>
              </w:rPr>
              <w:t> </w:t>
            </w:r>
            <w:r>
              <w:rPr>
                <w:rFonts w:ascii="Times New Roman" w:hAnsi="Times New Roman"/>
                <w:color w:val="000000"/>
                <w:sz w:val="16"/>
              </w:rPr>
              <w:t>shares</w:t>
              <w:br/>
              <w:t>   authorized as of September 30, 2024 and December 31, 2023, respectively; 67,537,858</w:t>
              <w:br/>
              <w:t>   and 5,222,283</w:t>
            </w:r>
            <w:r>
              <w:rPr>
                <w:rFonts w:ascii="Times New Roman" w:hAnsi="Times New Roman"/>
                <w:color w:val="000000"/>
                <w:sz w:val="20"/>
              </w:rPr>
              <w:t> </w:t>
            </w:r>
            <w:r>
              <w:rPr>
                <w:rFonts w:ascii="Times New Roman" w:hAnsi="Times New Roman"/>
                <w:color w:val="000000"/>
                <w:sz w:val="16"/>
              </w:rPr>
              <w:t>shares issued and outstanding as of September 30, 2024 and December 31, 2023,</w:t>
              <w:br/>
              <w:t>   respectively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722,946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(129,942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stockholders' equity (deficit)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(123,100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 redeemable convertible preferred stock and stockholders' equity (deficit)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199,301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stmt_of_operations_and_comp_loss"/>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4"/>
        <w:gridCol w:w="146"/>
        <w:gridCol w:w="211"/>
        <w:gridCol w:w="1036"/>
        <w:gridCol w:w="166"/>
        <w:gridCol w:w="146"/>
        <w:gridCol w:w="211"/>
        <w:gridCol w:w="931"/>
        <w:gridCol w:w="166"/>
        <w:gridCol w:w="146"/>
        <w:gridCol w:w="211"/>
        <w:gridCol w:w="1036"/>
        <w:gridCol w:w="166"/>
        <w:gridCol w:w="146"/>
        <w:gridCol w:w="211"/>
        <w:gridCol w:w="931"/>
        <w:gridCol w:w="611"/>
      </w:tblGrid>
      <w:tr>
        <w:trPr/>
        <w:tc>
          <w:tcPr>
            <w:tcW w:w="3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ind w:left="0" w:right="0" w:firstLine="200"/>
              <w:jc w:val="center"/>
              <w:rPr/>
            </w:pPr>
            <w:r>
              <w:rPr/>
              <w:t> </w:t>
            </w:r>
          </w:p>
        </w:tc>
      </w:tr>
      <w:tr>
        <w:trPr/>
        <w:tc>
          <w:tcPr>
            <w:tcW w:w="37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collaboration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7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7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(36,094</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7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Deemed dividend on redeemable convertible preferred stock issuances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Cumulative redeemable convertible preferred stock dividends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67,143,744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60,311,003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4,053,341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preferred_stock_and_stockholders_deficit"/>
      <w:bookmarkEnd w:id="6"/>
      <w:r>
        <w:rPr>
          <w:rFonts w:ascii="Times New Roman" w:hAnsi="Times New Roman"/>
          <w:b/>
          <w:color w:val="000000"/>
          <w:sz w:val="20"/>
        </w:rPr>
        <w:t>Condensed Statements of Redeemable Convertible Preferred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6197" w:type="dxa"/>
        <w:jc w:val="left"/>
        <w:tblInd w:w="0" w:type="dxa"/>
        <w:tblLayout w:type="fixed"/>
        <w:tblCellMar>
          <w:top w:w="28" w:type="dxa"/>
          <w:left w:w="28" w:type="dxa"/>
          <w:bottom w:w="28" w:type="dxa"/>
          <w:right w:w="28" w:type="dxa"/>
        </w:tblCellMar>
      </w:tblPr>
      <w:tblGrid>
        <w:gridCol w:w="796"/>
        <w:gridCol w:w="146"/>
        <w:gridCol w:w="646"/>
        <w:gridCol w:w="151"/>
        <w:gridCol w:w="166"/>
        <w:gridCol w:w="421"/>
        <w:gridCol w:w="151"/>
        <w:gridCol w:w="146"/>
        <w:gridCol w:w="691"/>
        <w:gridCol w:w="151"/>
        <w:gridCol w:w="166"/>
        <w:gridCol w:w="481"/>
        <w:gridCol w:w="151"/>
        <w:gridCol w:w="146"/>
        <w:gridCol w:w="691"/>
        <w:gridCol w:w="151"/>
        <w:gridCol w:w="166"/>
        <w:gridCol w:w="481"/>
        <w:gridCol w:w="151"/>
        <w:gridCol w:w="146"/>
        <w:gridCol w:w="691"/>
        <w:gridCol w:w="151"/>
        <w:gridCol w:w="166"/>
        <w:gridCol w:w="481"/>
        <w:gridCol w:w="151"/>
        <w:gridCol w:w="146"/>
        <w:gridCol w:w="751"/>
        <w:gridCol w:w="151"/>
        <w:gridCol w:w="166"/>
        <w:gridCol w:w="541"/>
        <w:gridCol w:w="151"/>
        <w:gridCol w:w="146"/>
        <w:gridCol w:w="691"/>
        <w:gridCol w:w="151"/>
        <w:gridCol w:w="166"/>
        <w:gridCol w:w="541"/>
        <w:gridCol w:w="151"/>
        <w:gridCol w:w="146"/>
        <w:gridCol w:w="146"/>
        <w:gridCol w:w="146"/>
        <w:gridCol w:w="646"/>
        <w:gridCol w:w="146"/>
        <w:gridCol w:w="166"/>
        <w:gridCol w:w="346"/>
        <w:gridCol w:w="146"/>
        <w:gridCol w:w="166"/>
        <w:gridCol w:w="496"/>
        <w:gridCol w:w="151"/>
        <w:gridCol w:w="186"/>
        <w:gridCol w:w="610"/>
        <w:gridCol w:w="151"/>
        <w:gridCol w:w="179"/>
        <w:gridCol w:w="587"/>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vAlign w:val="center"/>
          </w:tcPr>
          <w:p>
            <w:pPr>
              <w:pStyle w:val="TableContents"/>
              <w:bidi w:val="0"/>
              <w:spacing w:before="0" w:after="283"/>
              <w:jc w:val="left"/>
              <w:rPr/>
            </w:pPr>
            <w:r>
              <w:rPr/>
              <w:t> </w:t>
            </w:r>
          </w:p>
        </w:tc>
        <w:tc>
          <w:tcPr>
            <w:tcW w:w="15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C</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D</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E</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F</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79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3,842,694</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3,642</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(81,335</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(77,693</w:t>
            </w:r>
          </w:p>
        </w:tc>
        <w:tc>
          <w:tcPr>
            <w:tcW w:w="1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13,656</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96" w:type="dxa"/>
            <w:tcBorders/>
            <w:shd w:fill="FFFFFF" w:val="clear"/>
            <w:vAlign w:val="center"/>
          </w:tcPr>
          <w:p>
            <w:pPr>
              <w:pStyle w:val="TableContents"/>
              <w:bidi w:val="0"/>
              <w:spacing w:before="0" w:after="283"/>
              <w:jc w:val="left"/>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w:t>
            </w:r>
          </w:p>
        </w:tc>
        <w:tc>
          <w:tcPr>
            <w:tcW w:w="19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(8,671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3,856,350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(86,117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183,790</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5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96" w:type="dxa"/>
            <w:tcBorders/>
            <w:shd w:fill="FFFFFF" w:val="clear"/>
            <w:vAlign w:val="center"/>
          </w:tcPr>
          <w:p>
            <w:pPr>
              <w:pStyle w:val="TableContents"/>
              <w:bidi w:val="0"/>
              <w:spacing w:before="0" w:after="283"/>
              <w:jc w:val="left"/>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w:t>
            </w:r>
          </w:p>
        </w:tc>
        <w:tc>
          <w:tcPr>
            <w:tcW w:w="19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4,040,140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(101,619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(97,388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Issuance of Series F redeemable convertible preferred stock (inclusive of deemed dividend of $410</w:t>
            </w:r>
            <w:r>
              <w:rPr>
                <w:rFonts w:ascii="Times New Roman" w:hAnsi="Times New Roman"/>
                <w:color w:val="000000"/>
                <w:sz w:val="20"/>
              </w:rPr>
              <w:t> </w:t>
            </w:r>
            <w:r>
              <w:rPr>
                <w:rFonts w:ascii="Times New Roman" w:hAnsi="Times New Roman"/>
                <w:color w:val="000000"/>
                <w:sz w:val="12"/>
              </w:rPr>
              <w:t>to accrete to redemption value)</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81,587,937</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105,020</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9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w:t>
            </w:r>
          </w:p>
        </w:tc>
        <w:tc>
          <w:tcPr>
            <w:tcW w:w="1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1,028,511</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1,587</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1,588</w:t>
            </w:r>
          </w:p>
        </w:tc>
        <w:tc>
          <w:tcPr>
            <w:tcW w:w="19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96" w:type="dxa"/>
            <w:tcBorders/>
            <w:shd w:fill="FFFFFF" w:val="clear"/>
            <w:vAlign w:val="center"/>
          </w:tcPr>
          <w:p>
            <w:pPr>
              <w:pStyle w:val="TableContents"/>
              <w:bidi w:val="0"/>
              <w:spacing w:before="0" w:after="283"/>
              <w:jc w:val="left"/>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10,150,000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23,946,000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81,587,937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5,068,651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(113,387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(107,584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96" w:type="dxa"/>
            <w:tcBorders/>
            <w:shd w:fill="FFFFFF" w:val="clear"/>
            <w:vAlign w:val="center"/>
          </w:tcPr>
          <w:p>
            <w:pPr>
              <w:pStyle w:val="TableContents"/>
              <w:bidi w:val="0"/>
              <w:spacing w:before="0" w:after="283"/>
              <w:jc w:val="left"/>
              <w:rPr/>
            </w:pPr>
            <w:r>
              <w:rPr/>
              <w:t> </w:t>
            </w:r>
          </w:p>
        </w:tc>
        <w:tc>
          <w:tcPr>
            <w:tcW w:w="15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C</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D</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E</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F</w:t>
              <w:br/>
              <w:t xml:space="preserve">Redeemable Convertible </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51"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79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81,587,937</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105,020</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5,222,283</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6,842</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(129,942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(123,100</w:t>
            </w:r>
          </w:p>
        </w:tc>
        <w:tc>
          <w:tcPr>
            <w:tcW w:w="1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(5,075,000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(11,973,000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(73,598,283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(53,271,754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(112,422,700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(81,587,937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(105,020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38,413,909</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307,886</w:t>
            </w:r>
          </w:p>
        </w:tc>
        <w:tc>
          <w:tcPr>
            <w:tcW w:w="15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307,890</w:t>
            </w:r>
          </w:p>
        </w:tc>
        <w:tc>
          <w:tcPr>
            <w:tcW w:w="196" w:type="dxa"/>
            <w:tcBorders/>
            <w:shd w:fill="FFFFFF" w:val="clear"/>
            <w:vAlign w:val="center"/>
          </w:tcPr>
          <w:p>
            <w:pPr>
              <w:pStyle w:val="TableContents"/>
              <w:bidi w:val="0"/>
              <w:spacing w:before="0" w:after="283"/>
              <w:jc w:val="left"/>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an initial public offering, net of issuance costs</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23,000,000</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399,562</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399,565</w:t>
            </w:r>
          </w:p>
        </w:tc>
        <w:tc>
          <w:tcPr>
            <w:tcW w:w="19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1,517</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1,517</w:t>
            </w:r>
          </w:p>
        </w:tc>
        <w:tc>
          <w:tcPr>
            <w:tcW w:w="19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(16,934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66,636,252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715,807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(146,876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568,938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23,600</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96" w:type="dxa"/>
            <w:tcBorders/>
            <w:shd w:fill="FFFFFF" w:val="clear"/>
            <w:vAlign w:val="center"/>
          </w:tcPr>
          <w:p>
            <w:pPr>
              <w:pStyle w:val="TableContents"/>
              <w:bidi w:val="0"/>
              <w:spacing w:before="0" w:after="283"/>
              <w:jc w:val="left"/>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2,246</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2,246</w:t>
            </w:r>
          </w:p>
        </w:tc>
        <w:tc>
          <w:tcPr>
            <w:tcW w:w="19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66,659,852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718,130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(165,778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552,359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878,006</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2,167</w:t>
            </w:r>
          </w:p>
        </w:tc>
        <w:tc>
          <w:tcPr>
            <w:tcW w:w="15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2,167</w:t>
            </w:r>
          </w:p>
        </w:tc>
        <w:tc>
          <w:tcPr>
            <w:tcW w:w="196" w:type="dxa"/>
            <w:tcBorders/>
            <w:shd w:fill="FFFFFF" w:val="clear"/>
            <w:vAlign w:val="center"/>
          </w:tcPr>
          <w:p>
            <w:pPr>
              <w:pStyle w:val="TableContents"/>
              <w:bidi w:val="0"/>
              <w:spacing w:before="0" w:after="283"/>
              <w:jc w:val="left"/>
              <w:rPr/>
            </w:pPr>
            <w:r>
              <w:rPr/>
              <w:t> </w:t>
            </w:r>
          </w:p>
        </w:tc>
      </w:tr>
      <w:tr>
        <w:trPr/>
        <w:tc>
          <w:tcPr>
            <w:tcW w:w="7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2,649</w:t>
            </w:r>
          </w:p>
        </w:tc>
        <w:tc>
          <w:tcPr>
            <w:tcW w:w="15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2,649</w:t>
            </w:r>
          </w:p>
        </w:tc>
        <w:tc>
          <w:tcPr>
            <w:tcW w:w="196" w:type="dxa"/>
            <w:tcBorders/>
            <w:shd w:fill="CFF0FC" w:val="clear"/>
            <w:vAlign w:val="center"/>
          </w:tcPr>
          <w:p>
            <w:pPr>
              <w:pStyle w:val="TableContents"/>
              <w:bidi w:val="0"/>
              <w:spacing w:before="0" w:after="283"/>
              <w:jc w:val="left"/>
              <w:rPr/>
            </w:pPr>
            <w:r>
              <w:rPr/>
              <w:t> </w:t>
            </w:r>
          </w:p>
        </w:tc>
      </w:tr>
      <w:tr>
        <w:trPr/>
        <w:tc>
          <w:tcPr>
            <w:tcW w:w="7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67,537,858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722,946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(186,183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536,770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ondensed_statements_of_cash_flows"/>
      <w:bookmarkEnd w:id="7"/>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3"/>
        <w:gridCol w:w="146"/>
        <w:gridCol w:w="219"/>
        <w:gridCol w:w="875"/>
        <w:gridCol w:w="172"/>
        <w:gridCol w:w="151"/>
        <w:gridCol w:w="219"/>
        <w:gridCol w:w="875"/>
        <w:gridCol w:w="815"/>
      </w:tblGrid>
      <w:tr>
        <w:trPr/>
        <w:tc>
          <w:tcPr>
            <w:tcW w:w="6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7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ind w:left="0" w:right="0" w:firstLine="200"/>
              <w:jc w:val="left"/>
              <w:rPr/>
            </w:pPr>
            <w:r>
              <w:rPr/>
              <w:t> </w:t>
            </w:r>
          </w:p>
        </w:tc>
      </w:tr>
      <w:tr>
        <w:trPr/>
        <w:tc>
          <w:tcPr>
            <w:tcW w:w="67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8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400"/>
              <w:jc w:val="right"/>
              <w:rPr/>
            </w:pPr>
            <w:r>
              <w:rPr/>
              <w:t> </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loan fees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Final payment amortization and loss on debt extinguishment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Success fee amortization</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Accretion of discount on short-term investments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w:t>
            </w:r>
          </w:p>
        </w:tc>
        <w:tc>
          <w:tcPr>
            <w:tcW w:w="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600"/>
              <w:jc w:val="right"/>
              <w:rPr/>
            </w:pPr>
            <w:r>
              <w:rPr/>
              <w:t> </w:t>
            </w:r>
          </w:p>
        </w:tc>
      </w:tr>
      <w:tr>
        <w:trPr/>
        <w:tc>
          <w:tcPr>
            <w:tcW w:w="673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815"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 - other</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5"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5" w:type="dxa"/>
            <w:tcBorders/>
            <w:shd w:fill="FFFFFF" w:val="clear"/>
            <w:vAlign w:val="center"/>
          </w:tcPr>
          <w:p>
            <w:pPr>
              <w:pStyle w:val="TableContents"/>
              <w:bidi w:val="0"/>
              <w:spacing w:before="0" w:after="283"/>
              <w:ind w:left="0" w:right="0" w:firstLine="600"/>
              <w:jc w:val="left"/>
              <w:rPr/>
            </w:pPr>
            <w:r>
              <w:rPr/>
              <w:t> </w:t>
            </w:r>
          </w:p>
        </w:tc>
      </w:tr>
      <w:tr>
        <w:trPr/>
        <w:tc>
          <w:tcPr>
            <w:tcW w:w="673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815" w:type="dxa"/>
            <w:tcBorders/>
            <w:shd w:fill="CFF0FC" w:val="clear"/>
            <w:vAlign w:val="center"/>
          </w:tcPr>
          <w:p>
            <w:pPr>
              <w:pStyle w:val="TableContents"/>
              <w:bidi w:val="0"/>
              <w:spacing w:before="0" w:after="283"/>
              <w:ind w:left="0" w:right="0" w:firstLine="600"/>
              <w:jc w:val="left"/>
              <w:rPr/>
            </w:pPr>
            <w:r>
              <w:rPr/>
              <w:t> </w:t>
            </w:r>
          </w:p>
        </w:tc>
      </w:tr>
      <w:tr>
        <w:trPr/>
        <w:tc>
          <w:tcPr>
            <w:tcW w:w="673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815" w:type="dxa"/>
            <w:tcBorders/>
            <w:shd w:fill="FFFFFF" w:val="clear"/>
            <w:vAlign w:val="center"/>
          </w:tcPr>
          <w:p>
            <w:pPr>
              <w:pStyle w:val="TableContents"/>
              <w:bidi w:val="0"/>
              <w:spacing w:before="0" w:after="283"/>
              <w:ind w:left="0" w:right="0" w:firstLine="200"/>
              <w:jc w:val="left"/>
              <w:rPr/>
            </w:pPr>
            <w:r>
              <w:rPr/>
              <w:t> </w:t>
            </w:r>
          </w:p>
        </w:tc>
      </w:tr>
      <w:tr>
        <w:trPr/>
        <w:tc>
          <w:tcPr>
            <w:tcW w:w="67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(58,051</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(31,034</w:t>
            </w:r>
          </w:p>
        </w:tc>
        <w:tc>
          <w:tcPr>
            <w:tcW w:w="8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400"/>
              <w:jc w:val="right"/>
              <w:rPr/>
            </w:pPr>
            <w:r>
              <w:rPr/>
              <w:t> </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sales and maturities of short-term investments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517,230</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166,371</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(828,874</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(303,100</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815" w:type="dxa"/>
            <w:tcBorders/>
            <w:shd w:fill="CFF0FC" w:val="clear"/>
            <w:vAlign w:val="center"/>
          </w:tcPr>
          <w:p>
            <w:pPr>
              <w:pStyle w:val="TableContents"/>
              <w:bidi w:val="0"/>
              <w:spacing w:before="0" w:after="283"/>
              <w:ind w:left="0" w:right="0" w:firstLine="200"/>
              <w:jc w:val="left"/>
              <w:rPr/>
            </w:pPr>
            <w:r>
              <w:rPr/>
              <w:t> </w:t>
            </w:r>
          </w:p>
        </w:tc>
      </w:tr>
      <w:tr>
        <w:trPr/>
        <w:tc>
          <w:tcPr>
            <w:tcW w:w="67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(311,669</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(136,729</w:t>
            </w:r>
          </w:p>
        </w:tc>
        <w:tc>
          <w:tcPr>
            <w:tcW w:w="8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left"/>
              <w:rPr>
                <w:sz w:val="4"/>
                <w:szCs w:val="4"/>
              </w:rPr>
            </w:pPr>
            <w:r>
              <w:rPr>
                <w:sz w:val="4"/>
                <w:szCs w:val="4"/>
              </w:rPr>
            </w:r>
          </w:p>
        </w:tc>
        <w:tc>
          <w:tcPr>
            <w:tcW w:w="815" w:type="dxa"/>
            <w:tcBorders/>
            <w:shd w:fill="CFF0FC" w:val="clear"/>
            <w:vAlign w:val="center"/>
          </w:tcPr>
          <w:p>
            <w:pPr>
              <w:pStyle w:val="TableContents"/>
              <w:bidi w:val="0"/>
              <w:spacing w:before="0" w:after="283"/>
              <w:ind w:left="0" w:right="0" w:firstLine="400"/>
              <w:jc w:val="right"/>
              <w:rPr/>
            </w:pPr>
            <w:r>
              <w:rPr/>
              <w:t> </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initial public offering, net of issuance costs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406,410</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issuance of Series F redeemable convertible preferred stock, net of issuance costs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104,627</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Payments of success fee or long-term debt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(16,284</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exercise of common stock options and issuance of common stock under the employee stock purchase plan</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3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8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404,865</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89,893</w:t>
            </w:r>
          </w:p>
        </w:tc>
        <w:tc>
          <w:tcPr>
            <w:tcW w:w="8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7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35,145</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(77,870</w:t>
            </w:r>
          </w:p>
        </w:tc>
        <w:tc>
          <w:tcPr>
            <w:tcW w:w="8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200"/>
              <w:jc w:val="right"/>
              <w:rPr/>
            </w:pPr>
            <w:r>
              <w:rPr/>
              <w:t> </w:t>
            </w:r>
          </w:p>
        </w:tc>
      </w:tr>
      <w:tr>
        <w:trPr/>
        <w:tc>
          <w:tcPr>
            <w:tcW w:w="67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200"/>
              <w:jc w:val="right"/>
              <w:rPr/>
            </w:pPr>
            <w:r>
              <w:rPr/>
              <w:t> </w:t>
            </w:r>
          </w:p>
        </w:tc>
      </w:tr>
      <w:tr>
        <w:trPr/>
        <w:tc>
          <w:tcPr>
            <w:tcW w:w="67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Reclassification of 38,413,909 redeemable convertible preferred stock to 38,413,909 shares of common stock</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307,890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Reclassification of deferred offering costs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bookmarkStart w:id="8" w:name="notes_to_condensed_financial_statements"/>
      <w:bookmarkEnd w:id="8"/>
      <w:r>
        <w:rPr>
          <w:rFonts w:ascii="Times New Roman" w:hAnsi="Times New Roman"/>
          <w:b/>
          <w:color w:val="000000"/>
          <w:sz w:val="20"/>
        </w:rPr>
        <w:t>1. Description of Business and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condensed financial statements, on a retrospective basis, to reflect the reverse stock split for all periods presented. The par value of the common stock and preferred stock was not adjusted as a result of the reverse stock split.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automatically converted into shares of common stock upon the closing of the offering, were proportionally adjusted. Stockholders entitled to fractional shares as a result of the reverse stock split received a cash payment in lieu of receiving fractional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29, 2024, the Company completed the closing of its initial public offering (IPO) of 20,000,000 common shares at a price of $19.00 per share. Additionally, the underwriters exercised their option to purchase an additional 3,000,000 at a price of $19.00 per share. The common shares began trading on the Nasdaq Global Market on January 25, 2024, under the symbol "CGON". The Company received net proceeds of $399.6 million, after deducting discounts and commissions and other offering expenses. In addition, as a result of its IPO, the Company’s redeemable convertible preferred stock converted into common stock concurrently with the IPO.</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as of September 30, 2024 and for the three and nine months ended September 30, 2024 and 2023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2023 included in the Company's Annual Report on Form 10-K for the year ended December 31, 2023 (2023 Annual Report). In the opinion of management, the interim financial statements reflect all adjustments, which include only normal and recurring adjustments, considered necessary for a fair statement of the interim periods.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pStyle w:val="TextBody"/>
        <w:bidi w:val="0"/>
        <w:spacing w:before="360" w:after="283"/>
        <w:jc w:val="both"/>
        <w:rPr>
          <w:rFonts w:ascii="Times New Roman" w:hAnsi="Times New Roman"/>
          <w:sz w:val="20"/>
        </w:rPr>
      </w:pPr>
      <w:r>
        <w:rPr>
          <w:rFonts w:ascii="Times New Roman" w:hAnsi="Times New Roman"/>
          <w:b/>
          <w:i/>
          <w:color w:val="000000"/>
          <w:sz w:val="20"/>
        </w:rPr>
        <w:t>Liquidity and Management’s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2024, the Company had approximately $540.7 million of cash, cash equivalents and marketable securities and working capital of approximately $536.5 million. The Company has a relatively limited operating history, and the revenue and income potential of the Company’s business and market are unproven. The Company has experienced net losses and negative cash flows from operations since its inception and, as of September 30, 2024, the Company had an accumulated deficit of $186.2 million. During the three and nine months ended September 30, 2024, the Company incurred net losses of $20.4 million and $56.2 million, respectively, and negative cash flows from operations of $58.1 million during the nine months ended September 30, 2024.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significant accounting policies are disclosed in the audited financial statements appearing in its 2023 Annual Report. </w:t>
      </w:r>
    </w:p>
    <w:p>
      <w:pPr>
        <w:pStyle w:val="TextBody"/>
        <w:bidi w:val="0"/>
        <w:spacing w:before="360" w:after="283"/>
        <w:jc w:val="both"/>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capitalizes as deferred offering costs all direct and incremental legal, professional, accounting and other third-party fees incurred in connection with the Company’s IPO. Upon the completion of the IPO in January 2024, the total deferred offering costs were reclassified to additional paid-in capital on the condensed balance sheets. </w:t>
      </w:r>
    </w:p>
    <w:p>
      <w:pPr>
        <w:pStyle w:val="TextBody"/>
        <w:bidi w:val="0"/>
        <w:spacing w:before="360" w:after="283"/>
        <w:jc w:val="both"/>
        <w:rPr>
          <w:rFonts w:ascii="Times New Roman" w:hAnsi="Times New Roman"/>
          <w:sz w:val="20"/>
        </w:rPr>
      </w:pPr>
      <w:r>
        <w:rPr>
          <w:rFonts w:ascii="Times New Roman" w:hAnsi="Times New Roman"/>
          <w:b/>
          <w:i/>
          <w:color w:val="000000"/>
          <w:sz w:val="20"/>
        </w:rPr>
        <w:t>Classification of Redeemable Convertible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Classification of the Company’s Series A-1, B, C, D, E and F redeemable convertible preferred stock as of December 31, 2023 was being treated as mezzanine equity and not as part of stockholders’ equity (deficit) because the holders of such shares had liquidation rights in the event of a deemed liquidation that, in certain situations, were not solely within the control of the Company and would have required the redemption of the then-outstanding redeemable convertible preferred stock. In addition, all of the Company’s redeemable convertible preferred stock was redeemable with the passage of time on or after July 28, 2028, by class and if requested by a requisite majority of each class. As a result of the Company’s IPO, the Company’s redeemable convertible preferred stock converted into common stock concurrently with the IPO.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Accounting standards not listed below were assessed and determined not to be applicable or are expected to have minimal impact on the Company’s condensed financial statements.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The guidance includes the requirements that a public entity disclose, on an annual and interim basis, significant segment expenses that are regularly provided to the chief operating decision maker and included within each reported measure of segment profit or loss, the title and position of the chief operating decision maker, and an explanation of how the chief operating decision maker uses the reported measure(s) of segment profit or loss in assessing segment performance and deciding how to allocate resources. The guidance also requires that a public entity that has a single reportable segment provide all the disclosures required by the guidance and all existing segment disclosures in Accounting Standards Codification (ASC) 280, </w:t>
      </w:r>
      <w:r>
        <w:rPr>
          <w:rFonts w:ascii="Times New Roman" w:hAnsi="Times New Roman"/>
          <w:i/>
          <w:color w:val="000000"/>
          <w:sz w:val="20"/>
        </w:rPr>
        <w:t>Segment Reporting</w:t>
      </w:r>
      <w:r>
        <w:rPr>
          <w:rFonts w:ascii="Times New Roman" w:hAnsi="Times New Roman"/>
          <w:color w:val="000000"/>
          <w:sz w:val="20"/>
        </w:rPr>
        <w:t xml:space="preserve">. The guidance is effective for fiscal years beginning after December 15, 2023, and interim periods within fiscal years beginning after December 15, 2024. Early adoption is permitted. A public entity should apply the amendments in the guidance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evaluating the impact that this guidance may have on its financial statements.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The guidance is effective for the Company for annual periods beginning after December 15, 2025. Early adoption is permitted for annual financial statements that have not yet been issued or made available for issuance. The guidance should be applied on a prospective basis. Retrospective application is permitted. The Company is currently evaluating the impact that this guidance may have on its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tables present the financial instruments carried at fair value on a recurring basis as of September 30, 2024 and December 31, 2023, respectively, in accordance with the ASC 820, </w:t>
      </w:r>
      <w:r>
        <w:rPr>
          <w:rFonts w:ascii="Times New Roman" w:hAnsi="Times New Roman"/>
          <w:i/>
          <w:color w:val="000000"/>
          <w:sz w:val="20"/>
        </w:rPr>
        <w:t xml:space="preserve">Fair Value Measurement </w:t>
      </w:r>
      <w:r>
        <w:rPr>
          <w:rFonts w:ascii="Times New Roman" w:hAnsi="Times New Roman"/>
          <w:color w:val="000000"/>
          <w:sz w:val="20"/>
        </w:rPr>
        <w:t xml:space="preserve">(ASC 820) hierarchy (in thousands): </w:t>
      </w:r>
    </w:p>
    <w:p>
      <w:pPr>
        <w:pStyle w:val="TextBody"/>
        <w:bidi w:val="0"/>
        <w:jc w:val="both"/>
        <w:rPr/>
      </w:pPr>
      <w:r>
        <w:rPr/>
        <w:t> </w:t>
      </w:r>
    </w:p>
    <w:tbl>
      <w:tblPr>
        <w:tblW w:w="6577" w:type="dxa"/>
        <w:jc w:val="left"/>
        <w:tblInd w:w="0" w:type="dxa"/>
        <w:tblLayout w:type="fixed"/>
        <w:tblCellMar>
          <w:top w:w="28" w:type="dxa"/>
          <w:left w:w="28" w:type="dxa"/>
          <w:bottom w:w="28" w:type="dxa"/>
          <w:right w:w="28" w:type="dxa"/>
        </w:tblCellMar>
      </w:tblPr>
      <w:tblGrid>
        <w:gridCol w:w="1861"/>
        <w:gridCol w:w="146"/>
        <w:gridCol w:w="211"/>
        <w:gridCol w:w="676"/>
        <w:gridCol w:w="146"/>
        <w:gridCol w:w="146"/>
        <w:gridCol w:w="211"/>
        <w:gridCol w:w="781"/>
        <w:gridCol w:w="146"/>
        <w:gridCol w:w="146"/>
        <w:gridCol w:w="211"/>
        <w:gridCol w:w="421"/>
        <w:gridCol w:w="146"/>
        <w:gridCol w:w="146"/>
        <w:gridCol w:w="211"/>
        <w:gridCol w:w="78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w:t>
            </w:r>
          </w:p>
        </w:tc>
        <w:tc>
          <w:tcPr>
            <w:tcW w:w="19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497,299</w:t>
            </w:r>
          </w:p>
        </w:tc>
        <w:tc>
          <w:tcPr>
            <w:tcW w:w="19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w:t>
            </w:r>
          </w:p>
        </w:tc>
        <w:tc>
          <w:tcPr>
            <w:tcW w:w="19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179,408</w:t>
            </w:r>
          </w:p>
        </w:tc>
        <w:tc>
          <w:tcPr>
            <w:tcW w:w="19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fee liability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As of September 30, 2024 and December 31, 2023, the amortized cost of the Company's available for sale marketable securities approximated their fair value. There was no material realized or unrealized gains or losses, either individually or in the aggregate.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fee liability associated with the Loan and Security Agreement (the Loan Agreement) the Company entered into in January 2021 was classified as a Level 3 fair value measurement, due to the use of unobservable inputs. On March 5, 2024, the Company paid $0.4 million for the success fee. See Note 10 for additional information on the success fee.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were no transfers between Level 1 and Level 2 of the fair value hierarchy during the three and nine months ended September 30, 2024 and the year ended December 31, 2023. </w:t>
      </w:r>
    </w:p>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4.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components of accrued expenses and other current liabilities as of September 30, 2024 and as of December 31, 2023 were as follows (in thousands): </w:t>
      </w:r>
    </w:p>
    <w:p>
      <w:pPr>
        <w:pStyle w:val="TextBody"/>
        <w:bidi w:val="0"/>
        <w:jc w:val="both"/>
        <w:rPr/>
      </w:pPr>
      <w:r>
        <w:rPr/>
        <w:t> </w:t>
      </w:r>
    </w:p>
    <w:tbl>
      <w:tblPr>
        <w:tblW w:w="7935" w:type="dxa"/>
        <w:jc w:val="left"/>
        <w:tblInd w:w="0" w:type="dxa"/>
        <w:tblLayout w:type="fixed"/>
        <w:tblCellMar>
          <w:top w:w="28" w:type="dxa"/>
          <w:left w:w="28" w:type="dxa"/>
          <w:bottom w:w="28" w:type="dxa"/>
          <w:right w:w="28" w:type="dxa"/>
        </w:tblCellMar>
      </w:tblPr>
      <w:tblGrid>
        <w:gridCol w:w="4261"/>
        <w:gridCol w:w="146"/>
        <w:gridCol w:w="367"/>
        <w:gridCol w:w="1178"/>
        <w:gridCol w:w="146"/>
        <w:gridCol w:w="146"/>
        <w:gridCol w:w="357"/>
        <w:gridCol w:w="1143"/>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5.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2024 and December 31, 2023, the Company had two operating leases, in which the Company was the lessee for office space. As of September 30, 2024 and December 31, 2023, the lease terms were through 2025 and 2026. The Company had no finance leases as of September 30, 2024 and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components of lease expense as of September 30, 2024 and 2023 were as follows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46"/>
        <w:gridCol w:w="146"/>
        <w:gridCol w:w="263"/>
        <w:gridCol w:w="581"/>
        <w:gridCol w:w="338"/>
        <w:gridCol w:w="182"/>
        <w:gridCol w:w="263"/>
        <w:gridCol w:w="581"/>
        <w:gridCol w:w="271"/>
        <w:gridCol w:w="146"/>
        <w:gridCol w:w="258"/>
        <w:gridCol w:w="570"/>
        <w:gridCol w:w="331"/>
        <w:gridCol w:w="178"/>
        <w:gridCol w:w="258"/>
        <w:gridCol w:w="570"/>
        <w:gridCol w:w="323"/>
      </w:tblGrid>
      <w:tr>
        <w:trPr/>
        <w:tc>
          <w:tcPr>
            <w:tcW w:w="4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righ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vAlign w:val="center"/>
          </w:tcPr>
          <w:p>
            <w:pPr>
              <w:pStyle w:val="TableContents"/>
              <w:bidi w:val="0"/>
              <w:spacing w:before="0" w:after="283"/>
              <w:jc w:val="righ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right"/>
              <w:rPr/>
            </w:pPr>
            <w:r>
              <w:rPr/>
              <w:t> </w:t>
            </w:r>
          </w:p>
        </w:tc>
      </w:tr>
      <w:tr>
        <w:trPr/>
        <w:tc>
          <w:tcPr>
            <w:tcW w:w="4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FFFFFF" w:val="clear"/>
            <w:vAlign w:val="center"/>
          </w:tcPr>
          <w:p>
            <w:pPr>
              <w:pStyle w:val="TableContents"/>
              <w:bidi w:val="0"/>
              <w:spacing w:before="0" w:after="283"/>
              <w:jc w:val="righ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right"/>
              <w:rPr/>
            </w:pPr>
            <w:r>
              <w:rPr/>
              <w:t> </w:t>
            </w:r>
          </w:p>
        </w:tc>
      </w:tr>
      <w:tr>
        <w:trPr/>
        <w:tc>
          <w:tcPr>
            <w:tcW w:w="4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 included in operating cash flows</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8"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31"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23" w:type="dxa"/>
            <w:tcBorders/>
            <w:shd w:fill="CFF0FC" w:val="clear"/>
            <w:vAlign w:val="center"/>
          </w:tcPr>
          <w:p>
            <w:pPr>
              <w:pStyle w:val="TableContents"/>
              <w:bidi w:val="0"/>
              <w:spacing w:before="0" w:after="283"/>
              <w:jc w:val="left"/>
              <w:rPr/>
            </w:pPr>
            <w:r>
              <w:rPr/>
              <w:t> </w:t>
            </w:r>
          </w:p>
        </w:tc>
      </w:tr>
      <w:tr>
        <w:trPr/>
        <w:tc>
          <w:tcPr>
            <w:tcW w:w="4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3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31"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23" w:type="dxa"/>
            <w:tcBorders/>
            <w:shd w:fill="FFFFFF" w:val="clear"/>
            <w:vAlign w:val="center"/>
          </w:tcPr>
          <w:p>
            <w:pPr>
              <w:pStyle w:val="TableContents"/>
              <w:bidi w:val="0"/>
              <w:spacing w:before="0" w:after="283"/>
              <w:jc w:val="left"/>
              <w:rPr/>
            </w:pPr>
            <w:r>
              <w:rPr/>
              <w:t> </w:t>
            </w:r>
          </w:p>
        </w:tc>
      </w:tr>
      <w:tr>
        <w:trPr/>
        <w:tc>
          <w:tcPr>
            <w:tcW w:w="4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Maturities of lease liabilities as of September 30, 2024 were as follows (in thousands): </w:t>
      </w:r>
    </w:p>
    <w:p>
      <w:pPr>
        <w:pStyle w:val="TextBody"/>
        <w:bidi w:val="0"/>
        <w:jc w:val="both"/>
        <w:rPr/>
      </w:pPr>
      <w:r>
        <w:rPr/>
        <w:t> </w:t>
      </w:r>
    </w:p>
    <w:tbl>
      <w:tblPr>
        <w:tblW w:w="4985" w:type="dxa"/>
        <w:jc w:val="left"/>
        <w:tblInd w:w="0" w:type="dxa"/>
        <w:tblLayout w:type="fixed"/>
        <w:tblCellMar>
          <w:top w:w="28" w:type="dxa"/>
          <w:left w:w="28" w:type="dxa"/>
          <w:bottom w:w="28" w:type="dxa"/>
          <w:right w:w="28" w:type="dxa"/>
        </w:tblCellMar>
      </w:tblPr>
      <w:tblGrid>
        <w:gridCol w:w="3816"/>
        <w:gridCol w:w="146"/>
        <w:gridCol w:w="211"/>
        <w:gridCol w:w="421"/>
        <w:gridCol w:w="39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vAlign w:val="center"/>
          </w:tcPr>
          <w:p>
            <w:pPr>
              <w:pStyle w:val="TableContents"/>
              <w:bidi w:val="0"/>
              <w:spacing w:before="0" w:after="283"/>
              <w:jc w:val="left"/>
              <w:rPr/>
            </w:pPr>
            <w:r>
              <w:rPr/>
              <w:t> </w:t>
            </w:r>
          </w:p>
        </w:tc>
      </w:tr>
      <w:tr>
        <w:trPr/>
        <w:tc>
          <w:tcPr>
            <w:tcW w:w="3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91" w:type="dxa"/>
            <w:tcBorders/>
            <w:shd w:fill="FFFFFF" w:val="clear"/>
            <w:vAlign w:val="center"/>
          </w:tcPr>
          <w:p>
            <w:pPr>
              <w:pStyle w:val="TableContents"/>
              <w:bidi w:val="0"/>
              <w:spacing w:before="0" w:after="283"/>
              <w:jc w:val="left"/>
              <w:rPr/>
            </w:pPr>
            <w:r>
              <w:rPr/>
              <w:t> </w:t>
            </w:r>
          </w:p>
        </w:tc>
      </w:tr>
      <w:tr>
        <w:trPr/>
        <w:tc>
          <w:tcPr>
            <w:tcW w:w="3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CFF0FC" w:val="clear"/>
            <w:vAlign w:val="center"/>
          </w:tcPr>
          <w:p>
            <w:pPr>
              <w:pStyle w:val="TableContents"/>
              <w:bidi w:val="0"/>
              <w:spacing w:before="0" w:after="283"/>
              <w:jc w:val="left"/>
              <w:rPr/>
            </w:pPr>
            <w:r>
              <w:rPr/>
              <w:t> </w:t>
            </w:r>
          </w:p>
        </w:tc>
      </w:tr>
      <w:tr>
        <w:trPr/>
        <w:tc>
          <w:tcPr>
            <w:tcW w:w="3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amount representing imputed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obligations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liability for loss contingencies arising from claims, assessments, litigation, fines, penalties, and other sources is recorded in the condensed financial statements if it is determined that it is probable that a loss has been incurred, and that the amount (or range) of the loss can be reasonably estimated.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4, 2024, a complaint was filed against the Company in the Superior Court of the State of Delaware by ANI Pharmaceuticals, Inc. seeking a declaratory judgment that an assignment and technology transfer agreement between the Company and ANI, dated November 15, 2010, obligates the Company to pay ANI a royalty on certain "net sales" of cretostimogene. The Company disputes the allegations raised in the case and is vigorously defending the matter.</w:t>
      </w:r>
    </w:p>
    <w:p>
      <w:pPr>
        <w:pStyle w:val="TextBody"/>
        <w:bidi w:val="0"/>
        <w:spacing w:before="360" w:after="283"/>
        <w:jc w:val="both"/>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September 30, 2024, the Company had not experienced any losses related to these indemnification obligations, and no claims with respect thereto were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License and Collaboration Agreements</w:t>
      </w:r>
    </w:p>
    <w:p>
      <w:pPr>
        <w:pStyle w:val="TextBody"/>
        <w:bidi w:val="0"/>
        <w:spacing w:before="120" w:after="283"/>
        <w:jc w:val="both"/>
        <w:rPr>
          <w:rFonts w:ascii="Times New Roman" w:hAnsi="Times New Roman"/>
          <w:sz w:val="20"/>
        </w:rPr>
      </w:pPr>
      <w:r>
        <w:rPr>
          <w:rFonts w:ascii="Times New Roman" w:hAnsi="Times New Roman"/>
          <w:b/>
          <w:i/>
          <w:color w:val="000000"/>
          <w:sz w:val="20"/>
        </w:rPr>
        <w:t>Lepu Biotech Co.,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assessed the Lepu License Agreement in accordance with ASC 606, </w:t>
      </w:r>
      <w:r>
        <w:rPr>
          <w:rFonts w:ascii="Times New Roman" w:hAnsi="Times New Roman"/>
          <w:i/>
          <w:color w:val="000000"/>
          <w:sz w:val="20"/>
        </w:rPr>
        <w:t>Revenue Recognition</w:t>
      </w:r>
      <w:r>
        <w:rPr>
          <w:rFonts w:ascii="Times New Roman" w:hAnsi="Times New Roman"/>
          <w:color w:val="000000"/>
          <w:sz w:val="20"/>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sales-based royalty fee is considered variable consideration and will be recognized as revenue as such sales occur. The sales-based royalty fee qualifies for the royalty constraint exception and does not require an estimate of the future transaction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recorded zero and less than $0.1 million in research and collaboration revenue for the three months ended September 30, 2024 and 2023, respectively. The Company recorded $0.5 million and less than $0.1 million in research and collaboration revenue for the nine months ended September 30, 2024 and 2023, respectively. </w:t>
      </w:r>
    </w:p>
    <w:p>
      <w:pPr>
        <w:pStyle w:val="TextBody"/>
        <w:bidi w:val="0"/>
        <w:spacing w:before="360" w:after="283"/>
        <w:jc w:val="both"/>
        <w:rPr>
          <w:rFonts w:ascii="Times New Roman" w:hAnsi="Times New Roman"/>
          <w:sz w:val="20"/>
        </w:rPr>
      </w:pPr>
      <w:r>
        <w:rPr>
          <w:rFonts w:ascii="Times New Roman" w:hAnsi="Times New Roman"/>
          <w:b/>
          <w:i/>
          <w:color w:val="000000"/>
          <w:sz w:val="20"/>
        </w:rPr>
        <w:t>Kissei Pharmaceutical Co.,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evaluated the Kissei Agreement to determine whether it is a collaborative arrangement 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The Company concluded the Kissei Agreement is a collaborative agreement under ASC 808, as the Kissei Agreement involves a joint operating activity, each party is an active participant in the activities related to the Kissei Agreement, and both parties are exposed to significant risks and rewards dependent upon the commercial success of the activities related to the Kissei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less than $0.1 million and zero in research and collaboration revenue for the three months ended September 30, 2024 and 2023, respectively. The Company recorded $0.2 million and $0.2 million in research and collaboration revenue for the nine months ended September 30, 2024 and 2023, respectively.</w:t>
      </w:r>
    </w:p>
    <w:p>
      <w:pPr>
        <w:pStyle w:val="TextBody"/>
        <w:bidi w:val="0"/>
        <w:spacing w:before="360" w:after="283"/>
        <w:jc w:val="both"/>
        <w:rPr>
          <w:rFonts w:ascii="Times New Roman" w:hAnsi="Times New Roman"/>
          <w:sz w:val="20"/>
        </w:rPr>
      </w:pPr>
      <w:r>
        <w:rPr>
          <w:rFonts w:ascii="Times New Roman" w:hAnsi="Times New Roman"/>
          <w:b/>
          <w:color w:val="000000"/>
          <w:sz w:val="20"/>
        </w:rPr>
        <w:t>7.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up to 700,000,000 and 493,530,000 shares of common stock at September 30, 2024 and December 31, 2023, respectively, of which 67,537,858 and 5,222,283 shares were issued and outstanding at September 30, 2024 and December 31,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Voting, dividend and liquidation rights of the holders of the common stock are subject to and qualified by the rights, powers and preferences of the holders of the preferred stock. </w:t>
      </w:r>
    </w:p>
    <w:p>
      <w:pPr>
        <w:pStyle w:val="TextBody"/>
        <w:bidi w:val="0"/>
        <w:spacing w:before="360" w:after="283"/>
        <w:jc w:val="both"/>
        <w:rPr>
          <w:rFonts w:ascii="Times New Roman" w:hAnsi="Times New Roman"/>
          <w:sz w:val="20"/>
        </w:rPr>
      </w:pPr>
      <w:r>
        <w:rPr>
          <w:rFonts w:ascii="Times New Roman" w:hAnsi="Times New Roman"/>
          <w:b/>
          <w:i/>
          <w:color w:val="000000"/>
          <w:sz w:val="20"/>
        </w:rPr>
        <w:t>Voting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 </w:t>
      </w:r>
    </w:p>
    <w:p>
      <w:pPr>
        <w:pStyle w:val="TextBody"/>
        <w:bidi w:val="0"/>
        <w:spacing w:before="36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holders of common stock shall be entitled to receive dividends out of funds legally available therefor at such times and in such amounts as the board of directors may determine in its sole discretion.</w:t>
      </w:r>
    </w:p>
    <w:p>
      <w:pPr>
        <w:pStyle w:val="TextBody"/>
        <w:bidi w:val="0"/>
        <w:spacing w:before="360" w:after="283"/>
        <w:jc w:val="both"/>
        <w:rPr>
          <w:rFonts w:ascii="Times New Roman" w:hAnsi="Times New Roman"/>
          <w:sz w:val="20"/>
        </w:rPr>
      </w:pPr>
      <w:r>
        <w:rPr>
          <w:rFonts w:ascii="Times New Roman" w:hAnsi="Times New Roman"/>
          <w:b/>
          <w:i/>
          <w:color w:val="000000"/>
          <w:sz w:val="20"/>
        </w:rPr>
        <w:t>Liquidation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i/>
          <w:color w:val="000000"/>
          <w:sz w:val="20"/>
        </w:rPr>
        <w:t>Reserved Shares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2024, the Company reserved the following shares of common stock for issuance: </w:t>
      </w:r>
    </w:p>
    <w:p>
      <w:pPr>
        <w:pStyle w:val="TextBody"/>
        <w:bidi w:val="0"/>
        <w:jc w:val="both"/>
        <w:rPr/>
      </w:pPr>
      <w:r>
        <w:rPr/>
        <w:t> </w:t>
      </w:r>
    </w:p>
    <w:tbl>
      <w:tblPr>
        <w:tblW w:w="5260" w:type="dxa"/>
        <w:jc w:val="left"/>
        <w:tblInd w:w="0" w:type="dxa"/>
        <w:tblLayout w:type="fixed"/>
        <w:tblCellMar>
          <w:top w:w="28" w:type="dxa"/>
          <w:left w:w="28" w:type="dxa"/>
          <w:bottom w:w="28" w:type="dxa"/>
          <w:right w:w="28" w:type="dxa"/>
        </w:tblCellMar>
      </w:tblPr>
      <w:tblGrid>
        <w:gridCol w:w="3541"/>
        <w:gridCol w:w="146"/>
        <w:gridCol w:w="146"/>
        <w:gridCol w:w="1036"/>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5,203,163</w:t>
            </w:r>
          </w:p>
        </w:tc>
        <w:tc>
          <w:tcPr>
            <w:tcW w:w="3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stock option issuances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7,711,332</w:t>
            </w:r>
          </w:p>
        </w:tc>
        <w:tc>
          <w:tcPr>
            <w:tcW w:w="3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 issuances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783,096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13,697,591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2015, the Company established the 2015 Plan, under which the Company may grant options and restricted stock to its employees and certain non-employees. As of September 30, 2024, there were 992,459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September 30, 2024, there were 3,404,697 shares of common stock subject to outstanding awards under the 2022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11, 2024, the Company’s board of directors and stockholders approved the 2024 Equity Incentive Plan (the 2024 Plan), which became effective on the date immediately preceding the date on which the Company’s registration statement was declared effective by the SEC. The 2024 Plan replaced the 2022 Plan,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Plan and 2022 Plan as of the effective date of the 2024 Plan that become available for issuance under the 2024 Plan thereafter in accordance with its terms. As of September 30, 2024, there were 806,007 shares of common stock subject to outstanding awards and 7,711,327 shares of common stock remaining and available for issuance under the 2024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 </w:t>
      </w:r>
    </w:p>
    <w:p>
      <w:pPr>
        <w:pStyle w:val="TextBody"/>
        <w:bidi w:val="0"/>
        <w:spacing w:before="360" w:after="283"/>
        <w:jc w:val="both"/>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the assumptions used in determining the fair value of option awards for the three and nine months ended September 30, 2024 and 2023: </w:t>
      </w:r>
    </w:p>
    <w:p>
      <w:pPr>
        <w:pStyle w:val="TextBody"/>
        <w:bidi w:val="0"/>
        <w:jc w:val="both"/>
        <w:rPr/>
      </w:pPr>
      <w:r>
        <w:rPr/>
        <w:t> </w:t>
      </w:r>
    </w:p>
    <w:tbl>
      <w:tblPr>
        <w:tblW w:w="8404" w:type="dxa"/>
        <w:jc w:val="left"/>
        <w:tblInd w:w="0" w:type="dxa"/>
        <w:tblLayout w:type="fixed"/>
        <w:tblCellMar>
          <w:top w:w="28" w:type="dxa"/>
          <w:left w:w="28" w:type="dxa"/>
          <w:bottom w:w="28" w:type="dxa"/>
          <w:right w:w="28" w:type="dxa"/>
        </w:tblCellMar>
      </w:tblPr>
      <w:tblGrid>
        <w:gridCol w:w="2131"/>
        <w:gridCol w:w="146"/>
        <w:gridCol w:w="1516"/>
        <w:gridCol w:w="146"/>
        <w:gridCol w:w="1306"/>
        <w:gridCol w:w="146"/>
        <w:gridCol w:w="1516"/>
        <w:gridCol w:w="146"/>
        <w:gridCol w:w="135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29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77.34% - 77.74%</w:t>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81.8% - 82.1%</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77.34% - 84.50%</w:t>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 - 83.7%</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3.46% - 4.15%</w:t>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4.33% - 4.35%</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3.46% - 4.62%</w:t>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3.58% - 4.35%</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vAlign w:val="center"/>
          </w:tcPr>
          <w:p>
            <w:pPr>
              <w:pStyle w:val="TableContents"/>
              <w:bidi w:val="0"/>
              <w:spacing w:before="0" w:after="283"/>
              <w:jc w:val="righ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vAlign w:val="center"/>
          </w:tcPr>
          <w:p>
            <w:pPr>
              <w:pStyle w:val="TableContents"/>
              <w:bidi w:val="0"/>
              <w:spacing w:before="0" w:after="283"/>
              <w:jc w:val="right"/>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vAlign w:val="center"/>
          </w:tcPr>
          <w:p>
            <w:pPr>
              <w:pStyle w:val="TableContents"/>
              <w:bidi w:val="0"/>
              <w:spacing w:before="0" w:after="283"/>
              <w:jc w:val="right"/>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5.3 - 6.11</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6.05 - 6.1</w:t>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4.95 - 6.11</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weighted average grant-date fair value of the options granted was $17.14 and $3.22 per share for the nine months ended September 30, 2024 and 2023, respectively. The fair value of shares vested during the nine months ended September 30, 2024 and 2023 was $4.27 and $2.02 per share, respectively. The fair value of shares exercised during the nine months ended September 30, 2024 and 2023 was $2.07 and $1.47 per share,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nine months ended September 30, 2024 (in thousands, except share and per share amounts): </w:t>
      </w:r>
    </w:p>
    <w:p>
      <w:pPr>
        <w:pStyle w:val="TextBody"/>
        <w:bidi w:val="0"/>
        <w:jc w:val="both"/>
        <w:rPr/>
      </w:pPr>
      <w:r>
        <w:rPr/>
        <w:t> </w:t>
      </w:r>
    </w:p>
    <w:tbl>
      <w:tblPr>
        <w:tblW w:w="9448" w:type="dxa"/>
        <w:jc w:val="left"/>
        <w:tblInd w:w="0" w:type="dxa"/>
        <w:tblLayout w:type="fixed"/>
        <w:tblCellMar>
          <w:top w:w="28" w:type="dxa"/>
          <w:left w:w="28" w:type="dxa"/>
          <w:bottom w:w="28" w:type="dxa"/>
          <w:right w:w="28" w:type="dxa"/>
        </w:tblCellMar>
      </w:tblPr>
      <w:tblGrid>
        <w:gridCol w:w="3721"/>
        <w:gridCol w:w="146"/>
        <w:gridCol w:w="243"/>
        <w:gridCol w:w="1377"/>
        <w:gridCol w:w="166"/>
        <w:gridCol w:w="146"/>
        <w:gridCol w:w="220"/>
        <w:gridCol w:w="576"/>
        <w:gridCol w:w="146"/>
        <w:gridCol w:w="146"/>
        <w:gridCol w:w="255"/>
        <w:gridCol w:w="736"/>
        <w:gridCol w:w="146"/>
        <w:gridCol w:w="146"/>
        <w:gridCol w:w="196"/>
        <w:gridCol w:w="691"/>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3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5,532,871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40,290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3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(872,520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Forfeited/Expired</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September 30, 2024</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157,184</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September 30, 2024</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3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65,574</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recorded stock-based compensation expense related to stock options of $2.0 million and $0.4 million for the three months ended September 30, 2024 and 2023, respectively, and $5.1 million and $0.8 million for the nine months ended September 30, 2024 and 2023, respectively. As of September 30, 2024, the Company had an aggregate $21.9 million of gross unrecognized stock-based compensation expense related to unvested options to be recognized over a weighted average period of 3.1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Stock-based compensation expense related to stock options and the 2024 Employee Stock Purchase Plan (see Note 9) recorded in the accompanying statements of operations for the three and nine months ended September 30, 2024 and 2023 was as follows (in thousands): </w:t>
      </w:r>
    </w:p>
    <w:p>
      <w:pPr>
        <w:pStyle w:val="TextBody"/>
        <w:bidi w:val="0"/>
        <w:jc w:val="both"/>
        <w:rPr/>
      </w:pPr>
      <w:r>
        <w:rPr/>
        <w:t> </w:t>
      </w:r>
    </w:p>
    <w:tbl>
      <w:tblPr>
        <w:tblW w:w="9795" w:type="dxa"/>
        <w:jc w:val="left"/>
        <w:tblInd w:w="0" w:type="dxa"/>
        <w:tblLayout w:type="fixed"/>
        <w:tblCellMar>
          <w:top w:w="28" w:type="dxa"/>
          <w:left w:w="28" w:type="dxa"/>
          <w:bottom w:w="28" w:type="dxa"/>
          <w:right w:w="28" w:type="dxa"/>
        </w:tblCellMar>
      </w:tblPr>
      <w:tblGrid>
        <w:gridCol w:w="3451"/>
        <w:gridCol w:w="332"/>
        <w:gridCol w:w="899"/>
        <w:gridCol w:w="229"/>
        <w:gridCol w:w="229"/>
        <w:gridCol w:w="332"/>
        <w:gridCol w:w="662"/>
        <w:gridCol w:w="146"/>
        <w:gridCol w:w="146"/>
        <w:gridCol w:w="393"/>
        <w:gridCol w:w="1064"/>
        <w:gridCol w:w="272"/>
        <w:gridCol w:w="272"/>
        <w:gridCol w:w="393"/>
        <w:gridCol w:w="78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22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272"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has not recognized and does not expect to recognize in the near future, any tax benefit related to employee stock-based compensation expense as a result of the full valuation allowance related to its net deferred tax assets.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Employee Stock Purchase Plan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January 11, 2024, </w:t>
      </w:r>
      <w:r>
        <w:rPr>
          <w:rFonts w:ascii="Times New Roman" w:hAnsi="Times New Roman"/>
          <w:color w:val="242424"/>
          <w:sz w:val="20"/>
        </w:rPr>
        <w:t xml:space="preserve">the Company’s board of directors and stockholders approved the 2024 Employee Stock Purchase Plan (the ESPP), which became effective on the date on which the Company’s registration statement was declared effective by the SEC. The number of shares initially available for issuance pursuant to the ESPP is 812,242 shares. The ESPP </w:t>
      </w:r>
      <w:r>
        <w:rPr>
          <w:rFonts w:ascii="Times New Roman" w:hAnsi="Times New Roman"/>
          <w:color w:val="000000"/>
          <w:sz w:val="20"/>
        </w:rPr>
        <w:t>provides for the sale of the Company's common stock to eligible employees at 85% of the fair 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29,146 shares purchased under the ESPP during the three and nine months ended September 30, 2024. On September 30, 2024, there were approximately 0.8 million shares available for issuance under the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stock-based compensation expense under the ESPP of approximately $0.6 million and $1.4 million for the three and nine months ended September 30, 2024, respectively. As of September 30, 2024, the Company had $3.3 million of gross unrecognized stock-based compensation expense under the ESPP to be recognized over a weighted average period of 1.43 years.</w:t>
      </w:r>
    </w:p>
    <w:p>
      <w:pPr>
        <w:pStyle w:val="TextBody"/>
        <w:bidi w:val="0"/>
        <w:spacing w:before="360" w:after="283"/>
        <w:jc w:val="both"/>
        <w:rPr>
          <w:rFonts w:ascii="Times New Roman" w:hAnsi="Times New Roman"/>
          <w:sz w:val="20"/>
        </w:rPr>
      </w:pPr>
      <w:r>
        <w:rPr>
          <w:rFonts w:ascii="Times New Roman" w:hAnsi="Times New Roman"/>
          <w:b/>
          <w:color w:val="000000"/>
          <w:sz w:val="20"/>
        </w:rPr>
        <w:t>10.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12, 2023, the Company repaid all outstanding principal and accrued and unpaid interest on the funds received under the Loan Agreement and all other outstanding obligations with respect to the funds received under the Loan Agreement and made a final payment. On March 5, 2024, the Company paid $0.4 million for the success fee under the Success Fee Agreement entered into in connection with the Loan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11. Net Loss Per Share Attributable to Common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was calculated as follows (in thousands, except share and per share amounts):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34"/>
        <w:gridCol w:w="146"/>
        <w:gridCol w:w="211"/>
        <w:gridCol w:w="1036"/>
        <w:gridCol w:w="166"/>
        <w:gridCol w:w="146"/>
        <w:gridCol w:w="211"/>
        <w:gridCol w:w="931"/>
        <w:gridCol w:w="166"/>
        <w:gridCol w:w="146"/>
        <w:gridCol w:w="211"/>
        <w:gridCol w:w="1036"/>
        <w:gridCol w:w="166"/>
        <w:gridCol w:w="146"/>
        <w:gridCol w:w="211"/>
        <w:gridCol w:w="931"/>
        <w:gridCol w:w="611"/>
      </w:tblGrid>
      <w:tr>
        <w:trPr/>
        <w:tc>
          <w:tcPr>
            <w:tcW w:w="3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3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Deemed dividend on redeemable convertible preferred stock issuances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Cumulative redeemable convertible preferred stock dividends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67,143,744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60,311,003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4,053,341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redeemable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excluded the following from the computation of diluted net loss per share attributable to common stockholders at September 30, 2024 and 2023 because including them would have had an anti-dilutive effect: </w:t>
      </w:r>
    </w:p>
    <w:p>
      <w:pPr>
        <w:pStyle w:val="TextBody"/>
        <w:bidi w:val="0"/>
        <w:jc w:val="both"/>
        <w:rPr/>
      </w:pPr>
      <w:r>
        <w:rPr/>
        <w:t> </w:t>
      </w:r>
    </w:p>
    <w:tbl>
      <w:tblPr>
        <w:tblW w:w="6149" w:type="dxa"/>
        <w:jc w:val="left"/>
        <w:tblInd w:w="0" w:type="dxa"/>
        <w:tblLayout w:type="fixed"/>
        <w:tblCellMar>
          <w:top w:w="28" w:type="dxa"/>
          <w:left w:w="28" w:type="dxa"/>
          <w:bottom w:w="28" w:type="dxa"/>
          <w:right w:w="28" w:type="dxa"/>
        </w:tblCellMar>
      </w:tblPr>
      <w:tblGrid>
        <w:gridCol w:w="2266"/>
        <w:gridCol w:w="446"/>
        <w:gridCol w:w="146"/>
        <w:gridCol w:w="931"/>
        <w:gridCol w:w="446"/>
        <w:gridCol w:w="446"/>
        <w:gridCol w:w="146"/>
        <w:gridCol w:w="931"/>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3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4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5,203,163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5,203,163</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4,691,982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12. Related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2023, the Company entered into an agreement with Danforth Advisors, LLC for the provision of interim Chief Financial Officer (CFO) services. Under the agreement, the Company paid Danforth Advisors, LLC for Stephen DiPalma’s services as part-time CFO approximately $0.1 million or less for services rendered for each of the three and nine months ended September 30, 2024 and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and the unaudited interim financial statements included in this Quarterly Report on Form 10-Q should be read in conjunction with the financial statements and notes thereto for the year ended December 31, 2023 and the related Management’s Discussion and Analysis of Financial Condition and Results of Operations, both of which are contained in the Annual Report on Form 10-K for the year ended December 31, 2023 (the 2023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late-stage clinical biopharmaceutical company focused on developing and commercializing a potential backbone bladder-sparing therapeutic for patients afflicted with bladder cancer. Our product candidate, cretostimogene, is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Cohort C, our ongoing Phase 3 clinical trial in high-risk BCG-unresponsive NMIBC patients with CIS and with or without high-grade Ta/T1 papillary disease. We have completed enrollment for this trial and reported interim data in May 2024. In September 2024, we submitted a late-breaking abstract reporting data from BOND-003 to the Society of Urologic Oncology that was accepted for an oral presentation at its Annual Scientific Meeting in Urologic Oncology scheduled for December 2024. If successful, we believe that this trial could serve as the basis for a Biologics License Application (BLA) submission to the U.S. Food and Drug Administration (FDA). In April 2024, we initiated BOND-003 Cohort P evaluating cretostimogene in high-risk BCG-unresponsive NMIBC patients with high-grade Ta/T1 papillary disease. The first patient has been dosed in BOND-003 Cohort P. In addition, in our CORE-001 Phase 2 clinical trial, we evaluated the use of cretostimogene when administered to the BOND-003 Cohort C population in combination with FDA-approved pembrolizumab, and reported positive final results from the CORE-001 trial in May 2024. Moreover, we intend to assess the safety and efficacy of cretostimogene in treating a range of other bladder cancer indications as an alternative to BCG therapy and in patients who are not categorized as high-risk BCG-unresponsive, including our second Phase 3 clinical trial, PIVOT-006, evaluating adjuvant cretostimogene in up to 364 intermediate-risk NMIBC patients following transurethral resection of the bladder tumor (TURBT). In June 2024, we initiated an expanded access program (EAP) for cretostimogene in the U.S. for patients with NMIBC who are unresponsive to BCG and meet certain program eligibility criteria. The first patient has been dosed in the EAP and enrollment in the study is ongoing. We believe cretostimogene, if approved, has the potential to serve as first-line therapy, thereby alleviating the current need to prioritize treatment recipients and ration administration of BCG given its significant market shortage.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significant operating losses and negative cash flows from operations since our inception. Our net losses were $56.2 million and $32.1 million for the nine months ended September 30, 2024 and 2023, respectively. As of September 30, 2024, we had an accumulated deficit of $186.2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primarily funded our operations with proceeds from the sale of common shares from our IPO, our redeemable convertible preferred stock and previously outstanding term debt. From inception through September 30, 2024, we have received aggregate gross proceeds of approximately $749.8 million from the sale of common shares from our IPO and sales of redeemable convertible preferred stock. In addition, from inception through September 30, 2024, we have recognized $25.7 million in research and collaboration revenue pursuant to our license and collaboration agreements. As of September 30, 2024, we had cash, cash equivalents and marketable securities of $540.7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our current operating plan, we estimate that our existing cash, cash equivalents and marketable securities, will be sufficient to fund our projected operating expenses and capital expenditure requirements through 2027. However, we have based this estimate on assumptions that may prove to be wrong, and our operating plan may change as a result of many factors currently unknown to us. In addition, we could utilize our available capital resources sooner than we expect.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2024, we completed our initial public offering of 23,000,000 common shares at a price of $19.00 per share, including the exercise in full by the underwriters of their option to purchase an additional 3,000,000 shares of common stock. We received net proceeds of $399.6 million, after deducting discounts and commissions and offering expenses. In addition, as a result of our initial public offering, our redeemable convertible preferred stock converted into common stock concurrently with the initial public offering.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License and Collaboration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summary of the key terms for certain of our license and collaboration agreements. For a more detailed description of these agreements, see the section titled “Business—License and Collaboration Agreements” in our 2023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Lepu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2019, we entered into a development and license agreement (the Lepu License Agreement) with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three months ended September 30, 2024 and 2023, zero and less than $0.1 million in research and collaboration revenue was recorded related to the Lepu License Agreement. During the nine months ended September 30, 2024 and 2023, $0.5 million and less than $0.1 million in research and collaboration revenue was recorded related to the Lepu License Agreement,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Kissei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three months ended September 30, 2024, all research and collaboration revenue recorded was related to the Kissei License Agreement, with no research and collaboration revenue related to the Kissei License Agreement recorded during the three months ended September 30, 2023. During the nine months ended September 30, 2024 and 2023, $0.2 million and $0.2 million in research and collaboration revenue was recorded related to the Kissei License Agreement,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inception through September 30, 2024, we have recognized $25.7 million in research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(R&amp;D) expenses consist primarily of external and internal costs incurred in performing clinical and preclinical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R&amp;D expenses consist of:</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costs incurred under agreements with contract research organizations (CROs), contract manufacturers, consultants and other third parties to conduct and support our clinical trials and preclinical studies;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costs, including R&amp;D personnel-related expenses such as salaries, stock-based compensation and benefits, as well as allocated facilities costs and dues and subscriptions.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additional safety monitoring requested by regulatory agencies;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if any, of obtaining third-party drugs for use in our combination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changes in government regulation and regulatory guidance;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of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terms of any approvals from applicable regulatory authorities;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establish additional collaboration, license, or other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and travel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net, consists of interest income related to interest earned on our invested cash and cash equivalents and marketable securities balances and expenses related to our previously outstanding term debt. We expect our interest income will increase as we invest the cash received from the net proceeds from our IPO.</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(Expense)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income consists of miscellaneous items, such as success fees and final payment amortization and other items not related to our core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September 30, 2024 and 2023 (in thousands): </w:t>
      </w:r>
    </w:p>
    <w:p>
      <w:pPr>
        <w:pStyle w:val="TextBody"/>
        <w:bidi w:val="0"/>
        <w:jc w:val="left"/>
        <w:rPr/>
      </w:pPr>
      <w:r>
        <w:rPr/>
        <w:t> </w:t>
      </w:r>
    </w:p>
    <w:tbl>
      <w:tblPr>
        <w:tblW w:w="8061" w:type="dxa"/>
        <w:jc w:val="left"/>
        <w:tblInd w:w="0" w:type="dxa"/>
        <w:tblLayout w:type="fixed"/>
        <w:tblCellMar>
          <w:top w:w="28" w:type="dxa"/>
          <w:left w:w="28" w:type="dxa"/>
          <w:bottom w:w="28" w:type="dxa"/>
          <w:right w:w="28" w:type="dxa"/>
        </w:tblCellMar>
      </w:tblPr>
      <w:tblGrid>
        <w:gridCol w:w="3236"/>
        <w:gridCol w:w="146"/>
        <w:gridCol w:w="146"/>
        <w:gridCol w:w="256"/>
        <w:gridCol w:w="896"/>
        <w:gridCol w:w="202"/>
        <w:gridCol w:w="177"/>
        <w:gridCol w:w="256"/>
        <w:gridCol w:w="896"/>
        <w:gridCol w:w="166"/>
        <w:gridCol w:w="146"/>
        <w:gridCol w:w="211"/>
        <w:gridCol w:w="736"/>
        <w:gridCol w:w="59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center"/>
              <w:rPr/>
            </w:pPr>
            <w:r>
              <w:rPr/>
              <w:t> </w:t>
            </w:r>
          </w:p>
        </w:tc>
        <w:tc>
          <w:tcPr>
            <w:tcW w:w="202" w:type="dxa"/>
            <w:tcBorders/>
            <w:shd w:fill="CFF0FC" w:val="clear"/>
            <w:vAlign w:val="center"/>
          </w:tcPr>
          <w:p>
            <w:pPr>
              <w:pStyle w:val="TableContents"/>
              <w:bidi w:val="0"/>
              <w:spacing w:before="0" w:after="283"/>
              <w:jc w:val="center"/>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collaboration 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w:t>
            </w:r>
          </w:p>
        </w:tc>
        <w:tc>
          <w:tcPr>
            <w:tcW w:w="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2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Research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collaboration revenue was less than $0.1 million for the three months ended September 30, 2024 and 2023. We recorded $43.0 thousand in revenue related to the Kissei License Agreement for the three months ended September 30, 2024, as compared to $9.0 thousand in revenue related to the Lepu License Agreement during the prior year period.</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R&amp;D expenses for the three months ended September 30, 2024 and 2023 (in thousands): </w:t>
      </w:r>
    </w:p>
    <w:p>
      <w:pPr>
        <w:pStyle w:val="TextBody"/>
        <w:bidi w:val="0"/>
        <w:jc w:val="both"/>
        <w:rPr/>
      </w:pPr>
      <w:r>
        <w:rPr/>
        <w:t> </w:t>
      </w:r>
    </w:p>
    <w:tbl>
      <w:tblPr>
        <w:tblW w:w="7989" w:type="dxa"/>
        <w:jc w:val="left"/>
        <w:tblInd w:w="0" w:type="dxa"/>
        <w:tblLayout w:type="fixed"/>
        <w:tblCellMar>
          <w:top w:w="28" w:type="dxa"/>
          <w:left w:w="28" w:type="dxa"/>
          <w:bottom w:w="28" w:type="dxa"/>
          <w:right w:w="28" w:type="dxa"/>
        </w:tblCellMar>
      </w:tblPr>
      <w:tblGrid>
        <w:gridCol w:w="3696"/>
        <w:gridCol w:w="146"/>
        <w:gridCol w:w="274"/>
        <w:gridCol w:w="878"/>
        <w:gridCol w:w="189"/>
        <w:gridCol w:w="189"/>
        <w:gridCol w:w="274"/>
        <w:gridCol w:w="878"/>
        <w:gridCol w:w="146"/>
        <w:gridCol w:w="146"/>
        <w:gridCol w:w="211"/>
        <w:gridCol w:w="571"/>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trial expenses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391" w:type="dxa"/>
            <w:tcBorders/>
            <w:shd w:fill="CFF0FC"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391" w:type="dxa"/>
            <w:tcBorders/>
            <w:shd w:fill="FFFFFF" w:val="clear"/>
            <w:vAlign w:val="center"/>
          </w:tcPr>
          <w:p>
            <w:pPr>
              <w:pStyle w:val="TableContents"/>
              <w:bidi w:val="0"/>
              <w:spacing w:before="0" w:after="283"/>
              <w:jc w:val="left"/>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R&amp;D expenses were $19.6 million for the three months ended September 30, 2024 compared to $11.7 million for the three months ended September 30, 2023. The increase of $7.9 million in R&amp;D expenses for the three months ended September 30, 2024 was primarily due to an increase of $5.6 million in external clinical trial expenses, including an increase of $1.9 million of chemistry, manufacturing and control (CMC) costs, and an increase of $2.1 million in compensation costs due to increased headcount.</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three months ended September 30, 2024 and 2023 (in thousands): </w:t>
      </w:r>
    </w:p>
    <w:p>
      <w:pPr>
        <w:pStyle w:val="TextBody"/>
        <w:bidi w:val="0"/>
        <w:jc w:val="both"/>
        <w:rPr/>
      </w:pPr>
      <w:r>
        <w:rPr/>
        <w:t> </w:t>
      </w:r>
    </w:p>
    <w:tbl>
      <w:tblPr>
        <w:tblW w:w="8036" w:type="dxa"/>
        <w:jc w:val="left"/>
        <w:tblInd w:w="0" w:type="dxa"/>
        <w:tblLayout w:type="fixed"/>
        <w:tblCellMar>
          <w:top w:w="28" w:type="dxa"/>
          <w:left w:w="28" w:type="dxa"/>
          <w:bottom w:w="28" w:type="dxa"/>
          <w:right w:w="28" w:type="dxa"/>
        </w:tblCellMar>
      </w:tblPr>
      <w:tblGrid>
        <w:gridCol w:w="3741"/>
        <w:gridCol w:w="146"/>
        <w:gridCol w:w="305"/>
        <w:gridCol w:w="826"/>
        <w:gridCol w:w="211"/>
        <w:gridCol w:w="211"/>
        <w:gridCol w:w="305"/>
        <w:gridCol w:w="826"/>
        <w:gridCol w:w="146"/>
        <w:gridCol w:w="146"/>
        <w:gridCol w:w="211"/>
        <w:gridCol w:w="571"/>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391" w:type="dxa"/>
            <w:tcBorders/>
            <w:shd w:fill="CFF0FC"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391" w:type="dxa"/>
            <w:tcBorders/>
            <w:shd w:fill="FFFFFF" w:val="clear"/>
            <w:vAlign w:val="center"/>
          </w:tcPr>
          <w:p>
            <w:pPr>
              <w:pStyle w:val="TableContents"/>
              <w:bidi w:val="0"/>
              <w:spacing w:before="0" w:after="283"/>
              <w:jc w:val="left"/>
              <w:rPr/>
            </w:pPr>
            <w:r>
              <w:rPr/>
              <w:t> </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General and administrative expenses were $8.7 million for the three months ended September 30, 2024 compared to $2.3 million for the three months ended September 30, 2023. The increase of $6.4 million in general and administrative expenses for the three months ended September 30, 2024 was primarily due to an increase in personnel-related expenses, including an increase in compensation costs of $4.0 million due to increased headcount, an increase in professional and consultant fees of $1.4 million related to legal, accounting and consulting fees, and an increase in insurance and marketing-related costs of $0.7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for the three months ended September 30, 2024 was an other income, net of $7.9 million compared to an other income, net of $2.3 million for the three months ended September 30, 2023 and primarily consisted interest income related to marketable securities balances in each period.</w:t>
      </w:r>
    </w:p>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nine months ended September 30, 2024 and 2023 (in thousands): </w:t>
      </w:r>
    </w:p>
    <w:p>
      <w:pPr>
        <w:pStyle w:val="TextBody"/>
        <w:bidi w:val="0"/>
        <w:jc w:val="left"/>
        <w:rPr/>
      </w:pPr>
      <w:r>
        <w:rPr/>
        <w:t> </w:t>
      </w:r>
    </w:p>
    <w:tbl>
      <w:tblPr>
        <w:tblW w:w="7972" w:type="dxa"/>
        <w:jc w:val="left"/>
        <w:tblInd w:w="0" w:type="dxa"/>
        <w:tblLayout w:type="fixed"/>
        <w:tblCellMar>
          <w:top w:w="28" w:type="dxa"/>
          <w:left w:w="28" w:type="dxa"/>
          <w:bottom w:w="28" w:type="dxa"/>
          <w:right w:w="28" w:type="dxa"/>
        </w:tblCellMar>
      </w:tblPr>
      <w:tblGrid>
        <w:gridCol w:w="3236"/>
        <w:gridCol w:w="146"/>
        <w:gridCol w:w="146"/>
        <w:gridCol w:w="248"/>
        <w:gridCol w:w="866"/>
        <w:gridCol w:w="195"/>
        <w:gridCol w:w="171"/>
        <w:gridCol w:w="248"/>
        <w:gridCol w:w="866"/>
        <w:gridCol w:w="166"/>
        <w:gridCol w:w="146"/>
        <w:gridCol w:w="211"/>
        <w:gridCol w:w="736"/>
        <w:gridCol w:w="59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center"/>
              <w:rPr/>
            </w:pPr>
            <w:r>
              <w:rPr/>
              <w:t> </w:t>
            </w:r>
          </w:p>
        </w:tc>
        <w:tc>
          <w:tcPr>
            <w:tcW w:w="195" w:type="dxa"/>
            <w:tcBorders/>
            <w:shd w:fill="CFF0FC" w:val="clear"/>
            <w:vAlign w:val="center"/>
          </w:tcPr>
          <w:p>
            <w:pPr>
              <w:pStyle w:val="TableContents"/>
              <w:bidi w:val="0"/>
              <w:spacing w:before="0" w:after="283"/>
              <w:jc w:val="center"/>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collaboration 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(76,617</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(40,523</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Research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collaboration revenue was $0.7 million for the nine months ended September 30, 2024 compared to $0.2 million for the nine months ended September 30, 2023. We recorded $0.5 million and less than $0.1 million in revenue for the nine months ended September 30, 2024 and 2023, respectively, related to the Lepu License Agreement, and we recorded $0.2 million and $0.2 million in revenue related to the Kissei License Agreement for the nine months ended September 30, 2024 and 2023, respectively.</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R&amp;D expenses for the nine months ended September 30, 2024 and 2023 (in thousands): </w:t>
      </w:r>
    </w:p>
    <w:p>
      <w:pPr>
        <w:pStyle w:val="TextBody"/>
        <w:bidi w:val="0"/>
        <w:jc w:val="both"/>
        <w:rPr/>
      </w:pPr>
      <w:r>
        <w:rPr/>
        <w:t> </w:t>
      </w:r>
    </w:p>
    <w:tbl>
      <w:tblPr>
        <w:tblW w:w="8006" w:type="dxa"/>
        <w:jc w:val="left"/>
        <w:tblInd w:w="0" w:type="dxa"/>
        <w:tblLayout w:type="fixed"/>
        <w:tblCellMar>
          <w:top w:w="28" w:type="dxa"/>
          <w:left w:w="28" w:type="dxa"/>
          <w:bottom w:w="28" w:type="dxa"/>
          <w:right w:w="28" w:type="dxa"/>
        </w:tblCellMar>
      </w:tblPr>
      <w:tblGrid>
        <w:gridCol w:w="3696"/>
        <w:gridCol w:w="146"/>
        <w:gridCol w:w="265"/>
        <w:gridCol w:w="849"/>
        <w:gridCol w:w="183"/>
        <w:gridCol w:w="183"/>
        <w:gridCol w:w="265"/>
        <w:gridCol w:w="849"/>
        <w:gridCol w:w="146"/>
        <w:gridCol w:w="146"/>
        <w:gridCol w:w="211"/>
        <w:gridCol w:w="676"/>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trial expenses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39,379</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19,779</w:t>
            </w:r>
          </w:p>
        </w:tc>
        <w:tc>
          <w:tcPr>
            <w:tcW w:w="391" w:type="dxa"/>
            <w:tcBorders/>
            <w:shd w:fill="CFF0FC"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391" w:type="dxa"/>
            <w:tcBorders/>
            <w:shd w:fill="FFFFFF" w:val="clear"/>
            <w:vAlign w:val="center"/>
          </w:tcPr>
          <w:p>
            <w:pPr>
              <w:pStyle w:val="TableContents"/>
              <w:bidi w:val="0"/>
              <w:spacing w:before="0" w:after="283"/>
              <w:jc w:val="left"/>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R&amp;D expenses were $55.3 million for the nine months ended September 30, 2024 compared to $29.4 million for the nine months ended September 30, 2023. The increase of $25.9 million in R&amp;D expenses for the nine months ended September 30, 2024 was primarily due to an increase of $19.8 million in external clinical trial expenses related to higher CRO fees as patient enrollment increased, including an $9.9 million increase in CMC costs, as well as an increase of $4.9 million in compensation costs due to increased headcount, including a $1.8 million increase in stock-based compensation.</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nine months ended September 30, 2024 and 2023 (in thousands): </w:t>
      </w:r>
    </w:p>
    <w:p>
      <w:pPr>
        <w:pStyle w:val="TextBody"/>
        <w:bidi w:val="0"/>
        <w:jc w:val="both"/>
        <w:rPr/>
      </w:pPr>
      <w:r>
        <w:rPr/>
        <w:t> </w:t>
      </w:r>
    </w:p>
    <w:tbl>
      <w:tblPr>
        <w:tblW w:w="8050" w:type="dxa"/>
        <w:jc w:val="left"/>
        <w:tblInd w:w="0" w:type="dxa"/>
        <w:tblLayout w:type="fixed"/>
        <w:tblCellMar>
          <w:top w:w="28" w:type="dxa"/>
          <w:left w:w="28" w:type="dxa"/>
          <w:bottom w:w="28" w:type="dxa"/>
          <w:right w:w="28" w:type="dxa"/>
        </w:tblCellMar>
      </w:tblPr>
      <w:tblGrid>
        <w:gridCol w:w="3741"/>
        <w:gridCol w:w="146"/>
        <w:gridCol w:w="279"/>
        <w:gridCol w:w="894"/>
        <w:gridCol w:w="193"/>
        <w:gridCol w:w="193"/>
        <w:gridCol w:w="279"/>
        <w:gridCol w:w="755"/>
        <w:gridCol w:w="146"/>
        <w:gridCol w:w="146"/>
        <w:gridCol w:w="211"/>
        <w:gridCol w:w="67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391" w:type="dxa"/>
            <w:tcBorders/>
            <w:shd w:fill="CFF0FC"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391" w:type="dxa"/>
            <w:tcBorders/>
            <w:shd w:fill="FFFFFF" w:val="clear"/>
            <w:vAlign w:val="center"/>
          </w:tcPr>
          <w:p>
            <w:pPr>
              <w:pStyle w:val="TableContents"/>
              <w:bidi w:val="0"/>
              <w:spacing w:before="0" w:after="283"/>
              <w:jc w:val="left"/>
              <w:rPr/>
            </w:pPr>
            <w:r>
              <w:rPr/>
              <w:t> </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General and administrative expenses were $22.0 million for the nine months ended September 30, 2024 compared to $6.9 million for the nine months ended September 30, 2023. The increase of $15.1 million in general and administrative expenses for the nine months ended September 30, 2024 was primarily due to an increase in compensation costs of $9.0 million due to increased headcount, including a $3.9 million increase in stock-based compensation, as well as increased professional and consultant fees of $2.9 million related to legal, accounting and consulting fees, an increase in marketing-related costs of $1.2 million, and an increase in insurance costs of $1.0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for the nine months ended September 30, 2024 was an other income, net of $20.4 million compared to an other income, net of $4.0 million for the nine months ended September 30, 2023. For the nine months ended September 30, 2024, other income (expense), net primarily consisted of $20.4 million in interest income related to marketable securities balances, and for the nine months ended September 30, 2023, other income (expense), net primarily consisted of interest income of $4.1 million related to marketable securities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in our initial public offering, the sale of shares of our redeemable convertible preferred stock and previously outstanding term debt. Through September 30, 2024, we have received aggregate gross proceeds of $749.8 million from the sale of common stock in our IPO and sale of redeemable convertible preferred stock. In addition, through September 30, 2024, we have recognized $25.7 million in research and collaboration revenue through our license and collaboration agreements. As of September 30, 2024, we had cash, cash equivalents and marketable securities of $540.7 million. On January 29, 2024, we closed our initial public offering of common stock for aggregate net proceeds of $399.6 million, after deducting discounts and commissions and offering expenses.</w:t>
      </w:r>
    </w:p>
    <w:p>
      <w:pPr>
        <w:pStyle w:val="TextBody"/>
        <w:bidi w:val="0"/>
        <w:spacing w:before="36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obtaining, maintaining, enforcing and protecting our patents and other intellectual property and proprietary rights;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enhance operational systems and hire additional personnel to satisfy our obligations as a public company, including enhanced internal control over financial reporting;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hiring additional personnel and consultants as our business grows, including additional executive officers and clinical development, regulatory, CMC quality and commercial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payment of milestone, royalty or other payments we must make pursuant to our existing and potential future license or collaboration agreements with third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establishing or securing sales and marketing capabilities if cretostimogene or any future product candidate is approved;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 party payors and adequate market share and revenue for any approved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strategic decision to develop future product candidates other than cretostimogene, and the timing of such development, if any;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and/or adequate reimbursement from third-party payors;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establishing and maintaining collaborations, licenses and other similar arrangements;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any products or technologies that we may in-license or acquire.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upon our current operating plan, we estimate that our existing cash, cash equivalents and marketable securities, will be sufficient to fund our projected operating expenses and capital expenditure requirements through 2027. However, we have based this estimate on assumptions that may prove to be wrong, and our operating plan may change as a result of many factors currently unknown to us. In addition, we could utilize our available capital resources sooner than we expect.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Cash Requirements for Known Contractual and Other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nine months ended September 30, 2024, there have been no material changes outside of the ordinary course of business in the composition to the material contractual obligations or commitments discussed in “Management’s Discussion and Analysis of Financial Condition and Results of Operations – Material Cash Requirements for Known Contractual and Other Obligations” included in the 2023 Annual Report.</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nine months ended September 30, 2024 and 2023 (in thousands): </w:t>
      </w:r>
    </w:p>
    <w:p>
      <w:pPr>
        <w:pStyle w:val="TextBody"/>
        <w:bidi w:val="0"/>
        <w:jc w:val="both"/>
        <w:rPr/>
      </w:pPr>
      <w:r>
        <w:rPr/>
        <w:t> </w:t>
      </w:r>
    </w:p>
    <w:tbl>
      <w:tblPr>
        <w:tblW w:w="7315" w:type="dxa"/>
        <w:jc w:val="left"/>
        <w:tblInd w:w="0" w:type="dxa"/>
        <w:tblLayout w:type="fixed"/>
        <w:tblCellMar>
          <w:top w:w="28" w:type="dxa"/>
          <w:left w:w="28" w:type="dxa"/>
          <w:bottom w:w="28" w:type="dxa"/>
          <w:right w:w="28" w:type="dxa"/>
        </w:tblCellMar>
      </w:tblPr>
      <w:tblGrid>
        <w:gridCol w:w="4366"/>
        <w:gridCol w:w="146"/>
        <w:gridCol w:w="226"/>
        <w:gridCol w:w="903"/>
        <w:gridCol w:w="178"/>
        <w:gridCol w:w="156"/>
        <w:gridCol w:w="226"/>
        <w:gridCol w:w="903"/>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(58,051</w:t>
            </w:r>
          </w:p>
        </w:tc>
        <w:tc>
          <w:tcPr>
            <w:tcW w:w="1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(311,669</w:t>
            </w:r>
          </w:p>
        </w:tc>
        <w:tc>
          <w:tcPr>
            <w:tcW w:w="1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(136,729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404,865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2024, operating activities used $58.1 million of cash, primarily resulting from our net loss of $56.2 million, as well as accretion of the discount on short-term investments of $6.2 million and net cash used in changes in our operating assets and liabilities of $2.0 million, partially offset by non-cash stock-based compensation charges of $6.4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2023, operating activities used $31.0 million of cash, primarily resulting from our net loss of $32.1 million and accretion of the discount on short-term investments of $1.4 million, partially offset by $1.5 million of non-cash charges, which includes stock-based compensation expense and amortization associated with the term loan final payoff and success fees, and net cash used in changes in our operating assets and liabilities of $0.9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2024, net cash used in investing activities was $311.7 million, primarily due to purchases of marketable securities offset by proceeds from sales and maturities of short-term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2023, net cash used in investing activities was $136.7 million, primarily due to purchases of marketable securities offset by proceeds from sales and maturities of short-term investments.</w:t>
      </w:r>
    </w:p>
    <w:p>
      <w:pPr>
        <w:pStyle w:val="TextBody"/>
        <w:bidi w:val="0"/>
        <w:spacing w:before="36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nine months ended September 30, 2024, net cash provided by financing activities was $404.9 million, consisting primarily of net proceeds from the initial public offering, net of issuance costs and deferred offering costs of $403.0 million, partially offset by the long-term debt success fee payoff of $0.4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2023, net cash used in financing activities was $89.9 million, consisting of net proceeds from the issuance of Series F redeemable convertible preferred stock of $104.6 million and the exercise of common stock options of $1.8 million, partially offset by payments of long-term debt of $16.3 million.</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condensed financial statements are prepared in accordance with generally accepted accounting principles in the United States. The preparation of our condensed financial statements and related disclosures requires us to make estimates and judgments that affect the reported amounts of assets, liabilities, costs and expenses, and the disclosure of contingent assets and liabilities in our condensed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2023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R&amp;D Expenses and Related Prepaid and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process of preparing our condensed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360" w:after="283"/>
        <w:jc w:val="both"/>
        <w:rPr>
          <w:rFonts w:ascii="Times New Roman" w:hAnsi="Times New Roman"/>
          <w:sz w:val="20"/>
        </w:rPr>
      </w:pPr>
      <w:r>
        <w:rPr>
          <w:rFonts w:ascii="Times New Roman" w:hAnsi="Times New Roman"/>
          <w:b/>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description of recently issued accounting standards that may potentially impact our financial position, results of operations and cash flows is included in Note 2 to our condensed financial statements included elsewhere in this Quarterly Report. </w:t>
      </w:r>
    </w:p>
    <w:p>
      <w:pPr>
        <w:pStyle w:val="TextBody"/>
        <w:bidi w:val="0"/>
        <w:spacing w:before="360" w:after="283"/>
        <w:jc w:val="both"/>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As of September 30,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2023 Annual Report. </w:t>
      </w:r>
    </w:p>
    <w:p>
      <w:pPr>
        <w:pStyle w:val="TextBody"/>
        <w:bidi w:val="0"/>
        <w:spacing w:before="360" w:after="283"/>
        <w:jc w:val="both"/>
        <w:rPr>
          <w:rFonts w:ascii="Times New Roman" w:hAnsi="Times New Roman"/>
          <w:b/>
          <w:color w:val="000000"/>
          <w:sz w:val="20"/>
        </w:rPr>
      </w:pPr>
      <w:bookmarkStart w:id="11" w:name="item_4_controls_and_procedure"/>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Conclusion Regarding the Effectiveness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have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three months ended September 30,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4, 2024, a complaint was filed against us in the Superior Court of the State of Delaware by ANI Pharmaceuticals, Inc. seeking a declaratory judgment that an assignment and technology transfer agreement between us and ANI, dated November 15, 2010, obligates us to pay ANI a royalty on certain "net sales" of cretostimogene. We dispute the allegations raised in the case and are vigorously defending the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other legal proceedings. Regardless of outcome, litigation can have an adverse impact on us because of defense and settlement costs, diversion of management resources, and other factors. There have been no material developments to the legal proceedings disclosed in Part II, Item 1, "Legal Proceedings" in our 2023 Annual Report.</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material changes to the risk factors disclosed in Part I, Item 1A, “Risk Factors” of our 2023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September 30, 2024, we estimate that we have used approximately $49.2 million of the proceeds from our initial public offering for general corporate purposes, including to fund the research and development of cretostimogene, and manufacturing and pre-commercial activities. There has been no material change in the planned use of proceeds from that described in the final prospectus for our initial public offering filed with the SEC pursuant to Rule 424(b)(4) under the Securities Act. </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bookmarkStart w:id="18" w:name="item_5_othe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our Section 16 officers (as defined in Rule 16a–1(f)) and directors may enter into Rule 10b5-1 or non-Rule 10b5-1 trading arrangements (as each such term is defined in Item 408 of Regulation S-K) for the purchase or sale of our securities. During the three months ended September 30, 2024, our Section 16 officers and directors adopted or terminated contracts, instructions or written plans for the purchase or sale of our securities as noted in the table below.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33"/>
        <w:gridCol w:w="886"/>
        <w:gridCol w:w="1185"/>
        <w:gridCol w:w="775"/>
        <w:gridCol w:w="1147"/>
        <w:gridCol w:w="1270"/>
        <w:gridCol w:w="3509"/>
      </w:tblGrid>
      <w:tr>
        <w:trPr/>
        <w:tc>
          <w:tcPr>
            <w:tcW w:w="143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509"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Arrangement</w:t>
            </w:r>
          </w:p>
        </w:tc>
      </w:tr>
      <w:tr>
        <w:trPr/>
        <w:tc>
          <w:tcPr>
            <w:tcW w:w="143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Section 16 Officer or Director</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1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77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14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2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to Be Sold</w:t>
            </w:r>
          </w:p>
        </w:tc>
        <w:tc>
          <w:tcPr>
            <w:tcW w:w="3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43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Leonard Post, PhD</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1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6, 2024</w:t>
            </w:r>
          </w:p>
        </w:tc>
        <w:tc>
          <w:tcPr>
            <w:tcW w:w="77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4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23,000</w:t>
            </w:r>
          </w:p>
        </w:tc>
        <w:tc>
          <w:tcPr>
            <w:tcW w:w="3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earlier to occur of (i) November 28, 2025, and (ii) upon the execution of all instructions provided in the plan</w:t>
            </w:r>
          </w:p>
        </w:tc>
      </w:tr>
      <w:tr>
        <w:trPr/>
        <w:tc>
          <w:tcPr>
            <w:tcW w:w="143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Charming Jade Limited***</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1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13, 2024</w:t>
            </w:r>
          </w:p>
        </w:tc>
        <w:tc>
          <w:tcPr>
            <w:tcW w:w="77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4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1,266,814</w:t>
            </w:r>
          </w:p>
        </w:tc>
        <w:tc>
          <w:tcPr>
            <w:tcW w:w="3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earlier to occur of (i) June 11, 2025, and (ii) the execution of all instructions provided in the plan</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instruction or written plan intended to satisfy the affirmative defense conditions of Rule 10b5-1(c) under the Exchange Act.</w:t>
      </w:r>
    </w:p>
    <w:p>
      <w:pPr>
        <w:pStyle w:val="TextBody"/>
        <w:bidi w:val="0"/>
        <w:spacing w:before="120" w:after="283"/>
        <w:jc w:val="both"/>
        <w:rPr>
          <w:rFonts w:ascii="Times New Roman" w:hAnsi="Times New Roman"/>
          <w:sz w:val="20"/>
        </w:rPr>
      </w:pPr>
      <w:r>
        <w:rPr>
          <w:rFonts w:ascii="Times New Roman" w:hAnsi="Times New Roman"/>
          <w:color w:val="000000"/>
          <w:sz w:val="20"/>
        </w:rPr>
        <w:t>**</w:t>
      </w:r>
      <w:r>
        <w:rPr>
          <w:rFonts w:ascii="Times New Roman" w:hAnsi="Times New Roman"/>
          <w:color w:val="000000"/>
          <w:sz w:val="20"/>
          <w:u w:val="single"/>
        </w:rPr>
        <w:t>“</w:t>
      </w:r>
      <w:r>
        <w:rPr>
          <w:rFonts w:ascii="Times New Roman" w:hAnsi="Times New Roman"/>
          <w:color w:val="000000"/>
          <w:sz w:val="20"/>
        </w:rPr>
        <w:t>Non-Rule 10b5-1 trading arrangement” as defined in item 408(c) of Regulation S-K under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Charming Jade Limited is a wholly owned subsidiary of ORI Healthcare Fund II, L.P. ORI Capital II Inc. is the general partner of ORI Healthcare Fund II, L.P. and a wholly owned subsidiary of ORI Holding II Inc. Each of ORI Capital Holding Inc. and ORI Holding II Inc. is a wholly owned subsidiary of Healthcare Seed Limited. Ms. Hong Fang Song, who serves on our Board of Directors, is the sole owner of Healthcare Seed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8"/>
        <w:gridCol w:w="109"/>
        <w:gridCol w:w="5883"/>
        <w:gridCol w:w="109"/>
        <w:gridCol w:w="586"/>
        <w:gridCol w:w="109"/>
        <w:gridCol w:w="634"/>
        <w:gridCol w:w="109"/>
        <w:gridCol w:w="796"/>
        <w:gridCol w:w="109"/>
        <w:gridCol w:w="933"/>
      </w:tblGrid>
      <w:tr>
        <w:trPr/>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8"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3"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01/02/24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common stock</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dated July 28, 2023, as amended, by and among the Registrant and certain of its stockholders</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w:anchor="ck0001991792-ex31_1.htm">
              <w:r>
                <w:rPr>
                  <w:rStyle w:val="InternetLink"/>
                  <w:rFonts w:ascii="Times New Roman" w:hAnsi="Times New Roman"/>
                  <w:color w:val="0000FF"/>
                  <w:sz w:val="20"/>
                  <w:u w:val="single"/>
                </w:rPr>
                <w:t>Certification of Chief Executive Officer, as required by Rule 13a-14(a) or Rule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X</w:t>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w:anchor="ck0001991792-ex31_2.htm">
              <w:r>
                <w:rPr>
                  <w:rStyle w:val="InternetLink"/>
                  <w:rFonts w:ascii="Times New Roman" w:hAnsi="Times New Roman"/>
                  <w:color w:val="0000FF"/>
                  <w:sz w:val="20"/>
                  <w:u w:val="single"/>
                </w:rPr>
                <w:t>Certification of Chief Financial Officer, as required by Rule 13a-14(a) or Rule 15d-14(a), as adopted pursuant to Section 302 of the Sarbanes-Oxley Act of 2002</w:t>
              </w:r>
            </w:hyperlink>
            <w:hyperlink w:anchor="ck0001991792-ex31_2.htm">
              <w:r>
                <w:rPr>
                  <w:rStyle w:val="InternetLink"/>
                  <w:rFonts w:ascii="Times New Roman" w:hAnsi="Times New Roman"/>
                  <w:color w:val="0000FF"/>
                  <w:sz w:val="20"/>
                </w:rPr>
                <w:t xml:space="preserve"> </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X</w:t>
            </w:r>
          </w:p>
        </w:tc>
      </w:tr>
      <w:tr>
        <w:trPr/>
        <w:tc>
          <w:tcPr>
            <w:tcW w:w="82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w:anchor="ck0001991792-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X</w:t>
            </w:r>
          </w:p>
        </w:tc>
      </w:tr>
      <w:tr>
        <w:trPr/>
        <w:tc>
          <w:tcPr>
            <w:tcW w:w="82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pPr>
            <w:hyperlink w:anchor="ck0001991792-ex32_2.htm">
              <w:r>
                <w:rPr>
                  <w:rStyle w:val="InternetLink"/>
                  <w:rFonts w:ascii="Times New Roman" w:hAnsi="Times New Roman"/>
                  <w:color w:val="0000FF"/>
                  <w:sz w:val="20"/>
                  <w:u w:val="single"/>
                </w:rPr>
                <w:t>Certification of Chief Financial Officer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X</w:t>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206"/>
        <w:gridCol w:w="109"/>
        <w:gridCol w:w="406"/>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CG Oncology,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Arthur Kuan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Arthur Kuan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and 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487" w:type="dxa"/>
        <w:jc w:val="left"/>
        <w:tblInd w:w="0" w:type="dxa"/>
        <w:tblLayout w:type="fixed"/>
        <w:tblCellMar>
          <w:top w:w="28" w:type="dxa"/>
          <w:left w:w="28" w:type="dxa"/>
          <w:bottom w:w="28" w:type="dxa"/>
          <w:right w:w="28" w:type="dxa"/>
        </w:tblCellMar>
      </w:tblPr>
      <w:tblGrid>
        <w:gridCol w:w="2206"/>
        <w:gridCol w:w="109"/>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Corleen Roche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Corleen Roche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k0001991792-ex31_1.htm"/>
      <w:bookmarkStart w:id="22" w:name="ksck0001991792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sz w:val="20"/>
        </w:rPr>
      </w:pPr>
      <w:bookmarkStart w:id="23" w:name="section1"/>
      <w:bookmarkEnd w:id="23"/>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Arthur Kuan,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CG Oncology,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93" w:type="dxa"/>
        <w:jc w:val="left"/>
        <w:tblInd w:w="0" w:type="dxa"/>
        <w:tblLayout w:type="fixed"/>
        <w:tblCellMar>
          <w:top w:w="28" w:type="dxa"/>
          <w:left w:w="28" w:type="dxa"/>
          <w:bottom w:w="28" w:type="dxa"/>
          <w:right w:w="28" w:type="dxa"/>
        </w:tblCellMar>
      </w:tblPr>
      <w:tblGrid>
        <w:gridCol w:w="2206"/>
        <w:gridCol w:w="631"/>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Arthur Kuan</w:t>
            </w:r>
          </w:p>
        </w:tc>
      </w:tr>
      <w:tr>
        <w:trPr/>
        <w:tc>
          <w:tcPr>
            <w:tcW w:w="22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Arthur Kuan</w:t>
            </w:r>
          </w:p>
        </w:tc>
      </w:tr>
      <w:tr>
        <w:trPr/>
        <w:tc>
          <w:tcPr>
            <w:tcW w:w="22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22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k0001991792-ex31_2.htm"/>
      <w:bookmarkStart w:id="25" w:name="ksck0001991792ex31_2"/>
      <w:bookmarkEnd w:id="24"/>
      <w:bookmarkEnd w:id="25"/>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bookmarkStart w:id="26" w:name="section11"/>
      <w:bookmarkEnd w:id="26"/>
      <w:r>
        <w:rPr>
          <w:rFonts w:ascii="Times New Roman" w:hAnsi="Times New Roman"/>
          <w:b/>
          <w:color w:val="000000"/>
          <w:sz w:val="20"/>
        </w:rPr>
        <w:t>CERTIFICATION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Corleen Roche,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CG Oncology,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78" w:type="dxa"/>
        <w:jc w:val="left"/>
        <w:tblInd w:w="0" w:type="dxa"/>
        <w:tblLayout w:type="fixed"/>
        <w:tblCellMar>
          <w:top w:w="28" w:type="dxa"/>
          <w:left w:w="28" w:type="dxa"/>
          <w:bottom w:w="28" w:type="dxa"/>
          <w:right w:w="28" w:type="dxa"/>
        </w:tblCellMar>
      </w:tblPr>
      <w:tblGrid>
        <w:gridCol w:w="2206"/>
        <w:gridCol w:w="631"/>
        <w:gridCol w:w="2341"/>
      </w:tblGrid>
      <w:tr>
        <w:trPr/>
        <w:tc>
          <w:tcPr>
            <w:tcW w:w="22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Corleen Roche</w:t>
            </w:r>
          </w:p>
        </w:tc>
      </w:tr>
      <w:tr>
        <w:trPr/>
        <w:tc>
          <w:tcPr>
            <w:tcW w:w="22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Corleen Roche</w:t>
            </w:r>
          </w:p>
        </w:tc>
      </w:tr>
      <w:tr>
        <w:trPr/>
        <w:tc>
          <w:tcPr>
            <w:tcW w:w="22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k0001991792-ex32_1.htm"/>
      <w:bookmarkStart w:id="28" w:name="ksck0001991792ex32_1"/>
      <w:bookmarkEnd w:id="27"/>
      <w:bookmarkEnd w:id="2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bookmarkStart w:id="29" w:name="section12"/>
      <w:bookmarkEnd w:id="29"/>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CG Oncology, Inc. (the “Company”) on Form 10-Q for the quarter ended June 30, 2024 as filed with the Securities and Exchange Commission on the date hereof (the “Report”), I certify, pursuant to 18 U.S.C. § 1350, as adopted pursuant to §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54" w:type="dxa"/>
        <w:jc w:val="left"/>
        <w:tblInd w:w="0" w:type="dxa"/>
        <w:tblLayout w:type="fixed"/>
        <w:tblCellMar>
          <w:top w:w="28" w:type="dxa"/>
          <w:left w:w="28" w:type="dxa"/>
          <w:bottom w:w="28" w:type="dxa"/>
          <w:right w:w="28" w:type="dxa"/>
        </w:tblCellMar>
      </w:tblPr>
      <w:tblGrid>
        <w:gridCol w:w="556"/>
        <w:gridCol w:w="1711"/>
        <w:gridCol w:w="63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Arthur Kuan</w:t>
            </w:r>
          </w:p>
        </w:tc>
      </w:tr>
      <w:tr>
        <w:trPr/>
        <w:tc>
          <w:tcPr>
            <w:tcW w:w="556"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Arthur Kuan</w:t>
            </w:r>
          </w:p>
        </w:tc>
      </w:tr>
      <w:tr>
        <w:trPr/>
        <w:tc>
          <w:tcPr>
            <w:tcW w:w="556"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556"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ck0001991792-ex32_2.htm"/>
      <w:bookmarkStart w:id="31" w:name="ksck0001991792ex32_2"/>
      <w:bookmarkEnd w:id="30"/>
      <w:bookmarkEnd w:id="31"/>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bookmarkStart w:id="32" w:name="section13"/>
      <w:bookmarkEnd w:id="32"/>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CG Oncology, Inc. (the “Company”) on Form 10-Q for the quarter ended June 30, 2024 as filed with the Securities and Exchange Commission on the date hereof (the “Report”), I certify, pursuant to 18 U.S.C. § 1350, as adopted pursuant to §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39" w:type="dxa"/>
        <w:jc w:val="left"/>
        <w:tblInd w:w="0" w:type="dxa"/>
        <w:tblLayout w:type="fixed"/>
        <w:tblCellMar>
          <w:top w:w="28" w:type="dxa"/>
          <w:left w:w="28" w:type="dxa"/>
          <w:bottom w:w="28" w:type="dxa"/>
          <w:right w:w="28" w:type="dxa"/>
        </w:tblCellMar>
      </w:tblPr>
      <w:tblGrid>
        <w:gridCol w:w="556"/>
        <w:gridCol w:w="1711"/>
        <w:gridCol w:w="631"/>
        <w:gridCol w:w="234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Corleen Roche</w:t>
            </w:r>
          </w:p>
        </w:tc>
      </w:tr>
      <w:tr>
        <w:trPr/>
        <w:tc>
          <w:tcPr>
            <w:tcW w:w="556"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Corleen Roche</w:t>
            </w:r>
          </w:p>
        </w:tc>
      </w:tr>
      <w:tr>
        <w:trPr/>
        <w:tc>
          <w:tcPr>
            <w:tcW w:w="556"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1792/000119312524009621/d551455dex33.htm" TargetMode="External"/><Relationship Id="rId3" Type="http://schemas.openxmlformats.org/officeDocument/2006/relationships/hyperlink" Target="https://www.sec.gov/Archives/edgar/data/1991792/000119312524000766/d551455dex34.htm" TargetMode="External"/><Relationship Id="rId4" Type="http://schemas.openxmlformats.org/officeDocument/2006/relationships/hyperlink" Target="https://www.sec.gov/Archives/edgar/data/1991792/000119312524009621/d551455dex41.htm" TargetMode="External"/><Relationship Id="rId5" Type="http://schemas.openxmlformats.org/officeDocument/2006/relationships/hyperlink" Target="https://www.sec.gov/Archives/edgar/data/1991792/000119312524009621/d551455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17973</Words>
  <Characters>100195</Characters>
  <CharactersWithSpaces>119112</CharactersWithSpaces>
  <Paragraphs>5048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