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31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312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3660" w:right="1660" w:hanging="3634"/>
        <w:spacing w:after="0" w:line="443" w:lineRule="auto"/>
        <w:tabs>
          <w:tab w:leader="none" w:pos="449"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235"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8"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6"/>
          <w:szCs w:val="16"/>
          <w:b w:val="1"/>
          <w:bCs w:val="1"/>
          <w:color w:val="auto"/>
        </w:rPr>
        <w:t>_____________________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6"/>
          <w:szCs w:val="16"/>
          <w:b w:val="1"/>
          <w:bCs w:val="1"/>
          <w:color w:val="auto"/>
        </w:rPr>
        <w:t>_____________________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001-41925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31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CG Oncology,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31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397"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4660" w:type="dxa"/>
            <w:vAlign w:val="bottom"/>
          </w:tcPr>
          <w:p>
            <w:pPr>
              <w:jc w:val="center"/>
              <w:ind w:right="17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37-1611499</w:t>
            </w:r>
          </w:p>
        </w:tc>
      </w:tr>
      <w:tr>
        <w:trPr>
          <w:trHeight w:val="162"/>
        </w:trPr>
        <w:tc>
          <w:tcPr>
            <w:tcW w:w="4660" w:type="dxa"/>
            <w:vAlign w:val="bottom"/>
          </w:tcPr>
          <w:p>
            <w:pPr>
              <w:jc w:val="center"/>
              <w:ind w:right="180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2840" w:type="dxa"/>
            <w:vAlign w:val="bottom"/>
          </w:tcPr>
          <w:p>
            <w:pPr>
              <w:jc w:val="center"/>
              <w:ind w:left="178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660" w:type="dxa"/>
            <w:vAlign w:val="bottom"/>
          </w:tcPr>
          <w:p>
            <w:pPr>
              <w:jc w:val="center"/>
              <w:ind w:right="178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840" w:type="dxa"/>
            <w:vAlign w:val="bottom"/>
          </w:tcPr>
          <w:p>
            <w:pPr>
              <w:jc w:val="center"/>
              <w:ind w:left="178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57"/>
        </w:trPr>
        <w:tc>
          <w:tcPr>
            <w:tcW w:w="4660" w:type="dxa"/>
            <w:vAlign w:val="bottom"/>
          </w:tcPr>
          <w:p>
            <w:pPr>
              <w:jc w:val="center"/>
              <w:ind w:right="1784"/>
              <w:spacing w:after="0"/>
              <w:rPr>
                <w:sz w:val="20"/>
                <w:szCs w:val="20"/>
                <w:color w:val="auto"/>
              </w:rPr>
            </w:pPr>
            <w:r>
              <w:rPr>
                <w:rFonts w:ascii="Times New Roman" w:cs="Times New Roman" w:eastAsia="Times New Roman" w:hAnsi="Times New Roman"/>
                <w:sz w:val="18"/>
                <w:szCs w:val="18"/>
                <w:b w:val="1"/>
                <w:bCs w:val="1"/>
                <w:color w:val="auto"/>
                <w:w w:val="99"/>
              </w:rPr>
              <w:t>3000 Pegasus Park Drive, Suite 1640</w:t>
            </w:r>
          </w:p>
        </w:tc>
        <w:tc>
          <w:tcPr>
            <w:tcW w:w="2840" w:type="dxa"/>
            <w:vAlign w:val="bottom"/>
          </w:tcPr>
          <w:p>
            <w:pPr>
              <w:spacing w:after="0"/>
              <w:rPr>
                <w:sz w:val="22"/>
                <w:szCs w:val="22"/>
                <w:color w:val="auto"/>
              </w:rPr>
            </w:pPr>
          </w:p>
        </w:tc>
      </w:tr>
      <w:tr>
        <w:trPr>
          <w:trHeight w:val="238"/>
        </w:trPr>
        <w:tc>
          <w:tcPr>
            <w:tcW w:w="4660" w:type="dxa"/>
            <w:vAlign w:val="bottom"/>
          </w:tcPr>
          <w:p>
            <w:pPr>
              <w:jc w:val="center"/>
              <w:ind w:right="1784"/>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84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200"/>
        </w:trPr>
        <w:tc>
          <w:tcPr>
            <w:tcW w:w="4660" w:type="dxa"/>
            <w:vAlign w:val="bottom"/>
          </w:tcPr>
          <w:p>
            <w:pPr>
              <w:jc w:val="center"/>
              <w:ind w:right="178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840" w:type="dxa"/>
            <w:vAlign w:val="bottom"/>
          </w:tcPr>
          <w:p>
            <w:pPr>
              <w:jc w:val="center"/>
              <w:ind w:left="17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409-3700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312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08"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vMerge w:val="restart"/>
          </w:tcPr>
          <w:p>
            <w:pPr>
              <w:spacing w:after="0"/>
              <w:rPr>
                <w:sz w:val="13"/>
                <w:szCs w:val="13"/>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80" w:type="dxa"/>
            <w:vAlign w:val="bottom"/>
          </w:tcPr>
          <w:p>
            <w:pPr>
              <w:spacing w:after="0"/>
              <w:rPr>
                <w:sz w:val="16"/>
                <w:szCs w:val="16"/>
                <w:color w:val="auto"/>
              </w:rPr>
            </w:pPr>
          </w:p>
        </w:tc>
        <w:tc>
          <w:tcPr>
            <w:tcW w:w="4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CGON</w:t>
            </w:r>
          </w:p>
        </w:tc>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both"/>
        <w:ind w:firstLine="1377"/>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43" w:lineRule="exact"/>
        <w:rPr>
          <w:sz w:val="24"/>
          <w:szCs w:val="24"/>
          <w:color w:val="auto"/>
        </w:rPr>
      </w:pPr>
    </w:p>
    <w:p>
      <w:pPr>
        <w:jc w:val="both"/>
        <w:ind w:right="20" w:firstLine="1377"/>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1" w:lineRule="exact"/>
        <w:rPr>
          <w:sz w:val="24"/>
          <w:szCs w:val="24"/>
          <w:color w:val="auto"/>
        </w:rPr>
      </w:pPr>
    </w:p>
    <w:p>
      <w:pPr>
        <w:jc w:val="both"/>
        <w:ind w:firstLine="1377"/>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20" w:type="dxa"/>
            <w:vAlign w:val="bottom"/>
          </w:tcPr>
          <w:p>
            <w:pPr>
              <w:ind w:left="260"/>
              <w:spacing w:after="0"/>
              <w:rPr>
                <w:sz w:val="20"/>
                <w:szCs w:val="20"/>
                <w:color w:val="auto"/>
              </w:rPr>
            </w:pPr>
            <w:r>
              <w:rPr>
                <w:rFonts w:ascii="Wingdings" w:cs="Wingdings" w:eastAsia="Wingdings" w:hAnsi="Wingdings"/>
                <w:sz w:val="16"/>
                <w:szCs w:val="16"/>
                <w:b w:val="1"/>
                <w:bCs w:val="1"/>
                <w:color w:val="auto"/>
              </w:rPr>
              <w:t>x</w:t>
            </w:r>
          </w:p>
        </w:tc>
        <w:tc>
          <w:tcPr>
            <w:tcW w:w="530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rPr>
                <w:sz w:val="20"/>
                <w:szCs w:val="20"/>
                <w:color w:val="auto"/>
              </w:rPr>
            </w:pPr>
            <w:r>
              <w:rPr>
                <w:rFonts w:ascii="Wingdings" w:cs="Wingdings" w:eastAsia="Wingdings" w:hAnsi="Wingdings"/>
                <w:sz w:val="16"/>
                <w:szCs w:val="16"/>
                <w:b w:val="1"/>
                <w:bCs w:val="1"/>
                <w:color w:val="auto"/>
                <w:w w:val="83"/>
              </w:rPr>
              <w:t>o</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2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30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rPr>
                <w:sz w:val="20"/>
                <w:szCs w:val="20"/>
                <w:color w:val="auto"/>
              </w:rPr>
            </w:pPr>
            <w:r>
              <w:rPr>
                <w:rFonts w:ascii="Wingdings" w:cs="Wingdings" w:eastAsia="Wingdings" w:hAnsi="Wingdings"/>
                <w:sz w:val="16"/>
                <w:szCs w:val="16"/>
                <w:b w:val="1"/>
                <w:bCs w:val="1"/>
                <w:color w:val="auto"/>
                <w:w w:val="83"/>
              </w:rPr>
              <w:t>o</w:t>
            </w:r>
          </w:p>
        </w:tc>
      </w:tr>
      <w:tr>
        <w:trPr>
          <w:trHeight w:val="230"/>
        </w:trPr>
        <w:tc>
          <w:tcPr>
            <w:tcW w:w="17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530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4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81" w:lineRule="exact"/>
        <w:rPr>
          <w:sz w:val="24"/>
          <w:szCs w:val="24"/>
          <w:color w:val="auto"/>
        </w:rPr>
      </w:pPr>
    </w:p>
    <w:p>
      <w:pPr>
        <w:ind w:right="20" w:firstLine="1377"/>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left="1380" w:right="1300"/>
        <w:spacing w:after="0" w:line="36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November 4, 2026, the registrant had 89,318,916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0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99"/>
        </w:trPr>
        <w:tc>
          <w:tcPr>
            <w:tcW w:w="2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7520" w:type="dxa"/>
            <w:vAlign w:val="bottom"/>
            <w:gridSpan w:val="8"/>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2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520" w:type="dxa"/>
            <w:vAlign w:val="bottom"/>
            <w:gridSpan w:val="8"/>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63"/>
        </w:trPr>
        <w:tc>
          <w:tcPr>
            <w:tcW w:w="660" w:type="dxa"/>
            <w:vAlign w:val="bottom"/>
          </w:tcPr>
          <w:p>
            <w:pPr>
              <w:spacing w:after="0"/>
              <w:rPr>
                <w:sz w:val="22"/>
                <w:szCs w:val="22"/>
                <w:color w:val="auto"/>
              </w:rPr>
            </w:pPr>
          </w:p>
        </w:tc>
        <w:tc>
          <w:tcPr>
            <w:tcW w:w="98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55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4320" w:type="dxa"/>
            <w:vAlign w:val="bottom"/>
            <w:gridSpan w:val="2"/>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55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4320" w:type="dxa"/>
            <w:vAlign w:val="bottom"/>
            <w:gridSpan w:val="2"/>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5460" w:type="dxa"/>
            <w:vAlign w:val="bottom"/>
            <w:gridSpan w:val="3"/>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98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19</w:t>
            </w:r>
          </w:p>
        </w:tc>
      </w:tr>
      <w:tr>
        <w:trPr>
          <w:trHeight w:val="264"/>
        </w:trPr>
        <w:tc>
          <w:tcPr>
            <w:tcW w:w="70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440" w:type="dxa"/>
            <w:vAlign w:val="bottom"/>
          </w:tcPr>
          <w:p>
            <w:pPr>
              <w:spacing w:after="0"/>
              <w:rPr>
                <w:sz w:val="22"/>
                <w:szCs w:val="22"/>
                <w:color w:val="auto"/>
              </w:rPr>
            </w:pPr>
          </w:p>
        </w:tc>
        <w:tc>
          <w:tcPr>
            <w:tcW w:w="520" w:type="dxa"/>
            <w:vAlign w:val="bottom"/>
            <w:gridSpan w:val="2"/>
          </w:tcPr>
          <w:p>
            <w:pPr>
              <w:spacing w:after="0"/>
              <w:rPr>
                <w:sz w:val="22"/>
                <w:szCs w:val="22"/>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r>
      <w:tr>
        <w:trPr>
          <w:trHeight w:val="263"/>
        </w:trPr>
        <w:tc>
          <w:tcPr>
            <w:tcW w:w="23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2580" w:type="dxa"/>
            <w:vAlign w:val="bottom"/>
            <w:tcBorders>
              <w:top w:val="single" w:sz="8" w:color="0000EE"/>
            </w:tcBorders>
            <w:gridSpan w:val="6"/>
          </w:tcPr>
          <w:p>
            <w:pPr>
              <w:spacing w:after="0"/>
              <w:rPr>
                <w:sz w:val="22"/>
                <w:szCs w:val="22"/>
                <w:color w:val="auto"/>
              </w:rPr>
            </w:pPr>
          </w:p>
        </w:tc>
        <w:tc>
          <w:tcPr>
            <w:tcW w:w="5540" w:type="dxa"/>
            <w:vAlign w:val="bottom"/>
            <w:gridSpan w:val="4"/>
          </w:tcPr>
          <w:p>
            <w:pPr>
              <w:spacing w:after="0"/>
              <w:rPr>
                <w:sz w:val="22"/>
                <w:szCs w:val="22"/>
                <w:color w:val="auto"/>
              </w:rPr>
            </w:pPr>
          </w:p>
        </w:tc>
        <w:tc>
          <w:tcPr>
            <w:tcW w:w="520" w:type="dxa"/>
            <w:vAlign w:val="bottom"/>
            <w:gridSpan w:val="2"/>
          </w:tcPr>
          <w:p>
            <w:pPr>
              <w:spacing w:after="0"/>
              <w:rPr>
                <w:sz w:val="22"/>
                <w:szCs w:val="22"/>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r>
      <w:tr>
        <w:trPr>
          <w:trHeight w:val="399"/>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412"/>
        </w:trPr>
        <w:tc>
          <w:tcPr>
            <w:tcW w:w="19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720" w:type="dxa"/>
            <w:vAlign w:val="bottom"/>
            <w:tcBorders>
              <w:top w:val="single" w:sz="8" w:color="0000EE"/>
            </w:tcBorders>
            <w:gridSpan w:val="3"/>
          </w:tcPr>
          <w:p>
            <w:pPr>
              <w:spacing w:after="0"/>
              <w:rPr>
                <w:sz w:val="24"/>
                <w:szCs w:val="24"/>
                <w:color w:val="auto"/>
              </w:rPr>
            </w:pPr>
          </w:p>
        </w:tc>
        <w:tc>
          <w:tcPr>
            <w:tcW w:w="7840" w:type="dxa"/>
            <w:vAlign w:val="bottom"/>
            <w:gridSpan w:val="9"/>
          </w:tcPr>
          <w:p>
            <w:pPr>
              <w:spacing w:after="0"/>
              <w:rPr>
                <w:sz w:val="24"/>
                <w:szCs w:val="24"/>
                <w:color w:val="auto"/>
              </w:rPr>
            </w:pPr>
          </w:p>
        </w:tc>
        <w:tc>
          <w:tcPr>
            <w:tcW w:w="5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r>
      <w:tr>
        <w:trPr>
          <w:trHeight w:val="264"/>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63"/>
        </w:trPr>
        <w:tc>
          <w:tcPr>
            <w:tcW w:w="4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5540" w:type="dxa"/>
            <w:vAlign w:val="bottom"/>
            <w:gridSpan w:val="4"/>
          </w:tcPr>
          <w:p>
            <w:pPr>
              <w:spacing w:after="0"/>
              <w:rPr>
                <w:sz w:val="22"/>
                <w:szCs w:val="22"/>
                <w:color w:val="auto"/>
              </w:rPr>
            </w:pPr>
          </w:p>
        </w:tc>
        <w:tc>
          <w:tcPr>
            <w:tcW w:w="520" w:type="dxa"/>
            <w:vAlign w:val="bottom"/>
            <w:gridSpan w:val="2"/>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r>
      <w:tr>
        <w:trPr>
          <w:trHeight w:val="264"/>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63"/>
        </w:trPr>
        <w:tc>
          <w:tcPr>
            <w:tcW w:w="23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600" w:type="dxa"/>
            <w:vAlign w:val="bottom"/>
            <w:tcBorders>
              <w:top w:val="single" w:sz="8" w:color="0000EE"/>
            </w:tcBorders>
            <w:gridSpan w:val="2"/>
          </w:tcPr>
          <w:p>
            <w:pPr>
              <w:spacing w:after="0"/>
              <w:rPr>
                <w:sz w:val="22"/>
                <w:szCs w:val="22"/>
                <w:color w:val="auto"/>
              </w:rPr>
            </w:pPr>
          </w:p>
        </w:tc>
        <w:tc>
          <w:tcPr>
            <w:tcW w:w="7520" w:type="dxa"/>
            <w:vAlign w:val="bottom"/>
            <w:gridSpan w:val="8"/>
          </w:tcPr>
          <w:p>
            <w:pPr>
              <w:spacing w:after="0"/>
              <w:rPr>
                <w:sz w:val="22"/>
                <w:szCs w:val="22"/>
                <w:color w:val="auto"/>
              </w:rPr>
            </w:pPr>
          </w:p>
        </w:tc>
        <w:tc>
          <w:tcPr>
            <w:tcW w:w="520" w:type="dxa"/>
            <w:vAlign w:val="bottom"/>
            <w:gridSpan w:val="2"/>
          </w:tcPr>
          <w:p>
            <w:pPr>
              <w:spacing w:after="0"/>
              <w:rPr>
                <w:sz w:val="22"/>
                <w:szCs w:val="22"/>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r>
      <w:tr>
        <w:trPr>
          <w:trHeight w:val="264"/>
        </w:trPr>
        <w:tc>
          <w:tcPr>
            <w:tcW w:w="1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8580" w:type="dxa"/>
            <w:vAlign w:val="bottom"/>
            <w:gridSpan w:val="13"/>
          </w:tcPr>
          <w:p>
            <w:pPr>
              <w:spacing w:after="0"/>
              <w:rPr>
                <w:sz w:val="22"/>
                <w:szCs w:val="22"/>
                <w:color w:val="auto"/>
              </w:rPr>
            </w:pPr>
          </w:p>
        </w:tc>
        <w:tc>
          <w:tcPr>
            <w:tcW w:w="520" w:type="dxa"/>
            <w:vAlign w:val="bottom"/>
            <w:gridSpan w:val="2"/>
          </w:tcPr>
          <w:p>
            <w:pPr>
              <w:spacing w:after="0"/>
              <w:rPr>
                <w:sz w:val="22"/>
                <w:szCs w:val="22"/>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r>
      <w:tr>
        <w:trPr>
          <w:trHeight w:val="263"/>
        </w:trPr>
        <w:tc>
          <w:tcPr>
            <w:tcW w:w="105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63"/>
        </w:trPr>
        <w:tc>
          <w:tcPr>
            <w:tcW w:w="12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9300" w:type="dxa"/>
            <w:vAlign w:val="bottom"/>
            <w:gridSpan w:val="15"/>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u w:val="single" w:color="auto"/>
                <w:color w:val="0000EE"/>
              </w:rPr>
              <w:t>i</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240" w:type="dxa"/>
            <w:vAlign w:val="bottom"/>
            <w:tcBorders>
              <w:top w:val="single" w:sz="8" w:color="0000FF"/>
            </w:tcBorders>
          </w:tcPr>
          <w:p>
            <w:pPr>
              <w:spacing w:after="0"/>
              <w:rPr>
                <w:sz w:val="24"/>
                <w:szCs w:val="24"/>
                <w:color w:val="auto"/>
              </w:rPr>
            </w:pPr>
          </w:p>
        </w:tc>
        <w:tc>
          <w:tcPr>
            <w:tcW w:w="6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4"/>
                <w:szCs w:val="24"/>
                <w:color w:val="auto"/>
              </w:rPr>
            </w:pPr>
          </w:p>
        </w:tc>
        <w:tc>
          <w:tcPr>
            <w:tcW w:w="6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CG ONCOLOGY,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240" w:type="dxa"/>
            <w:vAlign w:val="bottom"/>
          </w:tcPr>
          <w:p>
            <w:pPr>
              <w:spacing w:after="0"/>
              <w:rPr>
                <w:sz w:val="24"/>
                <w:szCs w:val="24"/>
                <w:color w:val="auto"/>
              </w:rPr>
            </w:pPr>
          </w:p>
        </w:tc>
        <w:tc>
          <w:tcPr>
            <w:tcW w:w="6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6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48"/>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1"/>
                <w:szCs w:val="21"/>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18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32,490</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956,211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709,665</w:t>
            </w:r>
          </w:p>
        </w:tc>
        <w:tc>
          <w:tcPr>
            <w:tcW w:w="0" w:type="dxa"/>
            <w:vAlign w:val="bottom"/>
          </w:tcPr>
          <w:p>
            <w:pPr>
              <w:spacing w:after="0"/>
              <w:rPr>
                <w:sz w:val="1"/>
                <w:szCs w:val="1"/>
                <w:color w:val="auto"/>
              </w:rPr>
            </w:pPr>
          </w:p>
        </w:tc>
      </w:tr>
      <w:tr>
        <w:trPr>
          <w:trHeight w:val="243"/>
        </w:trPr>
        <w:tc>
          <w:tcPr>
            <w:tcW w:w="8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gridSpan w:val="2"/>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21,441</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15,067</w:t>
            </w:r>
          </w:p>
        </w:tc>
        <w:tc>
          <w:tcPr>
            <w:tcW w:w="0" w:type="dxa"/>
            <w:vAlign w:val="bottom"/>
          </w:tcPr>
          <w:p>
            <w:pPr>
              <w:spacing w:after="0"/>
              <w:rPr>
                <w:sz w:val="1"/>
                <w:szCs w:val="1"/>
                <w:color w:val="auto"/>
              </w:rPr>
            </w:pPr>
          </w:p>
        </w:tc>
      </w:tr>
      <w:tr>
        <w:trPr>
          <w:trHeight w:val="237"/>
        </w:trPr>
        <w:tc>
          <w:tcPr>
            <w:tcW w:w="81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1,007,730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759,475</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0" w:type="dxa"/>
            <w:vAlign w:val="bottom"/>
          </w:tcPr>
          <w:p>
            <w:pPr>
              <w:spacing w:after="0"/>
              <w:rPr>
                <w:sz w:val="1"/>
                <w:szCs w:val="1"/>
                <w:color w:val="auto"/>
              </w:rPr>
            </w:pPr>
          </w:p>
        </w:tc>
      </w:tr>
      <w:tr>
        <w:trPr>
          <w:trHeight w:val="261"/>
        </w:trPr>
        <w:tc>
          <w:tcPr>
            <w:tcW w:w="8180" w:type="dxa"/>
            <w:vAlign w:val="bottom"/>
            <w:tcBorders>
              <w:bottom w:val="single" w:sz="8" w:color="CFF0FC"/>
            </w:tcBorders>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1,046,670</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791,592</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FF0FC"/>
            </w:tcBorders>
            <w:gridSpan w:val="2"/>
          </w:tcPr>
          <w:p>
            <w:pPr>
              <w:ind w:left="3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35,533</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0" w:type="dxa"/>
            <w:vAlign w:val="bottom"/>
          </w:tcPr>
          <w:p>
            <w:pPr>
              <w:spacing w:after="0"/>
              <w:rPr>
                <w:sz w:val="1"/>
                <w:szCs w:val="1"/>
                <w:color w:val="auto"/>
              </w:rPr>
            </w:pPr>
          </w:p>
        </w:tc>
      </w:tr>
      <w:tr>
        <w:trPr>
          <w:trHeight w:val="236"/>
        </w:trPr>
        <w:tc>
          <w:tcPr>
            <w:tcW w:w="818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46,433</w:t>
            </w:r>
          </w:p>
        </w:tc>
        <w:tc>
          <w:tcPr>
            <w:tcW w:w="10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0" w:type="dxa"/>
            <w:vAlign w:val="bottom"/>
          </w:tcPr>
          <w:p>
            <w:pPr>
              <w:spacing w:after="0"/>
              <w:rPr>
                <w:sz w:val="1"/>
                <w:szCs w:val="1"/>
                <w:color w:val="auto"/>
              </w:rPr>
            </w:pPr>
          </w:p>
        </w:tc>
      </w:tr>
      <w:tr>
        <w:trPr>
          <w:trHeight w:val="23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FF0FC"/>
            </w:tcBorders>
            <w:gridSpan w:val="2"/>
          </w:tcPr>
          <w:p>
            <w:pPr>
              <w:ind w:left="6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55,704</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38,990</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180" w:type="dxa"/>
            <w:vAlign w:val="bottom"/>
            <w:gridSpan w:val="2"/>
            <w:shd w:val="clear" w:color="auto" w:fill="CFF0FC"/>
          </w:tcPr>
          <w:p>
            <w:pPr>
              <w:ind w:left="300"/>
              <w:spacing w:after="0" w:line="189" w:lineRule="exact"/>
              <w:rPr>
                <w:sz w:val="20"/>
                <w:szCs w:val="20"/>
                <w:color w:val="auto"/>
              </w:rPr>
            </w:pPr>
            <w:r>
              <w:rPr>
                <w:rFonts w:ascii="Times New Roman" w:cs="Times New Roman" w:eastAsia="Times New Roman" w:hAnsi="Times New Roman"/>
                <w:sz w:val="18"/>
                <w:szCs w:val="18"/>
                <w:color w:val="auto"/>
              </w:rPr>
              <w:t>Common stock, $0.0001 par value per share; 700,000,000 and 700,000,000 shares authorized as of</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180" w:type="dxa"/>
            <w:vAlign w:val="bottom"/>
            <w:gridSpan w:val="2"/>
            <w:shd w:val="clear" w:color="auto" w:fill="CFF0FC"/>
          </w:tcPr>
          <w:p>
            <w:pPr>
              <w:ind w:left="420"/>
              <w:spacing w:after="0" w:line="184" w:lineRule="exact"/>
              <w:rPr>
                <w:sz w:val="20"/>
                <w:szCs w:val="20"/>
                <w:color w:val="auto"/>
              </w:rPr>
            </w:pPr>
            <w:r>
              <w:rPr>
                <w:rFonts w:ascii="Times New Roman" w:cs="Times New Roman" w:eastAsia="Times New Roman" w:hAnsi="Times New Roman"/>
                <w:sz w:val="18"/>
                <w:szCs w:val="18"/>
                <w:color w:val="auto"/>
              </w:rPr>
              <w:t>September 30, 2026 and December 31, 2025, respectively; 89,300,590 and 80,689,128 shares issued and</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8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outstanding as of September 30, 2026 and December 31, 2025, respectively</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8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1,566,082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1,131,570</w:t>
            </w: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(575,125)</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(378,976)</w:t>
            </w:r>
          </w:p>
        </w:tc>
        <w:tc>
          <w:tcPr>
            <w:tcW w:w="0" w:type="dxa"/>
            <w:vAlign w:val="bottom"/>
          </w:tcPr>
          <w:p>
            <w:pPr>
              <w:spacing w:after="0"/>
              <w:rPr>
                <w:sz w:val="1"/>
                <w:szCs w:val="1"/>
                <w:color w:val="auto"/>
              </w:rPr>
            </w:pPr>
          </w:p>
        </w:tc>
      </w:tr>
      <w:tr>
        <w:trPr>
          <w:trHeight w:val="237"/>
        </w:trPr>
        <w:tc>
          <w:tcPr>
            <w:tcW w:w="8180" w:type="dxa"/>
            <w:vAlign w:val="bottom"/>
            <w:tcBorders>
              <w:bottom w:val="single" w:sz="8" w:color="CFF0FC"/>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990,966</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752,602</w:t>
            </w:r>
          </w:p>
        </w:tc>
        <w:tc>
          <w:tcPr>
            <w:tcW w:w="0" w:type="dxa"/>
            <w:vAlign w:val="bottom"/>
          </w:tcPr>
          <w:p>
            <w:pPr>
              <w:spacing w:after="0"/>
              <w:rPr>
                <w:sz w:val="1"/>
                <w:szCs w:val="1"/>
                <w:color w:val="auto"/>
              </w:rPr>
            </w:pPr>
          </w:p>
        </w:tc>
      </w:tr>
      <w:tr>
        <w:trPr>
          <w:trHeight w:val="262"/>
        </w:trPr>
        <w:tc>
          <w:tcPr>
            <w:tcW w:w="8180" w:type="dxa"/>
            <w:vAlign w:val="bottom"/>
            <w:tcBorders>
              <w:bottom w:val="single" w:sz="8" w:color="CFF0FC"/>
            </w:tcBorders>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1,046,670</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791,592</w:t>
            </w:r>
          </w:p>
        </w:tc>
        <w:tc>
          <w:tcPr>
            <w:tcW w:w="0" w:type="dxa"/>
            <w:vAlign w:val="bottom"/>
          </w:tcPr>
          <w:p>
            <w:pPr>
              <w:spacing w:after="0"/>
              <w:rPr>
                <w:sz w:val="1"/>
                <w:szCs w:val="1"/>
                <w:color w:val="auto"/>
              </w:rPr>
            </w:pPr>
          </w:p>
        </w:tc>
      </w:tr>
      <w:tr>
        <w:trPr>
          <w:trHeight w:val="20"/>
        </w:trPr>
        <w:tc>
          <w:tcPr>
            <w:tcW w:w="1240" w:type="dxa"/>
            <w:vAlign w:val="bottom"/>
            <w:tcBorders>
              <w:top w:val="single" w:sz="8" w:color="CFF0FC"/>
            </w:tcBorders>
          </w:tcPr>
          <w:p>
            <w:pPr>
              <w:spacing w:after="0" w:line="20" w:lineRule="exact"/>
              <w:rPr>
                <w:sz w:val="1"/>
                <w:szCs w:val="1"/>
                <w:color w:val="auto"/>
              </w:rPr>
            </w:pPr>
          </w:p>
        </w:tc>
        <w:tc>
          <w:tcPr>
            <w:tcW w:w="69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and development 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Borders>
              <w:bottom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39,221</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27,884</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137,608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86,683</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72,719</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55,532</w:t>
            </w: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64,853</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219,883</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143,792</w:t>
            </w:r>
          </w:p>
        </w:tc>
        <w:tc>
          <w:tcPr>
            <w:tcW w:w="0" w:type="dxa"/>
            <w:vAlign w:val="bottom"/>
          </w:tcPr>
          <w:p>
            <w:pPr>
              <w:spacing w:after="0"/>
              <w:rPr>
                <w:sz w:val="1"/>
                <w:szCs w:val="1"/>
                <w:color w:val="auto"/>
              </w:rPr>
            </w:pP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(142,074)</w:t>
            </w: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22,487</w:t>
            </w:r>
          </w:p>
        </w:tc>
        <w:tc>
          <w:tcPr>
            <w:tcW w:w="0" w:type="dxa"/>
            <w:vAlign w:val="bottom"/>
          </w:tcPr>
          <w:p>
            <w:pPr>
              <w:spacing w:after="0"/>
              <w:rPr>
                <w:sz w:val="1"/>
                <w:szCs w:val="1"/>
                <w:color w:val="auto"/>
              </w:rPr>
            </w:pPr>
          </w:p>
        </w:tc>
      </w:tr>
      <w:tr>
        <w:trPr>
          <w:trHeight w:val="243"/>
        </w:trPr>
        <w:tc>
          <w:tcPr>
            <w:tcW w:w="5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19,890</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0" w:type="dxa"/>
            <w:vAlign w:val="bottom"/>
          </w:tcPr>
          <w:p>
            <w:pPr>
              <w:spacing w:after="0"/>
              <w:rPr>
                <w:sz w:val="1"/>
                <w:szCs w:val="1"/>
                <w:color w:val="auto"/>
              </w:rPr>
            </w:pPr>
          </w:p>
        </w:tc>
      </w:tr>
      <w:tr>
        <w:trPr>
          <w:trHeight w:val="261"/>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(56,891)</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(43,808)</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(196,149)</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(119,686)</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vMerge w:val="continue"/>
          </w:tcPr>
          <w:p>
            <w:pPr>
              <w:spacing w:after="0"/>
              <w:rPr>
                <w:sz w:val="18"/>
                <w:szCs w:val="18"/>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shares of common stock outstanding, basic and</w:t>
            </w:r>
          </w:p>
        </w:tc>
        <w:tc>
          <w:tcPr>
            <w:tcW w:w="28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88,871,135</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76,729,726</w:t>
            </w:r>
          </w:p>
        </w:tc>
        <w:tc>
          <w:tcPr>
            <w:tcW w:w="1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87,212,504</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76,383,376</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480" w:type="dxa"/>
            <w:vAlign w:val="bottom"/>
            <w:gridSpan w:val="3"/>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6"/>
        </w:trPr>
        <w:tc>
          <w:tcPr>
            <w:tcW w:w="4080" w:type="dxa"/>
            <w:vAlign w:val="bottom"/>
          </w:tcPr>
          <w:p>
            <w:pPr>
              <w:spacing w:after="0"/>
              <w:rPr>
                <w:sz w:val="8"/>
                <w:szCs w:val="8"/>
                <w:color w:val="auto"/>
              </w:rPr>
            </w:pPr>
          </w:p>
        </w:tc>
        <w:tc>
          <w:tcPr>
            <w:tcW w:w="248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gridSpan w:val="2"/>
            <w:vMerge w:val="restart"/>
          </w:tcPr>
          <w:p>
            <w:pPr>
              <w:jc w:val="center"/>
              <w:ind w:right="320"/>
              <w:spacing w:after="0" w:line="119"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8"/>
                <w:szCs w:val="8"/>
                <w:color w:val="auto"/>
              </w:rPr>
            </w:pPr>
          </w:p>
        </w:tc>
        <w:tc>
          <w:tcPr>
            <w:tcW w:w="1280" w:type="dxa"/>
            <w:vAlign w:val="bottom"/>
            <w:gridSpan w:val="2"/>
            <w:vMerge w:val="restart"/>
          </w:tcPr>
          <w:p>
            <w:pPr>
              <w:ind w:left="100"/>
              <w:spacing w:after="0" w:line="11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8"/>
                <w:szCs w:val="8"/>
                <w:color w:val="auto"/>
              </w:rPr>
            </w:pPr>
          </w:p>
        </w:tc>
        <w:tc>
          <w:tcPr>
            <w:tcW w:w="1180" w:type="dxa"/>
            <w:vAlign w:val="bottom"/>
            <w:vMerge w:val="restart"/>
          </w:tcPr>
          <w:p>
            <w:pPr>
              <w:jc w:val="center"/>
              <w:ind w:right="108"/>
              <w:spacing w:after="0" w:line="119"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80" w:type="dxa"/>
            <w:vAlign w:val="bottom"/>
          </w:tcPr>
          <w:p>
            <w:pPr>
              <w:spacing w:after="0"/>
              <w:rPr>
                <w:sz w:val="17"/>
                <w:szCs w:val="17"/>
                <w:color w:val="auto"/>
              </w:rPr>
            </w:pP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4"/>
        </w:trPr>
        <w:tc>
          <w:tcPr>
            <w:tcW w:w="40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3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76,154,783</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1040" w:type="dxa"/>
            <w:vAlign w:val="bottom"/>
            <w:tcBorders>
              <w:top w:val="single" w:sz="8" w:color="auto"/>
              <w:bottom w:val="single" w:sz="8" w:color="CFF0FC"/>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951,350</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(217,981)</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733,377</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66,506</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5,151</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5,151</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(34,452)</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76,221,289</w:t>
            </w:r>
          </w:p>
        </w:tc>
        <w:tc>
          <w:tcPr>
            <w:tcW w:w="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957,183</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(252,433)</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704,758</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080" w:type="dxa"/>
            <w:vAlign w:val="bottom"/>
            <w:vMerge w:val="continue"/>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7,007</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(41,426)</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76,231,859</w:t>
            </w:r>
          </w:p>
        </w:tc>
        <w:tc>
          <w:tcPr>
            <w:tcW w:w="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964,209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(293,859)</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670,358</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common stock in connection with a public offering, net of</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080" w:type="dxa"/>
            <w:vAlign w:val="bottom"/>
            <w:vMerge w:val="continue"/>
          </w:tcPr>
          <w:p>
            <w:pPr>
              <w:spacing w:after="0"/>
              <w:rPr>
                <w:sz w:val="8"/>
                <w:szCs w:val="8"/>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1,515,151</w:t>
            </w: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48,663</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48,663</w:t>
            </w:r>
          </w:p>
        </w:tc>
        <w:tc>
          <w:tcPr>
            <w:tcW w:w="0" w:type="dxa"/>
            <w:vAlign w:val="bottom"/>
          </w:tcPr>
          <w:p>
            <w:pPr>
              <w:spacing w:after="0"/>
              <w:rPr>
                <w:sz w:val="1"/>
                <w:szCs w:val="1"/>
                <w:color w:val="auto"/>
              </w:rPr>
            </w:pPr>
          </w:p>
        </w:tc>
      </w:tr>
      <w:tr>
        <w:trPr>
          <w:trHeight w:val="193"/>
        </w:trPr>
        <w:tc>
          <w:tcPr>
            <w:tcW w:w="4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costs</w:t>
            </w: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530,442</w:t>
            </w:r>
          </w:p>
        </w:tc>
        <w:tc>
          <w:tcPr>
            <w:tcW w:w="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5,099</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7,331</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(43,808)</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(43,808)</w:t>
            </w:r>
          </w:p>
        </w:tc>
        <w:tc>
          <w:tcPr>
            <w:tcW w:w="0" w:type="dxa"/>
            <w:vAlign w:val="bottom"/>
          </w:tcPr>
          <w:p>
            <w:pPr>
              <w:spacing w:after="0"/>
              <w:rPr>
                <w:sz w:val="1"/>
                <w:szCs w:val="1"/>
                <w:color w:val="auto"/>
              </w:rPr>
            </w:pPr>
          </w:p>
        </w:tc>
      </w:tr>
      <w:tr>
        <w:trPr>
          <w:trHeight w:val="18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78,277,452</w:t>
            </w:r>
          </w:p>
        </w:tc>
        <w:tc>
          <w:tcPr>
            <w:tcW w:w="80" w:type="dxa"/>
            <w:vAlign w:val="bottom"/>
          </w:tcPr>
          <w:p>
            <w:pPr>
              <w:spacing w:after="0"/>
              <w:rPr>
                <w:sz w:val="16"/>
                <w:szCs w:val="16"/>
                <w:color w:val="auto"/>
              </w:rPr>
            </w:pPr>
          </w:p>
        </w:tc>
        <w:tc>
          <w:tcPr>
            <w:tcW w:w="1040" w:type="dxa"/>
            <w:vAlign w:val="bottom"/>
            <w:tcBorders>
              <w:top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1,025,302</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(337,667)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687,643</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FF0FC"/>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80,689,128</w:t>
            </w:r>
          </w:p>
        </w:tc>
        <w:tc>
          <w:tcPr>
            <w:tcW w:w="80" w:type="dxa"/>
            <w:vAlign w:val="bottom"/>
          </w:tcPr>
          <w:p>
            <w:pPr>
              <w:spacing w:after="0"/>
              <w:rPr>
                <w:sz w:val="16"/>
                <w:szCs w:val="16"/>
                <w:color w:val="auto"/>
              </w:rPr>
            </w:pP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1,131,570</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(378,976)</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752,602</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080" w:type="dxa"/>
            <w:vAlign w:val="bottom"/>
            <w:shd w:val="clear" w:color="auto" w:fill="CFF0FC"/>
          </w:tcPr>
          <w:p>
            <w:pPr>
              <w:ind w:left="20"/>
              <w:spacing w:after="0" w:line="153" w:lineRule="exact"/>
              <w:rPr>
                <w:sz w:val="20"/>
                <w:szCs w:val="20"/>
                <w:color w:val="auto"/>
              </w:rPr>
            </w:pPr>
            <w:r>
              <w:rPr>
                <w:rFonts w:ascii="Times New Roman" w:cs="Times New Roman" w:eastAsia="Times New Roman" w:hAnsi="Times New Roman"/>
                <w:sz w:val="14"/>
                <w:szCs w:val="14"/>
                <w:color w:val="auto"/>
              </w:rPr>
              <w:t>Issuance of common stock in connection with a public offering, net of</w:t>
            </w: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6,941,407</w:t>
            </w:r>
          </w:p>
        </w:tc>
        <w:tc>
          <w:tcPr>
            <w:tcW w:w="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391,409</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80" w:type="dxa"/>
            <w:vAlign w:val="bottom"/>
            <w:gridSpan w:val="2"/>
            <w:vMerge w:val="restart"/>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3"/>
                <w:szCs w:val="13"/>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391,410</w:t>
            </w:r>
          </w:p>
        </w:tc>
        <w:tc>
          <w:tcPr>
            <w:tcW w:w="0" w:type="dxa"/>
            <w:vAlign w:val="bottom"/>
          </w:tcPr>
          <w:p>
            <w:pPr>
              <w:spacing w:after="0"/>
              <w:rPr>
                <w:sz w:val="1"/>
                <w:szCs w:val="1"/>
                <w:color w:val="auto"/>
              </w:rPr>
            </w:pPr>
          </w:p>
        </w:tc>
      </w:tr>
      <w:tr>
        <w:trPr>
          <w:trHeight w:val="198"/>
        </w:trPr>
        <w:tc>
          <w:tcPr>
            <w:tcW w:w="4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issuance costs</w:t>
            </w:r>
          </w:p>
        </w:tc>
        <w:tc>
          <w:tcPr>
            <w:tcW w:w="136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377,226</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6,474</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(60,202)</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88,007,761</w:t>
            </w:r>
          </w:p>
        </w:tc>
        <w:tc>
          <w:tcPr>
            <w:tcW w:w="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1,530,948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(439,178)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1,091,779</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080" w:type="dxa"/>
            <w:vAlign w:val="bottom"/>
            <w:vMerge w:val="continue"/>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298,629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14,334</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14,334</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(79,056)</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2026</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88,306,390</w:t>
            </w:r>
          </w:p>
        </w:tc>
        <w:tc>
          <w:tcPr>
            <w:tcW w:w="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1,547,343</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(518,234)</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1,029,118</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080" w:type="dxa"/>
            <w:vAlign w:val="bottom"/>
            <w:vMerge w:val="continue"/>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994,200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10,283</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8,456</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gridSpan w:val="2"/>
            <w:shd w:val="clear" w:color="auto" w:fill="CFF0FC"/>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8,456</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(56,891)</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89,300,590</w:t>
            </w:r>
          </w:p>
        </w:tc>
        <w:tc>
          <w:tcPr>
            <w:tcW w:w="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1,566,082</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(575,125)</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990,966</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0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loss</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(196,149)</w:t>
            </w:r>
          </w:p>
        </w:tc>
        <w:tc>
          <w:tcPr>
            <w:tcW w:w="10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(119,686)</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1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596</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19,489</w:t>
            </w:r>
          </w:p>
        </w:tc>
        <w:tc>
          <w:tcPr>
            <w:tcW w:w="0" w:type="dxa"/>
            <w:vAlign w:val="bottom"/>
          </w:tcPr>
          <w:p>
            <w:pPr>
              <w:spacing w:after="0"/>
              <w:rPr>
                <w:sz w:val="1"/>
                <w:szCs w:val="1"/>
                <w:color w:val="auto"/>
              </w:rPr>
            </w:pPr>
          </w:p>
        </w:tc>
      </w:tr>
      <w:tr>
        <w:trPr>
          <w:trHeight w:val="212"/>
        </w:trPr>
        <w:tc>
          <w:tcPr>
            <w:tcW w:w="81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Unrealized losses (gains) on short-term investments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(1,965)</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Non-cash interest expense (income)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w:t>
            </w:r>
          </w:p>
        </w:tc>
        <w:tc>
          <w:tcPr>
            <w:tcW w:w="0" w:type="dxa"/>
            <w:vAlign w:val="bottom"/>
          </w:tcPr>
          <w:p>
            <w:pPr>
              <w:spacing w:after="0"/>
              <w:rPr>
                <w:sz w:val="1"/>
                <w:szCs w:val="1"/>
                <w:color w:val="auto"/>
              </w:rPr>
            </w:pPr>
          </w:p>
        </w:tc>
      </w:tr>
      <w:tr>
        <w:trPr>
          <w:trHeight w:val="212"/>
        </w:trPr>
        <w:tc>
          <w:tcPr>
            <w:tcW w:w="8180" w:type="dxa"/>
            <w:vAlign w:val="bottom"/>
          </w:tcPr>
          <w:p>
            <w:pPr>
              <w:ind w:left="620"/>
              <w:spacing w:after="0"/>
              <w:rPr>
                <w:sz w:val="20"/>
                <w:szCs w:val="20"/>
                <w:color w:val="auto"/>
              </w:rPr>
            </w:pPr>
            <w:r>
              <w:rPr>
                <w:rFonts w:ascii="Times New Roman" w:cs="Times New Roman" w:eastAsia="Times New Roman" w:hAnsi="Times New Roman"/>
                <w:sz w:val="15"/>
                <w:szCs w:val="15"/>
                <w:color w:val="auto"/>
              </w:rPr>
              <w:t>Non-cash lease expense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18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Accounts receivable,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212"/>
        </w:trPr>
        <w:tc>
          <w:tcPr>
            <w:tcW w:w="818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Inventory</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Other assets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0" w:type="dxa"/>
            <w:vAlign w:val="bottom"/>
          </w:tcPr>
          <w:p>
            <w:pPr>
              <w:spacing w:after="0"/>
              <w:rPr>
                <w:sz w:val="1"/>
                <w:szCs w:val="1"/>
                <w:color w:val="auto"/>
              </w:rPr>
            </w:pPr>
          </w:p>
        </w:tc>
      </w:tr>
      <w:tr>
        <w:trPr>
          <w:trHeight w:val="212"/>
        </w:trPr>
        <w:tc>
          <w:tcPr>
            <w:tcW w:w="8180" w:type="dxa"/>
            <w:vAlign w:val="bottom"/>
          </w:tcPr>
          <w:p>
            <w:pPr>
              <w:ind w:left="940"/>
              <w:spacing w:after="0"/>
              <w:rPr>
                <w:sz w:val="20"/>
                <w:szCs w:val="20"/>
                <w:color w:val="auto"/>
              </w:rPr>
            </w:pPr>
            <w:r>
              <w:rPr>
                <w:rFonts w:ascii="Times New Roman" w:cs="Times New Roman" w:eastAsia="Times New Roman" w:hAnsi="Times New Roman"/>
                <w:sz w:val="15"/>
                <w:szCs w:val="15"/>
                <w:color w:val="auto"/>
              </w:rPr>
              <w:t>Accounts payable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1,835</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4,924</w:t>
            </w:r>
          </w:p>
        </w:tc>
        <w:tc>
          <w:tcPr>
            <w:tcW w:w="0" w:type="dxa"/>
            <w:vAlign w:val="bottom"/>
          </w:tcPr>
          <w:p>
            <w:pPr>
              <w:spacing w:after="0"/>
              <w:rPr>
                <w:sz w:val="1"/>
                <w:szCs w:val="1"/>
                <w:color w:val="auto"/>
              </w:rPr>
            </w:pPr>
          </w:p>
        </w:tc>
      </w:tr>
      <w:tr>
        <w:trPr>
          <w:trHeight w:val="212"/>
        </w:trPr>
        <w:tc>
          <w:tcPr>
            <w:tcW w:w="818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5"/>
                <w:szCs w:val="15"/>
                <w:color w:val="auto"/>
              </w:rPr>
              <w:t>Other liabilities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(151,064)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(96,130)</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Proceeds from sales and maturities of investments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649,450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621,899</w:t>
            </w:r>
          </w:p>
        </w:tc>
        <w:tc>
          <w:tcPr>
            <w:tcW w:w="0" w:type="dxa"/>
            <w:vAlign w:val="bottom"/>
          </w:tcPr>
          <w:p>
            <w:pPr>
              <w:spacing w:after="0"/>
              <w:rPr>
                <w:sz w:val="1"/>
                <w:szCs w:val="1"/>
                <w:color w:val="auto"/>
              </w:rPr>
            </w:pPr>
          </w:p>
        </w:tc>
      </w:tr>
      <w:tr>
        <w:trPr>
          <w:trHeight w:val="212"/>
        </w:trPr>
        <w:tc>
          <w:tcPr>
            <w:tcW w:w="81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Purchases of investments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(905,945)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(770,122)</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Acquisition, net of cash acquired</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(21,967)</w:t>
            </w:r>
          </w:p>
        </w:tc>
        <w:tc>
          <w:tcPr>
            <w:tcW w:w="0" w:type="dxa"/>
            <w:vAlign w:val="bottom"/>
          </w:tcPr>
          <w:p>
            <w:pPr>
              <w:spacing w:after="0"/>
              <w:rPr>
                <w:sz w:val="1"/>
                <w:szCs w:val="1"/>
                <w:color w:val="auto"/>
              </w:rPr>
            </w:pPr>
          </w:p>
        </w:tc>
      </w:tr>
      <w:tr>
        <w:trPr>
          <w:trHeight w:val="212"/>
        </w:trPr>
        <w:tc>
          <w:tcPr>
            <w:tcW w:w="81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(258,382)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(170,317)</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Proceeds from follow-on public offerings, net of issuance costs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49,001</w:t>
            </w:r>
          </w:p>
        </w:tc>
        <w:tc>
          <w:tcPr>
            <w:tcW w:w="0" w:type="dxa"/>
            <w:vAlign w:val="bottom"/>
          </w:tcPr>
          <w:p>
            <w:pPr>
              <w:spacing w:after="0"/>
              <w:rPr>
                <w:sz w:val="1"/>
                <w:szCs w:val="1"/>
                <w:color w:val="auto"/>
              </w:rPr>
            </w:pPr>
          </w:p>
        </w:tc>
      </w:tr>
      <w:tr>
        <w:trPr>
          <w:trHeight w:val="212"/>
        </w:trPr>
        <w:tc>
          <w:tcPr>
            <w:tcW w:w="81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Proceeds from exercise of common stock options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5,800</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Withholding taxes paid on net exercise of stock options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81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5"/>
                <w:szCs w:val="15"/>
                <w:color w:val="auto"/>
              </w:rPr>
              <w:t>Stock issuance costs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(277)</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405,203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54,524</w:t>
            </w:r>
          </w:p>
        </w:tc>
        <w:tc>
          <w:tcPr>
            <w:tcW w:w="0" w:type="dxa"/>
            <w:vAlign w:val="bottom"/>
          </w:tcPr>
          <w:p>
            <w:pPr>
              <w:spacing w:after="0"/>
              <w:rPr>
                <w:sz w:val="1"/>
                <w:szCs w:val="1"/>
                <w:color w:val="auto"/>
              </w:rPr>
            </w:pPr>
          </w:p>
        </w:tc>
      </w:tr>
      <w:tr>
        <w:trPr>
          <w:trHeight w:val="205"/>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 in cash and cash equivalents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(211,923)</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257,068</w:t>
            </w:r>
          </w:p>
        </w:tc>
        <w:tc>
          <w:tcPr>
            <w:tcW w:w="0" w:type="dxa"/>
            <w:vAlign w:val="bottom"/>
          </w:tcPr>
          <w:p>
            <w:pPr>
              <w:spacing w:after="0"/>
              <w:rPr>
                <w:sz w:val="1"/>
                <w:szCs w:val="1"/>
                <w:color w:val="auto"/>
              </w:rPr>
            </w:pP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28,247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45,145</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Cash paid for interest</w:t>
            </w: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Cash paid for taxes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Operating lease right-of-use asset obtained in exchange for lease liabilities</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CG Oncology, Inc. (the Company) is a late-stage clinical biopharmaceutical company focused on developing and commercializing its product candidate, cretostimogene grenadenorepvec, for patients with bladder cancer. The Company is at a clinical stage and does not project to generate significant revenues if and until the U.S. Food and Drug Administration (FDA) approves its product candidate, cretostimogene, and the Company is able to commercialize this product candidate.</w:t>
      </w:r>
    </w:p>
    <w:p>
      <w:pPr>
        <w:spacing w:after="0" w:line="180"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February 2025, SafeGuard Healthcare, LLC (SafeGuard), a wholly owned subsidiary of the Company, purchased a $26.8 million convertible note (Note), including accrued interest, from SP Healthcare SPV I, LLC (the SPV). The SPV used the proceeds from the Note to invest and acquire substantially all of the assets of Biovire, Inc. (Biovire), a contract manufacturing organization that produces cretostimogene for the Company. In July 2025, SafeGuard converted the Note (the Conversion Event) and obtained control of both the SPV and Biovire. Refer to Note 15 for additional details on the Conversion Event.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September 30, 2026 and for the three and nine months ended September 30, 2026 and 2025 have been prepared in accordance with U.S. generally accepted accounting principles (U.S. GAAP) for interim financial information and pursuant to the rules and regulations of the U.S. Securities and Exchange Commission (SEC). Accordingly, they do not include all of the information and notes required by U.S. GAAP for complete financial statements. Because all of the disclosures required by U.S. GAAP for complete financial statements are not included herein, these unaudited condensed consolidated financial statements and the notes accompanying them should be read in conjunction with the Company’s audited financial statements for the year ended December 31, 2025 included in the Company's Annual Report on Form 10-K for the year ended December 31, 2025 (2025 Annual Report), filed with the SEC on February 27, 2026. In the opinion of management, the unaudited condensed consolidated financial statements reflect all adjustments, which include only normal and recurring adjustments, considered necessary for a fair statement of the interim periods.</w:t>
      </w:r>
    </w:p>
    <w:p>
      <w:pPr>
        <w:spacing w:after="0" w:line="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disclosures of contingent assets and liabilities at the date of the financial statements, as well as the reported amounts of revenue and expenses during the reporting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Management’s Plans</w:t>
      </w:r>
    </w:p>
    <w:p>
      <w:pPr>
        <w:spacing w:after="0" w:line="33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As of September 30, 2026, the Company had approximately $984.5 million of cash, cash equivalents and marketable securities and working capital of approximately $961.3 million. The Company has a relatively limited operating history, and the revenue and income potential of the Company’s business and market are unproven. The Company has experienced net losses and negative cash flows from operations since its inception and, as of September 30, 2026, the Company had an accumulated deficit of $575.1 million. During the three and nine months ended September 30, 2026, the Company incurred a net loss of $56.9 million and $196.1 million, respectively, and had negative cash flows from operations of $151.1 million during the nine months ended September 30, 2026. The Company will continue to incur significant costs and expenses related to its ongoing operations until it successfully develops, obtains regulatory approval, and gains market acceptance of a product candidate and achieves a level of revenues adequate to support the Company’s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in its 2025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Accounting standards not listed below were assessed and determined not to be applicable or are expected to have minimal impact on the Company’s unaudited condensed consolidated financial statements.</w:t>
      </w:r>
    </w:p>
    <w:p>
      <w:pPr>
        <w:spacing w:after="0" w:line="160" w:lineRule="exact"/>
        <w:rPr>
          <w:sz w:val="20"/>
          <w:szCs w:val="20"/>
          <w:color w:val="auto"/>
        </w:rPr>
      </w:pPr>
    </w:p>
    <w:p>
      <w:pPr>
        <w:jc w:val="both"/>
        <w:ind w:firstLine="1134"/>
        <w:spacing w:after="0" w:line="270"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Comprehensive Income - Expense Disaggregation Disclosures</w:t>
      </w:r>
      <w:r>
        <w:rPr>
          <w:rFonts w:ascii="Times New Roman" w:cs="Times New Roman" w:eastAsia="Times New Roman" w:hAnsi="Times New Roman"/>
          <w:sz w:val="17"/>
          <w:szCs w:val="17"/>
          <w:color w:val="auto"/>
        </w:rPr>
        <w:t>, which will improve the disclosures about a public business entity's expenses and address requests from investors for more detailed information about the types of expenses in commonly presented expense captions such as cost of sales, selling, general and administrative, and research and development. The amendments are effective for fiscal years beginning after December 15, 2026. Early adoption is permitted for annual financial statements that have not yet been issued or made available. The amendments should be applied on either (1) prospectively to financial statements issued for reporting periods after the effective date or</w:t>
      </w:r>
    </w:p>
    <w:p>
      <w:pPr>
        <w:spacing w:after="0" w:line="1" w:lineRule="exact"/>
        <w:rPr>
          <w:sz w:val="20"/>
          <w:szCs w:val="20"/>
          <w:color w:val="auto"/>
        </w:rPr>
      </w:pPr>
    </w:p>
    <w:p>
      <w:pPr>
        <w:ind w:firstLine="8"/>
        <w:spacing w:after="0" w:line="260"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retrospectively to any or all prior periods presented in the financial statements. The Company is currently evaluating the provisions of the amendments and the effect on its future consolidated financial statements.</w:t>
      </w:r>
    </w:p>
    <w:p>
      <w:pPr>
        <w:spacing w:after="0" w:line="179"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clarifies and modernizes the accounting for costs related to internal-use software.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remove all references to project stages and clarify the threshold entities apply to begin capitalizing costs. The amendments are effective for fiscal years beginning after December 15, 2027 and interim reporting periods within those annual reporting periods, with early adoption permitted. The Company is currently evaluating the provisions of the amendments and the effect on its future consolidated financial statements.</w:t>
      </w:r>
    </w:p>
    <w:p>
      <w:pPr>
        <w:spacing w:after="0" w:line="183"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 Scope Improvements</w:t>
      </w:r>
      <w:r>
        <w:rPr>
          <w:rFonts w:ascii="Times New Roman" w:cs="Times New Roman" w:eastAsia="Times New Roman" w:hAnsi="Times New Roman"/>
          <w:sz w:val="18"/>
          <w:szCs w:val="18"/>
          <w:color w:val="auto"/>
        </w:rPr>
        <w:t>, which clarifies required interim disclosures under Topic 270 by providing a comprehensive list of required interim disclosures, and clarifies the applicability of Topic 270. This update is effective for annual reporting periods beginning after December 15, 2027, and interim reporting periods within annual reporting periods beginning after December 15, 2028, with early adoption permitted. ASU 2025-11 may be adopted on a prospective or retrospective basis. The Company is currently evaluating the impact of this guidance on its future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financial instruments carried at fair value on a recurring basis as of September 30, 2026 and December 31, 2025, respectively, in accordance with the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hierarchy (in thousands):</w:t>
      </w:r>
    </w:p>
    <w:p>
      <w:pPr>
        <w:spacing w:after="0" w:line="209"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40" w:type="dxa"/>
            <w:vAlign w:val="bottom"/>
            <w:gridSpan w:val="9"/>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2026</w:t>
            </w:r>
          </w:p>
        </w:tc>
        <w:tc>
          <w:tcPr>
            <w:tcW w:w="9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5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21,837</w:t>
            </w:r>
          </w:p>
        </w:tc>
      </w:tr>
      <w:tr>
        <w:trPr>
          <w:trHeight w:val="24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956,211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956,211</w:t>
            </w:r>
          </w:p>
        </w:tc>
      </w:tr>
      <w:tr>
        <w:trPr>
          <w:trHeight w:val="422"/>
        </w:trPr>
        <w:tc>
          <w:tcPr>
            <w:tcW w:w="4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gridSpan w:val="9"/>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980" w:type="dxa"/>
            <w:vAlign w:val="bottom"/>
          </w:tcPr>
          <w:p>
            <w:pPr>
              <w:spacing w:after="0"/>
              <w:rPr>
                <w:sz w:val="24"/>
                <w:szCs w:val="24"/>
                <w:color w:val="auto"/>
              </w:rPr>
            </w:pPr>
          </w:p>
        </w:tc>
      </w:tr>
      <w:tr>
        <w:trPr>
          <w:trHeight w:val="23"/>
        </w:trPr>
        <w:tc>
          <w:tcPr>
            <w:tcW w:w="4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26,695</w:t>
            </w:r>
          </w:p>
        </w:tc>
      </w:tr>
      <w:tr>
        <w:trPr>
          <w:trHeight w:val="24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-1353820</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-1353820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-1353820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-462280</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-462280</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-462280</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Company’s cash equivalents represent deposits in a short-term U.S. Treasury money market fund quoted in an active market, which were classified as a Level 1 fair value measurement, and fixed income securities (U.S. treasury bills) with original maturities of 90 days or less. Marketable securities consist primarily of fixed income securities (U.S. treasury bills and notes) and corporate bonds with original maturities greater than 90 days. All fixed income securities and corporate bonds were classified as a Level 2 fair value measurement.</w:t>
      </w:r>
    </w:p>
    <w:p>
      <w:pPr>
        <w:spacing w:after="0" w:line="180"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three and nine months ended September 30, 2026 and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components of property and equipment, net as of September 30, 2026 and December 31, 2025 were as follows (in thousands):</w:t>
      </w:r>
    </w:p>
    <w:p>
      <w:pPr>
        <w:spacing w:after="0" w:line="57" w:lineRule="exact"/>
        <w:rPr>
          <w:sz w:val="20"/>
          <w:szCs w:val="20"/>
          <w:color w:val="auto"/>
        </w:rPr>
      </w:pPr>
    </w:p>
    <w:tbl>
      <w:tblPr>
        <w:tblLayout w:type="fixed"/>
        <w:tblInd w:w="242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32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10,499</w:t>
            </w: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lab equipment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r>
      <w:tr>
        <w:trPr>
          <w:trHeight w:val="24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43"/>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1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17,070</w:t>
            </w:r>
          </w:p>
        </w:tc>
      </w:tr>
      <w:tr>
        <w:trPr>
          <w:trHeight w:val="243"/>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62"/>
        </w:trPr>
        <w:tc>
          <w:tcPr>
            <w:tcW w:w="3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14,933</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15,596</w:t>
            </w: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2026 and 2025 was $0.9 million and less than $0.1 million, respectively, and was $2.5 million and $0.1 million for the nine months ended September 30, 2026 and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In connection with the Conversion Event in July 2025, the Company recognized goodwill of $10.3 million. See Note 15 for additional information on this transaction.</w:t>
      </w:r>
    </w:p>
    <w:p>
      <w:pPr>
        <w:spacing w:after="0" w:line="162"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The Company annually assesses goodwill for impairment in the fourth quarter of each calendar year and at an interim date if indicators of impairment exist. During the three and nine months ended September 30, 2026, no goodwill impairment was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components of accrued expenses and other current liabilities as of September 30, 2026 and December 31, 2025 were as follows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46" w:lineRule="exact"/>
        <w:rPr>
          <w:sz w:val="20"/>
          <w:szCs w:val="20"/>
          <w:color w:val="auto"/>
        </w:rPr>
      </w:pPr>
    </w:p>
    <w:tbl>
      <w:tblPr>
        <w:tblLayout w:type="fixed"/>
        <w:tblInd w:w="242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4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24,023</w:t>
            </w:r>
          </w:p>
        </w:tc>
        <w:tc>
          <w:tcPr>
            <w:tcW w:w="10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0" w:type="dxa"/>
            <w:vAlign w:val="bottom"/>
          </w:tcPr>
          <w:p>
            <w:pPr>
              <w:spacing w:after="0"/>
              <w:rPr>
                <w:sz w:val="1"/>
                <w:szCs w:val="1"/>
                <w:color w:val="auto"/>
              </w:rPr>
            </w:pPr>
          </w:p>
        </w:tc>
      </w:tr>
      <w:tr>
        <w:trPr>
          <w:trHeight w:val="24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4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169"/>
        </w:trPr>
        <w:tc>
          <w:tcPr>
            <w:tcW w:w="32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Total accrued expenses and other current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35,533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0" w:type="dxa"/>
            <w:vAlign w:val="bottom"/>
          </w:tcPr>
          <w:p>
            <w:pPr>
              <w:spacing w:after="0"/>
              <w:rPr>
                <w:sz w:val="1"/>
                <w:szCs w:val="1"/>
                <w:color w:val="auto"/>
              </w:rPr>
            </w:pPr>
          </w:p>
        </w:tc>
      </w:tr>
      <w:tr>
        <w:trPr>
          <w:trHeight w:val="22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-1071245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240" w:firstLine="1134"/>
        <w:spacing w:after="0" w:line="258" w:lineRule="auto"/>
        <w:rPr>
          <w:sz w:val="20"/>
          <w:szCs w:val="20"/>
          <w:color w:val="auto"/>
        </w:rPr>
      </w:pPr>
      <w:r>
        <w:rPr>
          <w:rFonts w:ascii="Times New Roman" w:cs="Times New Roman" w:eastAsia="Times New Roman" w:hAnsi="Times New Roman"/>
          <w:sz w:val="18"/>
          <w:szCs w:val="18"/>
          <w:color w:val="auto"/>
        </w:rPr>
        <w:t>The Company has entered into non-cancellable operating leases with remaining lease terms expiring between 2028 and 2034. Of the Company's three operating leases as of September 30, 2026, two are leases in which the Company is the lessee for office space. The remaining operating lease was acquired in connection with the Conversion Event and includes office, manufacturing, and warehouse space. In the fourth quarter of 2025, the Company entered into an additional non-cancelable operating lease for office space with a term of approximately eight years, which commenced in the third quarter of 2026. The Company had no finance leases as of September 30, 2026 and December 31, 2025.</w:t>
      </w:r>
    </w:p>
    <w:p>
      <w:pPr>
        <w:spacing w:after="0" w:line="21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components of lease expense for the periods ended September 30, 2026 and 2025 were as follows (in thousands):</w:t>
      </w:r>
    </w:p>
    <w:p>
      <w:pPr>
        <w:spacing w:after="0" w:line="273"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6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1,426</w:t>
            </w:r>
          </w:p>
        </w:tc>
        <w:tc>
          <w:tcPr>
            <w:tcW w:w="1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61"/>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1,426</w:t>
            </w:r>
          </w:p>
        </w:tc>
        <w:tc>
          <w:tcPr>
            <w:tcW w:w="1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 obtained in exchange</w:t>
            </w: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 new operating lease liabilities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3,483</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operating cash flows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4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Maturities of lease liabilities as of September 30, 2026 were as follows (in thousands):</w:t>
      </w:r>
    </w:p>
    <w:p>
      <w:pPr>
        <w:spacing w:after="0" w:line="270" w:lineRule="exact"/>
        <w:rPr>
          <w:sz w:val="20"/>
          <w:szCs w:val="20"/>
          <w:color w:val="auto"/>
        </w:rPr>
      </w:pPr>
    </w:p>
    <w:tbl>
      <w:tblPr>
        <w:tblLayout w:type="fixed"/>
        <w:tblInd w:w="2420" w:type="dxa"/>
        <w:tblCellMar>
          <w:top w:w="0" w:type="dxa"/>
          <w:left w:w="0" w:type="dxa"/>
          <w:bottom w:w="0" w:type="dxa"/>
          <w:right w:w="0" w:type="dxa"/>
        </w:tblCellMar>
      </w:tblP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43"/>
        </w:trPr>
        <w:tc>
          <w:tcPr>
            <w:tcW w:w="4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37"/>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w:t>
            </w: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43"/>
        </w:trPr>
        <w:tc>
          <w:tcPr>
            <w:tcW w:w="48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Less: amount representing imputed interest</w:t>
            </w: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62"/>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obligations</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w:t>
            </w:r>
          </w:p>
        </w:tc>
      </w:tr>
      <w:tr>
        <w:trPr>
          <w:trHeight w:val="20"/>
        </w:trPr>
        <w:tc>
          <w:tcPr>
            <w:tcW w:w="48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A liability for loss contingencies arising from claims, assessments, litigation, fines, penalties, and other sources is recorded in the unaudited condensed consolidated financial statements if it is determined that it is probable that a loss has been incurred, and that the amount (or range) of the loss can be reasonably estimated.</w:t>
      </w:r>
    </w:p>
    <w:p>
      <w:pPr>
        <w:spacing w:after="0" w:line="176"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On March 4, 2024, a complaint was filed against the Company in the Superior Court of the State of Delaware by ANI Pharmaceuticals, Inc. seeking 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and subject to the outcome of any appeals brought by ANI, the Company will not owe ANI a future royalty of 5% on commercial sales of cretostimogene, no damages have been awarded to ANI, and there are no further payments due to ANI under the ANI Agreement. On April 10, 2026, the Superior Court heard oral arguments from ANI and the Company on pending post-trial motions submitted by the Company and ANI, which included (i) ANI’s Motion for Judgment as a Matter of Law; (ii) ANI’s Motion to Unseal Trial Exhibits; and (iii) the Company’s Motion for Costs. On July 16, 2026, the Superior Court issued an order denying ANI's motions for a new trial and judgment as a matter of law. On August 17, 2026, ANI filed a notice of appeal with the Delaware Supreme Court appealing (1) the Superior Court's granting of the Company's motion for summary judgment with respect to ANI’s request for a declaratory judgment to receive royalty payments from the potential sale of cretostimogene, (2) the special verdict dated July 29, 2025, and (3) the memorandum opinion and order dated July 16, 2026 denying ANI's motion for a new trial and for judgment as a matter of law. The Company will vigorously defend the appeals brought by ANI.</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As of September 30, 2026, the Company had not experienced any losses related to these indemnification obligations, and no claims with respect thereto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Biotech Co., Ltd.</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In March 2019, the Company entered into a development and license agreement with Lepu Biotech Co., Ltd. (Lepu) for cretostimogene (the Lepu License Agreement). Under the terms of the Lepu License Agreement, the Company granted to Lepu an exclusive license to develop, manufacture and commercialize cretostimogene and/or n-Dodecyl-beta-Maltoside (DDM) to treat and/or prevent cancer in mainland China, including Hong Kong and Macau (the Lepu Territory). The Company is obligated to use commercially reasonable efforts to supply Lepu with its requirements of cretostimogene and DDM for its development activities at Lepu’s cost and to periodically provide Lepu with manufacturing documentation and, at Lepu’s cost, reasonably requested assistance related to the manufacture of clinical and, if applicable, commercial supplies of cretostimogene and DDM. The Company determined that control of the license was transferred to Lepu in March 2019 upon execution of the contract.</w:t>
      </w:r>
    </w:p>
    <w:p>
      <w:pPr>
        <w:spacing w:after="0" w:line="18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Lepu paid to the Company a one-time upfront payment of $4.5 million and is obligated to make regulatory milestone payments of up to $2.5 million and commercial milestone payments of up to $57.5 million. The Company is entitled to receive a high single-digit royalty on net sales of cretostimogene and/or DDM sold in the Lepu Territory, subject to a specified reduction. Lepu’s royalty obligations will expire upon termination of the Lepu License Agreement.</w:t>
      </w:r>
    </w:p>
    <w:p>
      <w:pPr>
        <w:spacing w:after="0" w:line="178"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the Lepu License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determined that the performance obligation is comprised solely of the license grant to Lepu. The Company determined the transaction price was $4.5 million and recorded the entire amount upon transfer of control of the functional intellectual property license rights in 2019. The Company evaluated the provision of manufacturing activities related to clinical and commercial supply of the licensed products and concluded that the manufacturing activities were not performance obligations as the terms do not provide a material right to Lepu.</w:t>
      </w:r>
    </w:p>
    <w:p>
      <w:pPr>
        <w:spacing w:after="0" w:line="185"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Future milestone payments are fully constrained as the risk of significant revenue reversal will only be resolved depending on future regulatory approval and sales level outcomes. The Company will re-evaluate the likelihood of achieving future milestones at the end of each reporting period.</w:t>
      </w:r>
    </w:p>
    <w:p>
      <w:pPr>
        <w:spacing w:after="0" w:line="176"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sales-based royalty fee is considered variable consideration and will be recognized as revenue as such sales occur. The sales-based royalty fee qualifies for the royalty constraint exception and does not require an estimate of the future transaction price.</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Company recognized no license and collaboration revenue during the three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In March 2020, and amended as of September 2022, the Company entered into a license and collaboration agreement with Kissei Pharmaceutical Co., Ltd. (Kissei) (the Kissei License Agreement). Under the terms of the Kissei License Agreement, the Company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indications for which marketing approval is being sought. Under the Kissei License Agreement, the Company and Kissei agree to use commercially reasonable efforts to collaborate on clinical development activities in the Kissei Territory and each party is responsible for conducting the applicable activities pursuant to an agreed development plan. Kissei is responsible for the costs of developing the Licensed Product in the Kissei Territory, and the Company is responsible for the costs of developing the Licensed Product outside the Kissei Territory (Global Development), provided that Kissei is responsible for a low-double digit percentage and the Company is responsible for a high-double digit percentage of the cost of development activities that cannot be attributed solely to the Kissei Territory or outside the Kissei Territory. The Company is obligated to supply and Kissei will exclusively purchase its clinical and commercial requirements of Licensed Product from the Company. Kissei is responsible for commercializing the Licensed Product in the Kissei Territory and is obligated to use commercially reasonable efforts to seek regulatory approval for and commercialize at least one Licensed Product in a specified indication. Until a certain period of time has passed after the first regulatory approval of the Licensed Product, the Company is prohibited from commercializing certain competing products worldwide and Kissei is prohibited from researching, developing or commercializing certain competing products worldwide.</w:t>
      </w:r>
    </w:p>
    <w:p>
      <w:pPr>
        <w:spacing w:after="0" w:line="196"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Under the terms of the Kissei License Agreement, the Company received a $10.0 million one-time upfront payment and, in connection with entry into this agreement, Kissei purchased $30.0 million worth of Series D redeemable convertible preferred stock as part of the Company’s Series D financing. Kissei is obligated to make development and regulatory milestone payments to the Company of up to $33.0 million and commercial milestone payments of up to $67.0 million. The Company has agreed to pay Kissei a royalty on net sales of Licensed Product outside the Kissei Territory and outside the Lepu Territory (as described above), including on any U.S. sales, in a low-single digit percentage, subject to certain capped reductions. The Company is entitled to receive a royalty on net sales of Licensed Product in the Kissei Territory in the mid-twenties percentage, subject to certain capped reductions. Also, Kissei has the right to offset the royalty payments due to the Company with respect to the cost for the supply of Licensed Product sold by the Company to Kissei, and to indefinitely carryforward credits for any excess supply amounts paid over royalty amounts owed in a given quarter. The Company is entitled to receive a specified minimum percentage of royalties on net sales of a given Licensed Product in a given country and a given quarter, unless, if for such Licensed Product in such country and such quarter, Kissei has taken the maximum allowable reductions and the ratio of the cost for the supply of Licensed Product to the sales price for Licensed Product exceeds a low-double digit percentage threshold, then the Company shall receive no royalties on the net sales of such Licensed Product in such country and such quarter. Kissei’s and the Company’s royalty obligations will expire on a Licensed Product-by-Licensed Product and country-by-country basis on the later of twelve years from the date of first commercial sale of such Licensed Product in such country or when there is no longer a valid patent claim covering such Licensed Product in such country.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The Kissei License Agreement will expire on a Licensed Product-by-Licensed Product and country-by-country basis when there is no remaining royalty or milestone payment obligation due to a party with respect to such Licensed Product in such country. Following expiration of the Kissei License Agreement in its entirety, the licenses the Company granted to Kissei will become non-exclusive, fully-paid royalty-free and irrevocable and Kissei will have the right to negotiate directly with the Company's product suppliers for the direct supply of Licensed Product to Kissei. The Kissei License Agreement may be terminated either by Kissei or by the Company in the event of an uncured material breach by the other party or in the event the other party becomes subject to specified bankruptcy, insolvency or similar circumstances. In addition, the Company has the right to terminate the Kissei License Agreement in the event that Kissei commences a legal action challenging the validity, enforceability or scope of any licensed patents under the Kissei License Agreement. Kissei may terminate the Kissei License Agreement at will upon specified written notice. Additionally, Kissei may terminate the Kissei License Agreement for the Company's willful and malicious misconduct that results in substantial and irreparable harm to the commercial value of the Licensed Products in the Kissei Territory and upon any such termination, the licenses the Company granted to Kissei will become royalty-free and fully paid-up and Kissei will have the right to negotiate directly with the Company's contract manufacturing organizations for the supply of Licensed Product. Upon termination of the Kissei License Agreement for any other reason all rights and licenses granted to Kissei to develop and commercialize the product under the Kissei License Agreement will terminate, subject to certain rights to sell existing inventory of Licensed Products by Kissei and its sublicensees. Upon termination of the Kissei License Agreement for Kissei’s breach, any sublicenses granted by Kissei may, upon the Company’s discretion, continue.</w:t>
      </w:r>
    </w:p>
    <w:p>
      <w:pPr>
        <w:spacing w:after="0" w:line="197" w:lineRule="exact"/>
        <w:rPr>
          <w:sz w:val="20"/>
          <w:szCs w:val="20"/>
          <w:color w:val="auto"/>
        </w:rPr>
      </w:pPr>
    </w:p>
    <w:p>
      <w:pPr>
        <w:jc w:val="both"/>
        <w:ind w:firstLine="1134"/>
        <w:spacing w:after="0" w:line="259" w:lineRule="auto"/>
        <w:rPr>
          <w:sz w:val="20"/>
          <w:szCs w:val="20"/>
          <w:color w:val="auto"/>
        </w:rPr>
      </w:pPr>
      <w:r>
        <w:rPr>
          <w:rFonts w:ascii="Times New Roman" w:cs="Times New Roman" w:eastAsia="Times New Roman" w:hAnsi="Times New Roman"/>
          <w:sz w:val="18"/>
          <w:szCs w:val="18"/>
          <w:color w:val="auto"/>
        </w:rPr>
        <w:t xml:space="preserve">The Company evaluated the Kissei License Agreement to determine whether it is a collaborative arrangement in the scope of ASC 808, </w:t>
      </w: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(ASC 808). The Company concluded the Kissei License Agreement is a collaborative agreement under ASC 808,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Kissei License Agreement involves a joint operating activity, each party is an active participant in the activities related to the Kissei License Agreement, and both parties are exposed to significant risks and rewards dependent upon the commercial success of the activities related to the Kissei License Agreement.</w:t>
      </w:r>
    </w:p>
    <w:p>
      <w:pPr>
        <w:spacing w:after="0" w:line="200" w:lineRule="exact"/>
        <w:rPr>
          <w:sz w:val="20"/>
          <w:szCs w:val="20"/>
          <w:color w:val="auto"/>
        </w:rPr>
      </w:pPr>
    </w:p>
    <w:p>
      <w:pPr>
        <w:spacing w:after="0" w:line="203"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The Company determined the Kissei License Agreement contained two material components: (i) an exclusive license granted to Kissei to certain intellectual property rights in the Kissei Territory, for Kissei to develop and commercialize, but not manufacture, the Licensed Product for all uses in oncology; and (ii) the parties’ participation in the Global Development of the Licensed Product. The Company used the criteria specified in ASC 606 to determine which of the components of the Kissei License Agreement are performance obligations with a customer and concluded Kissei is the Company’s customer for the license and related activities in the Kissei Territory under ASC 606. The Global Development activities under the agreement do not present a transaction with a customer and the payments received by the Company for Global Development activities, including manufacturing, will be accounted for as a reduction of related expenses.</w:t>
      </w:r>
    </w:p>
    <w:p>
      <w:pPr>
        <w:spacing w:after="0" w:line="189"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The Company evaluated the Kissei Territory specific license and related activities under ASC 606, as these transactions are considered transactions with a customer, and identified two material promises at the outset of the Kissei License Agreement, which consists of the following: (1) the exclusive license and (2) the manufacturing activities related to development and commercial supply of the Licensed Product in the Kissei Territory. The Company further evaluated the material promise associated with manufacturing activities related to development and commercial supply of the Licensed Products in the Kissei Territory. Given Kissei is not obligated to purchase any minimum amount or quantities of the development and commercial supply from the Company, the Company concluded, for the purpose of ASC 606, the provision of manufacturing activities related to development and commercial supply of the Licensed Product in the Kissei Territory was an option but not a performance obligation of the Company at the inception of the Kissei License Agreement and will be accounted for if and when exercised. The Company also concluded there is no separate material right in connection with the development and commercial supply of the licensed product, as the expected pricing was not issued at a significant and incremental discount. Therefore, the manufacturing activities were excluded as a performance obligation at the outset of the arrangement.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The Company evaluated the license under ASC 606 and concluded the license is a functional intellectual property license. The Company determined Kissei benefited from the license at the time of grant and, therefore, the related performance obligation was satisfied at a point in time. Additionally, the Company is entitled to development and regulatory milestones as well as sales milestones and royalties from Kissei upon future sales of the Licensed Product in the Kissei Territory. Future milestone payments are fully contingent as the risk of significant reversal will only be resolved depending on future development milestones, regulatory approval and sales level outcomes. The Company re-evaluates the likelihood of achieving future milestones at the end of each reporting period. The royalties are considered variable consideration and will be recognized as revenue as such sales occur. The sales-based royalties qualify for the royalty constrain exception and do not require an estimate of the future transaction price.</w:t>
      </w:r>
    </w:p>
    <w:p>
      <w:pPr>
        <w:spacing w:after="0" w:line="18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 recognized zero and less than $0.1 million in license and collaboration revenue for the three and nine months ended September 30, 2026, respectively, and $0.2 million for each of the three and nine months ended September 30,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Segment Disclosures</w:t>
      </w:r>
    </w:p>
    <w:p>
      <w:pPr>
        <w:spacing w:after="0" w:line="22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Company's chief operating decision maker (CODM) is its chief executive officer, who reviews financial information presented on a consolidated basis. The CODM uses consolidated net loss to assess financial performance and allocate resources. The CODM does not review assets in evaluating the results of the single segment and therefore, such information is not presented.</w:t>
      </w:r>
    </w:p>
    <w:p>
      <w:pPr>
        <w:spacing w:after="0" w:line="176"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and nine months ended September 30, 2026 and 2025:</w:t>
      </w:r>
    </w:p>
    <w:p>
      <w:pPr>
        <w:spacing w:after="0" w:line="101"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development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43"/>
        </w:trPr>
        <w:tc>
          <w:tcPr>
            <w:tcW w:w="4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7"/>
        </w:trPr>
        <w:tc>
          <w:tcPr>
            <w:tcW w:w="4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43"/>
        </w:trPr>
        <w:tc>
          <w:tcPr>
            <w:tcW w:w="4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Clinical and manufacturing</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72,818</w:t>
            </w:r>
          </w:p>
        </w:tc>
      </w:tr>
      <w:tr>
        <w:trPr>
          <w:trHeight w:val="243"/>
        </w:trPr>
        <w:tc>
          <w:tcPr>
            <w:tcW w:w="4500" w:type="dxa"/>
            <w:vAlign w:val="bottom"/>
            <w:shd w:val="clear" w:color="auto" w:fill="CCEEFF"/>
          </w:tcPr>
          <w:p>
            <w:pPr>
              <w:ind w:left="340"/>
              <w:spacing w:after="0" w:line="243"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w:t>
            </w:r>
          </w:p>
        </w:tc>
      </w:tr>
      <w:tr>
        <w:trPr>
          <w:trHeight w:val="236"/>
        </w:trPr>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86,683</w:t>
            </w:r>
          </w:p>
        </w:tc>
      </w:tr>
      <w:tr>
        <w:trPr>
          <w:trHeight w:val="243"/>
        </w:trPr>
        <w:tc>
          <w:tcPr>
            <w:tcW w:w="4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55,532</w:t>
            </w:r>
          </w:p>
        </w:tc>
      </w:tr>
      <w:tr>
        <w:trPr>
          <w:trHeight w:val="236"/>
        </w:trPr>
        <w:tc>
          <w:tcPr>
            <w:tcW w:w="4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64,853</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219,883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143,792</w:t>
            </w:r>
          </w:p>
        </w:tc>
      </w:tr>
      <w:tr>
        <w:trPr>
          <w:trHeight w:val="23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(142,074)</w:t>
            </w:r>
          </w:p>
        </w:tc>
      </w:tr>
      <w:tr>
        <w:trPr>
          <w:trHeight w:val="243"/>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22,388</w:t>
            </w:r>
          </w:p>
        </w:tc>
      </w:tr>
      <w:tr>
        <w:trPr>
          <w:trHeight w:val="261"/>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Other research and development consists of indirect costs incurred for the benefit of the research and development efforts, including certain personnel, supply chain, quality assurance, and regulatory affairs.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700,000,000 shares of common stock at September 30, 2026 and December 31, 2025, of which 89,300,590 and 80,689,128 shares were issued and outstanding at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Voting, dividend and liquidation rights of the holders of the common stock are subject to and qualified by the rights, powers and preferences of the holders of the preferred stock, of which there are none as of September 30, 2026 and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holders of common stock shall be entitled to receive dividends out of funds legally available therefore at such times and in such amounts as the board of directors may determine in its sole discretion.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Upon any voluntary or involuntary liquidation, dissolution or winding-up of the Company or deemed liquidation event of the Company, all of the remaining assets of the Company available for distribution to the stockholders shall be distributed among the holders of the common stock, pro rata based on the number of shares held by each such holder.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 of September 30, 2026, the Company reserved the following shares of common stock for issuance:</w:t>
      </w:r>
    </w:p>
    <w:p>
      <w:pPr>
        <w:spacing w:after="0" w:line="260"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4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4940" w:type="dxa"/>
            <w:vAlign w:val="bottom"/>
            <w:tcBorders>
              <w:bottom w:val="single" w:sz="8" w:color="CFF0FC"/>
            </w:tcBorders>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42"/>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and awards outstanding</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7,336,869</w:t>
            </w: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Reserved for future stock award issuances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6,441,218</w:t>
            </w: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Reserved for future ESPP issuances</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1,466,540</w:t>
            </w:r>
          </w:p>
        </w:tc>
      </w:tr>
      <w:tr>
        <w:trPr>
          <w:trHeight w:val="237"/>
        </w:trPr>
        <w:tc>
          <w:tcPr>
            <w:tcW w:w="4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15,244,627</w:t>
            </w:r>
          </w:p>
        </w:tc>
      </w:tr>
      <w:tr>
        <w:trPr>
          <w:trHeight w:val="20"/>
        </w:trPr>
        <w:tc>
          <w:tcPr>
            <w:tcW w:w="4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2015, the Company established the 2015 Plan, under which the Company may grant options and restricted stock to its employees and certain non-employees. As of September 30, 2026, there were 178,534 shares of common stock subject to outstanding awards under the 2015 Plan. In 2022, the Company established the 2022 Plan, under which the Company may grant options, restricted stock units, restricted stock, stock appreciation rights, dividend equivalents and other stock and cash-based awards to its employees and certain non-employees. As of September 30, 2026, there were 2,439,699 shares of common stock subject to outstanding awards under the 2022 Plan.</w:t>
      </w:r>
    </w:p>
    <w:p>
      <w:pPr>
        <w:spacing w:after="0" w:line="183"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On January 11, 2024, the Company’s board of directors and stockholders approved the 2024 Equity Incentive Plan (the 2024 Plan), which became effective on January 24, 2024. The 2024 Plan replaced the 2022 Plan, as the Company’s board of directors has determined to not make additional grants under the 2022 Plan following its initial public offering. However, the 2015 and 2022 Plans will continue to govern outstanding equity awards granted under the 2015 and 2022 Plans. The 2024 Plan allows the Company to make equity-based and cash-based incentive awards to its officers, employees, directors and consultants. The number of shares initially available for issuance under awards granted pursuant to the 2024 Plan is (1) 8,246,565 shares, plus (2) any shares subject to outstanding awards under the 2015 and 2022 Plans as of the effective date of the 2024 Plan that become available for issuance under the 2024 Plan thereafter in accordance with its terms. As of September 30, 2026, there were 4,718,636 shares of common stock subject to outstanding awards and 6,441,218 shares of common stock remaining and available for issuance under the 2024 Plan.</w:t>
      </w:r>
    </w:p>
    <w:p>
      <w:pPr>
        <w:spacing w:after="0" w:line="19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Company may grant options to purchase authorized but unissued shares of the Company’s common stock. Options granted under the 2015 Plan, 2022 Plan and 2024 Plan include incentive stock options that can be granted only to the Company’s employees and non-statutory stock options that can be granted to the Company’s employees, consultants, advisors and directors.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exercise prices, vesting and other restrictions of the awards granted under the 2015 Plan, 2022 Plan and 2024 Plan are determined by the Board, except that no stock option may be issued with an exercise price less than the fair market value of the common stock at the date of the grant or have a term in excess of ten years. Options granted under the 2015 Plan, 2022 Plan and 2024 Plan are exercisable in whole or in part at any time subsequent to vesting.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September 30, 2026 (in thousands, except share and per share amounts):</w:t>
      </w:r>
    </w:p>
    <w:p>
      <w:pPr>
        <w:spacing w:after="0" w:line="197"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3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vMerge w:val="restart"/>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06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7,958,219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198,545</w:t>
            </w:r>
          </w:p>
        </w:tc>
        <w:tc>
          <w:tcPr>
            <w:tcW w:w="0" w:type="dxa"/>
            <w:vAlign w:val="bottom"/>
          </w:tcPr>
          <w:p>
            <w:pPr>
              <w:spacing w:after="0"/>
              <w:rPr>
                <w:sz w:val="1"/>
                <w:szCs w:val="1"/>
                <w:color w:val="auto"/>
              </w:rPr>
            </w:pPr>
          </w:p>
        </w:tc>
      </w:tr>
      <w:tr>
        <w:trPr>
          <w:trHeight w:val="227"/>
        </w:trPr>
        <w:tc>
          <w:tcPr>
            <w:tcW w:w="4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1,272,168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67.09</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(1,626,665)</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50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Forfeited/Expired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(468,690)</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10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7,135,032</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319,905</w:t>
            </w: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September 30, 2026</w:t>
            </w: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7,135,032</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319,905</w:t>
            </w:r>
          </w:p>
        </w:tc>
        <w:tc>
          <w:tcPr>
            <w:tcW w:w="0" w:type="dxa"/>
            <w:vAlign w:val="bottom"/>
          </w:tcPr>
          <w:p>
            <w:pPr>
              <w:spacing w:after="0"/>
              <w:rPr>
                <w:sz w:val="1"/>
                <w:szCs w:val="1"/>
                <w:color w:val="auto"/>
              </w:rPr>
            </w:pPr>
          </w:p>
        </w:tc>
      </w:tr>
      <w:tr>
        <w:trPr>
          <w:trHeight w:val="23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at September 30, 2026</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3,544,186</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188,772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-325120</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-325120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-479425</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-479425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0"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stock options and the fair value of the Company's common stock. The aggregate intrinsic value of options exercised during the nine months ended September 30, 2026 and 2025 was $100.9 million and $10.7 million, respectively.</w:t>
      </w:r>
    </w:p>
    <w:p>
      <w:pPr>
        <w:spacing w:after="0" w:line="17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the options granted was $43.31 and $14.49 per share for the nine months ended September 30, 2026 and 2025, respectively. The aggregate grant-date fair value of options vested during the nine months ended September 30, 2026 and 2025 was $29.6 million and $19.8 million, respectively.</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option awards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254"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6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5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5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52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45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63.03% -</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76.35% -</w:t>
            </w: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63.03% -</w:t>
            </w:r>
          </w:p>
        </w:tc>
        <w:tc>
          <w:tcPr>
            <w:tcW w:w="80" w:type="dxa"/>
            <w:vAlign w:val="bottom"/>
            <w:shd w:val="clear" w:color="auto" w:fill="CFF0FC"/>
          </w:tcPr>
          <w:p>
            <w:pPr>
              <w:spacing w:after="0"/>
              <w:rPr>
                <w:sz w:val="15"/>
                <w:szCs w:val="15"/>
                <w:color w:val="auto"/>
              </w:rPr>
            </w:pPr>
          </w:p>
        </w:tc>
        <w:tc>
          <w:tcPr>
            <w:tcW w:w="126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73.39% -</w:t>
            </w:r>
          </w:p>
        </w:tc>
      </w:tr>
      <w:tr>
        <w:trPr>
          <w:trHeight w:val="243"/>
        </w:trPr>
        <w:tc>
          <w:tcPr>
            <w:tcW w:w="4520" w:type="dxa"/>
            <w:vAlign w:val="bottom"/>
            <w:shd w:val="clear" w:color="auto" w:fill="CFF0FC"/>
          </w:tcPr>
          <w:p>
            <w:pPr>
              <w:spacing w:after="0"/>
              <w:rPr>
                <w:sz w:val="21"/>
                <w:szCs w:val="21"/>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66.68%</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69.97%</w:t>
            </w: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77.58%</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4.33% - 4.87%</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 - 4.16%</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3.725%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 - 4.5%</w:t>
            </w: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center"/>
              <w:ind w:left="415"/>
              <w:spacing w:after="0"/>
              <w:rPr>
                <w:sz w:val="20"/>
                <w:szCs w:val="20"/>
                <w:color w:val="auto"/>
              </w:rPr>
            </w:pPr>
            <w:r>
              <w:rPr>
                <w:rFonts w:ascii="Times New Roman" w:cs="Times New Roman" w:eastAsia="Times New Roman" w:hAnsi="Times New Roman"/>
                <w:sz w:val="18"/>
                <w:szCs w:val="18"/>
                <w:color w:val="auto"/>
                <w:w w:val="99"/>
              </w:rPr>
              <w:t>0%</w:t>
            </w:r>
          </w:p>
        </w:tc>
        <w:tc>
          <w:tcPr>
            <w:tcW w:w="5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0%</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240" w:type="dxa"/>
            <w:vAlign w:val="bottom"/>
          </w:tcPr>
          <w:p>
            <w:pPr>
              <w:jc w:val="right"/>
              <w:ind w:right="393"/>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5.25 - 6.1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-745490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-745490</wp:posOffset>
            </wp:positionV>
            <wp:extent cx="596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-745490</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of $7.7 million and $6.7 million for the three months ended September 30, 2026 and 2025, respectively, and $27.8 million and $17.5 million for the nine months ended September 30, 2026 and 2025, respectively. As of September 30, 2026, the Company had an aggregate $79.5 million of gross unrecognized stock-based compensation expense related to unvested options to be recognized over a weighted average period of 2.8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w:t>
      </w:r>
    </w:p>
    <w:p>
      <w:pPr>
        <w:spacing w:after="0" w:line="11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A Performance Stock Unit (PSU) represents one equivalent share of the Company's common stock to be issued after achievement of the performance metrics specified in the grant. The following table summarizes the Company's PSU activity for nine months ended September 30, 2026:</w:t>
      </w:r>
    </w:p>
    <w:p>
      <w:pPr>
        <w:spacing w:after="0" w:line="197"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47"/>
        </w:trPr>
        <w:tc>
          <w:tcPr>
            <w:tcW w:w="332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December 31,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0" w:type="dxa"/>
            <w:vAlign w:val="bottom"/>
          </w:tcPr>
          <w:p>
            <w:pPr>
              <w:spacing w:after="0"/>
              <w:rPr>
                <w:sz w:val="1"/>
                <w:szCs w:val="1"/>
                <w:color w:val="auto"/>
              </w:rPr>
            </w:pPr>
          </w:p>
        </w:tc>
      </w:tr>
      <w:tr>
        <w:trPr>
          <w:trHeight w:val="226"/>
        </w:trPr>
        <w:tc>
          <w:tcPr>
            <w:tcW w:w="3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0" w:type="dxa"/>
            <w:vAlign w:val="bottom"/>
          </w:tcPr>
          <w:p>
            <w:pPr>
              <w:spacing w:after="0"/>
              <w:rPr>
                <w:sz w:val="1"/>
                <w:szCs w:val="1"/>
                <w:color w:val="auto"/>
              </w:rPr>
            </w:pPr>
          </w:p>
        </w:tc>
      </w:tr>
      <w:tr>
        <w:trPr>
          <w:trHeight w:val="233"/>
        </w:trPr>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0" w:type="dxa"/>
            <w:vAlign w:val="bottom"/>
          </w:tcPr>
          <w:p>
            <w:pPr>
              <w:spacing w:after="0"/>
              <w:rPr>
                <w:sz w:val="1"/>
                <w:szCs w:val="1"/>
                <w:color w:val="auto"/>
              </w:rPr>
            </w:pPr>
          </w:p>
        </w:tc>
      </w:tr>
      <w:tr>
        <w:trPr>
          <w:trHeight w:val="227"/>
        </w:trPr>
        <w:tc>
          <w:tcPr>
            <w:tcW w:w="3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Nonvested at September 30,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Expected to vest at September 30, 2026</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320" w:type="dxa"/>
            <w:vAlign w:val="bottom"/>
            <w:vMerge w:val="continue"/>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201,837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a PSU based upon the expected achievement of the performance metrics specified in the grant and the closing market price of the Company's common stock on the date of grant.</w:t>
      </w:r>
    </w:p>
    <w:p>
      <w:pPr>
        <w:spacing w:after="0" w:line="5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Stock-based compensation expense associated with these PSUs is recognized if achievement of the underlying performance condition is considered probable of achievement based on the Company’s best estimates. The Company recorded stock-based compensation expense related to PSUs of $0.6 million during the three and nine months ended September 30, 2026 and less than $0.1 million during the three and nine months ended September 30, 2025. As of September 30, 2026, the Company had an aggregate $9.7 million of gross unrecognized stock-based compensation expense related to unvested PSUs to be recognized over a weighted average period of 1.1 years, including the expense attributable to PSUs for which achievement is not considered probable and no current expense is being recognized.</w:t>
      </w:r>
    </w:p>
    <w:p>
      <w:pPr>
        <w:spacing w:after="0" w:line="187"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awards and the 2024 Employee Stock Purchase Plan (see Note 12) recorded in the accompanying statements of operations for the three and nine months ended September 30, 2026 and 2025 was as follows (in thousands):</w:t>
      </w:r>
    </w:p>
    <w:p>
      <w:pPr>
        <w:spacing w:after="0" w:line="209"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68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2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45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520" w:type="dxa"/>
            <w:vAlign w:val="bottom"/>
            <w:tcBorders>
              <w:bottom w:val="single" w:sz="8" w:color="CFF0FC"/>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3,305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43"/>
        </w:trPr>
        <w:tc>
          <w:tcPr>
            <w:tcW w:w="45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5,151</w:t>
            </w: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w:t>
            </w:r>
          </w:p>
        </w:tc>
      </w:tr>
      <w:tr>
        <w:trPr>
          <w:trHeight w:val="262"/>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8,456</w:t>
            </w:r>
          </w:p>
        </w:tc>
        <w:tc>
          <w:tcPr>
            <w:tcW w:w="1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29,264</w:t>
            </w:r>
          </w:p>
        </w:tc>
        <w:tc>
          <w:tcPr>
            <w:tcW w:w="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19,489</w:t>
            </w: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-33655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-33655</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-33655</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-196215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-196215</wp:posOffset>
            </wp:positionV>
            <wp:extent cx="59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-196215</wp:posOffset>
            </wp:positionV>
            <wp:extent cx="60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-513715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-513715</wp:posOffset>
            </wp:positionV>
            <wp:extent cx="596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-513715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59"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Company has not recognized and does not expect to recognize in the near future, any tax benefit related to employee stock-based compensation expense as a result of the full valuation allowance related to its net deferred tax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Stock Purchase Plan</w:t>
      </w:r>
    </w:p>
    <w:p>
      <w:pPr>
        <w:spacing w:after="0" w:line="121"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On January 11, 2024, </w:t>
      </w:r>
      <w:r>
        <w:rPr>
          <w:rFonts w:ascii="Times New Roman" w:cs="Times New Roman" w:eastAsia="Times New Roman" w:hAnsi="Times New Roman"/>
          <w:sz w:val="18"/>
          <w:szCs w:val="18"/>
          <w:color w:val="242424"/>
        </w:rPr>
        <w:t>the Company’s board of directors and stockholders approved the 2024 Employee Stock Purchase Plan (the ESPP),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which became effective on January 24, 2024. The number of shares initially available for issuance pursuant to the ESPP is 812,242 shares. The ESPP </w:t>
      </w:r>
      <w:r>
        <w:rPr>
          <w:rFonts w:ascii="Times New Roman" w:cs="Times New Roman" w:eastAsia="Times New Roman" w:hAnsi="Times New Roman"/>
          <w:sz w:val="18"/>
          <w:szCs w:val="18"/>
          <w:color w:val="000000"/>
        </w:rPr>
        <w:t xml:space="preserve">provides for the sale of the Company's common stock to eligible employees at 85% of the fair market value of the Company's common stock at the commencement date of each offering period or the relevant date of purchase, whichever is lower. Payroll deductions are limited to 15% of the employee’s eligible compensation, subject to IRS limits. In addition, employees may not buy more than </w:t>
      </w:r>
      <w:r>
        <w:rPr>
          <w:rFonts w:ascii="Times New Roman" w:cs="Times New Roman" w:eastAsia="Times New Roman" w:hAnsi="Times New Roman"/>
          <w:sz w:val="18"/>
          <w:szCs w:val="18"/>
          <w:color w:val="242424"/>
        </w:rPr>
        <w:t>100,000</w:t>
      </w:r>
      <w:r>
        <w:rPr>
          <w:rFonts w:ascii="Times New Roman" w:cs="Times New Roman" w:eastAsia="Times New Roman" w:hAnsi="Times New Roman"/>
          <w:sz w:val="18"/>
          <w:szCs w:val="18"/>
          <w:color w:val="000000"/>
        </w:rPr>
        <w:t xml:space="preserve"> shares during any purchase period or offering period. There were </w:t>
      </w:r>
      <w:r>
        <w:rPr>
          <w:rFonts w:ascii="Times New Roman" w:cs="Times New Roman" w:eastAsia="Times New Roman" w:hAnsi="Times New Roman"/>
          <w:sz w:val="18"/>
          <w:szCs w:val="18"/>
          <w:color w:val="242424"/>
        </w:rPr>
        <w:t>54,054</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color w:val="242424"/>
        </w:rPr>
        <w:t>69,393</w:t>
      </w:r>
      <w:r>
        <w:rPr>
          <w:rFonts w:ascii="Times New Roman" w:cs="Times New Roman" w:eastAsia="Times New Roman" w:hAnsi="Times New Roman"/>
          <w:sz w:val="18"/>
          <w:szCs w:val="18"/>
          <w:color w:val="000000"/>
        </w:rPr>
        <w:t xml:space="preserve"> shares purchased under the ESPP during the nine months ended September 30, 2026 and 2025, respectively, and </w:t>
      </w:r>
      <w:r>
        <w:rPr>
          <w:rFonts w:ascii="Times New Roman" w:cs="Times New Roman" w:eastAsia="Times New Roman" w:hAnsi="Times New Roman"/>
          <w:sz w:val="18"/>
          <w:szCs w:val="18"/>
          <w:color w:val="242424"/>
        </w:rPr>
        <w:t>14,994</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color w:val="242424"/>
        </w:rPr>
        <w:t xml:space="preserve">37,374 </w:t>
      </w:r>
      <w:r>
        <w:rPr>
          <w:rFonts w:ascii="Times New Roman" w:cs="Times New Roman" w:eastAsia="Times New Roman" w:hAnsi="Times New Roman"/>
          <w:sz w:val="18"/>
          <w:szCs w:val="18"/>
          <w:color w:val="000000"/>
        </w:rPr>
        <w:t>shares purchased under the ESPP during the three months ended September 30, 2026 and 2025, respectively. As of September 30, 2026, there were</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approximately 1.5 million shares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under the ESPP of approximately $0.1 million and $0.6 million for the three months ended September 30, 2026 and 2025, respectively, and $0.8 million and $2.0 million for the nine months ended September 30, 2026 and 2025, respectively. As of September 30, 2026, the Company had $0.9 million of gross unrecognized stock-based compensation expense under the ESPP to be recognized over a weighted average period of 1.3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Debt</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In connection with the Conversion Event, the Company assumed an unsecured promissory note held by Biovire (the Biovire Note) with an outstanding principal balance of $3.0 million. The Company determined that the carrying amount of the Biovire Note represented its fair value. The Biovire Note is due and payable on February 28, 2028 (Maturity Date) and accrues interest at the lesser of (i) the daily term SOFR rate plus 2.60% and (ii) 25.0%, or the highest rate permitted by applicable law, and is payable monthly. The Company has the ability to repay the Biovire Note in full prior to the Maturity Date without penalty.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 Attributable to Common Stockholders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73" w:lineRule="exact"/>
        <w:rPr>
          <w:sz w:val="20"/>
          <w:szCs w:val="20"/>
          <w:color w:val="auto"/>
        </w:rPr>
      </w:pPr>
    </w:p>
    <w:tbl>
      <w:tblPr>
        <w:tblLayout w:type="fixed"/>
        <w:tblInd w:w="74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4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(43,808)</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(196,149)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(119,686)</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Weighted-average common stock outstanding, basic and</w:t>
            </w: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88,871,135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76,729,726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87,212,504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76,383,376</w:t>
            </w:r>
          </w:p>
        </w:tc>
        <w:tc>
          <w:tcPr>
            <w:tcW w:w="0" w:type="dxa"/>
            <w:vAlign w:val="bottom"/>
          </w:tcPr>
          <w:p>
            <w:pPr>
              <w:spacing w:after="0"/>
              <w:rPr>
                <w:sz w:val="1"/>
                <w:szCs w:val="1"/>
                <w:color w:val="auto"/>
              </w:rPr>
            </w:pPr>
          </w:p>
        </w:tc>
      </w:tr>
      <w:tr>
        <w:trPr>
          <w:trHeight w:val="216"/>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80" w:type="dxa"/>
            <w:vAlign w:val="bottom"/>
            <w:shd w:val="clear" w:color="auto" w:fill="CFF0FC"/>
          </w:tcPr>
          <w:p>
            <w:pPr>
              <w:ind w:left="240"/>
              <w:spacing w:after="0" w:line="156"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FF0FC"/>
          </w:tcPr>
          <w:p>
            <w:pPr>
              <w:spacing w:after="0"/>
              <w:rPr>
                <w:sz w:val="13"/>
                <w:szCs w:val="13"/>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13"/>
                <w:szCs w:val="13"/>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vMerge w:val="continue"/>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and awards, have been excluded from the computation of diluted net loss per share as the effect would be to reduce the net loss per share.</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Company excluded the following from the computation of diluted net loss per share attributable to common stockholders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because including them would have had an anti-dilutive effect:</w:t>
      </w:r>
    </w:p>
    <w:p>
      <w:pPr>
        <w:spacing w:after="0" w:line="254" w:lineRule="exact"/>
        <w:rPr>
          <w:sz w:val="20"/>
          <w:szCs w:val="20"/>
          <w:color w:val="auto"/>
        </w:rPr>
      </w:pPr>
    </w:p>
    <w:tbl>
      <w:tblPr>
        <w:tblLayout w:type="fixed"/>
        <w:tblInd w:w="242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08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334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34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7,135,032</w:t>
            </w:r>
          </w:p>
        </w:tc>
        <w:tc>
          <w:tcPr>
            <w:tcW w:w="120" w:type="dxa"/>
            <w:vAlign w:val="bottom"/>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7,934,457</w:t>
            </w:r>
          </w:p>
        </w:tc>
      </w:tr>
      <w:tr>
        <w:trPr>
          <w:trHeight w:val="237"/>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7,135,032</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7,934,457</w:t>
            </w:r>
          </w:p>
        </w:tc>
      </w:tr>
      <w:tr>
        <w:trPr>
          <w:trHeight w:val="20"/>
        </w:trPr>
        <w:tc>
          <w:tcPr>
            <w:tcW w:w="3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-359410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Acquisition of Biovire</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On July 20, 2025, the Company obtained control of the SPV through the Conversion Event, resulting in SafeGuard owning 100% of the membership interest of the SPV. As a result of the Conversion Event, the Company also indirectly obtained control of Biovire as the SPV owns 99.96% of the capital stock of Biovire. As a result of this change in control, purchase accounting was applied by the Company and the operations of Biovire are consolidated as of the effective date of the conversion. See footnote 1 for more information on the Note.</w:t>
      </w:r>
    </w:p>
    <w:p>
      <w:pPr>
        <w:spacing w:after="0" w:line="7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Biovire is a contract manufacturer specializing in the fill and finish of novel drugs and medical devices for pharmaceutical and biotech companies. Prior to becoming a majority-owned subsidiary, Biovire was a vendor to the Company and continues to provide clinical supply of cretostimogene used in the Company’s clinical trials. The acquisition provides the Company the ability to supply its requirements of cretostimogene during the remainder of its clinical trials.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CG ONCOLOGY,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Consideration was determined to be the fair value of the note receivable that was exchanged for the majority of shares of the SPV and Biovire. The acquisition was accounted for as a business combination using the acquisition method of accounting, under which the acquired assets, including intangible assets, and assumed liabilities were recognized at their estimated fair values as of July 20, 2025, with the excess of the fair value of consideration transferred over the fair value of the net assets acquired recognized as goodwill. The Company's unaudited condensed consolidated financial statements include the operating results of the SPV and Biovire from the date of acquisition through September 30, 2026.</w:t>
      </w:r>
    </w:p>
    <w:p>
      <w:pPr>
        <w:spacing w:after="0" w:line="75"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The purchase price allocation is set forth in the table below and represents the Company’s fair value estimates related to the acquisition as of July 20, 2025.</w:t>
      </w:r>
    </w:p>
    <w:p>
      <w:pPr>
        <w:spacing w:after="0" w:line="101" w:lineRule="exact"/>
        <w:rPr>
          <w:sz w:val="20"/>
          <w:szCs w:val="20"/>
          <w:color w:val="auto"/>
        </w:rPr>
      </w:pPr>
    </w:p>
    <w:tbl>
      <w:tblPr>
        <w:tblLayout w:type="fixed"/>
        <w:tblInd w:w="242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3"/>
        </w:trPr>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Identifiable assets acquired</w:t>
            </w: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243"/>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43"/>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6"/>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43"/>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43"/>
        </w:trPr>
        <w:tc>
          <w:tcPr>
            <w:tcW w:w="48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36"/>
        </w:trPr>
        <w:tc>
          <w:tcPr>
            <w:tcW w:w="4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10,674</w:t>
            </w:r>
          </w:p>
        </w:tc>
        <w:tc>
          <w:tcPr>
            <w:tcW w:w="0" w:type="dxa"/>
            <w:vAlign w:val="bottom"/>
          </w:tcPr>
          <w:p>
            <w:pPr>
              <w:spacing w:after="0"/>
              <w:rPr>
                <w:sz w:val="1"/>
                <w:szCs w:val="1"/>
                <w:color w:val="auto"/>
              </w:rPr>
            </w:pPr>
          </w:p>
        </w:tc>
      </w:tr>
      <w:tr>
        <w:trPr>
          <w:trHeight w:val="24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0" w:type="dxa"/>
            <w:vAlign w:val="bottom"/>
          </w:tcPr>
          <w:p>
            <w:pPr>
              <w:spacing w:after="0"/>
              <w:rPr>
                <w:sz w:val="1"/>
                <w:szCs w:val="1"/>
                <w:color w:val="auto"/>
              </w:rPr>
            </w:pPr>
          </w:p>
        </w:tc>
      </w:tr>
      <w:tr>
        <w:trPr>
          <w:trHeight w:val="23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of consideration paid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The purchase price was allocated to the tangible assets and identifiable intangible assets acquired and liabilities assumed based on their acquisition date estimated fair values. The carrying amount of accounts receivable and inventory acquired represented their fair value. Property and equipment were assigned a fair value of $16.6 million and will be amortized over a weighted average of 5.5 years. The identifiable intangible assets consist of trade names and trademarks and customer relationships which were each assigned fair values of approximately $0.3 million and will be amortized on a straight-line basis over their estimated useful lives of 10 years. The acquired property and equipment and intangible assets were valued utilizing either the relief from royalty method or the multi-period excess earnings method as deemed most applicable. These approaches require judgment, including those related to projected net cash flows, revenue growth rates, and the weighted average cost of capital used to discount the cash flows.</w:t>
      </w:r>
    </w:p>
    <w:p>
      <w:pPr>
        <w:spacing w:after="0" w:line="8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identifiable tangible and intangible assets acquired in addition to liabilities assumed arising from the business combination. The Company believes the goodwill related to the acquisition was attributable to the expected synergies, value of the assembled workforce, and the collective experience of the management team with regards to its operations, customers,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and the unaudited condensed consolidated financial statements included in this Quarterly Report on Form 10-Q (Quarterly Report) is provided as a supplement to, and should be read in conjunction with the financial statements and notes thereto for the year ended December 31, 2025 and the related "Risk Factors" and "Management’s Discussion and Analysis of Financial Condition and Results of Operations" of the Annual Report on Form 10-K for the year ended December 31, 2025 (the 2025 Annual Report).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and financial position, business strategy, research and development plans, the anticipated timing, costs, design and conduct of our ongoing and planned clinical trials and preclinical studies for cretostimogene and any future product candidates, the timing and likelihood of regulatory filings and approvals for cretostimogene and any future product candidates, our ability to commercialize cretostimogene and any future product candidates, if approved, the pricing and reimbursement of cretostimogene and any future product candidates, if approved, the potential to develop future product candidates, the potential benefits of strategic collaborations and potential to enter into any future strategic arrangements, the timing and likelihood of success,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84"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or “will” or the negative of these terms or other similar expressions. These forward-looking statements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Quarterly Report and are subject to a number of risks, uncertainties, and assumptions, including, without limitation, the risk factors described in Part I, Item 1A, “Risk Factors” of the 2025 Annual Report.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 All forward-looking statements are qualified in their entirety by this cautionary statement, which is made under the safe harbor provisions of the Private Securities Litigation Reform Act of 1995.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developing and commercializing cretostimogene grenadenorepvec (cretostimogene), an investigational oncolytic immunotherapy with a dual mechanism of action designed both to eliminate cancer cells directly by selective replication and indirectly by activating an anti-tumor immune response, as a potential backbone therapy in a broad range of patients afflicted with bladder cancer. Cretostimogene is currently in clinical development for the treatment of patients with high-risk and intermediate-risk non-muscle invasive bladder cancer (NMIBC), which potentially represents up to 150,000 addressable patients in the United States.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are evaluating the safety and efficacy of cretostimogene monotherapy in BOND-003 Cohort C, our ongoing Phase 3 clinical trial in Bacillus Calmette-Guérin (BCG)-unresponsive NMIBC with carcinoma in situ (CIS), with or without papillary disease. Given the limitations of currently approved therapies, the next course of treatment for these patients with BCG-unresponsive tumors is radical cystectomy, which is the complete removal of the bladder. This surgery carries a significant social, functional and emotional burden for patients. As such, there is a significant unmet need for effective bladder-sparing treatments. We reported potentially best-in-disease data in September 2025, and results were subsequently updated and published in The Lancet Oncology in July 2026. These results included a 75.5% complete response (CR) at any time, after receiving cretostimogene as monotherapy, with 12- and 24-month duration of response (DOR) rates of 65.5% and 60%, respectively, and a favorable safety and tolerability profile. This trial served as the basis for our Biologics License Application (BLA) submission for our initial indication to the U.S. Food and Drug Administration (FDA), which we expect to complete in the fourth quarter of 2026. Cretostimogene has received both Fast Track and Breakthrough Therapy designations from the FDA for the treatment of BCG-unresponsive NMIBC with CIS with or without papillary disease. Additionally, in April 2024, we initiated BOND-003 Cohort P, an exploratory study evaluating cretostimogene monotherapy in BCG-unresponsive papillary only NMIBC. Based on internal research derived from the National Cancer Institute Surveillance, Epidemiology, and End Results Program’s (NIH SEER) database, secondary claims data analytics and management assumptions, the BCG-unresponsive NMIBC segment may represent up to 25,000 addressable patients.</w:t>
      </w:r>
    </w:p>
    <w:p>
      <w:pPr>
        <w:spacing w:after="0" w:line="79"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We are also conducting a Phase 3 clinical trial, PIVOT-006, the first randomized registrational trial to evaluate an investigational adjuvant therapy in intermediate-risk and high-grade Ta ≤ 3cm NMIBC assessing cretostimogene following transurethral resection of the bladder tumor (TURBT), with enrollment completed in the third quarter of 2025. These patients with intermediate-risk NMIBC are encumbered by frequent tumor recurrence that requires repeat resection of the bladder tumors. Moreover, intravesical BCG is no longer recommended by guidelines for this patient population due to the continuous BCG shortage. We believe cretostimogene, if approved in intermediate-risk NMIBC, has the potential to serve as a first-in-class backbone therapy in this frontline adjuvant setting, for which there are currently no U.S. FDA approved options. Based on internal research derived from NIH SEER database, secondary claims data analytics and management assumptions, the intermediate-risk NMIBC segment may represent up to 50,000 addressable patients.</w:t>
      </w:r>
    </w:p>
    <w:p>
      <w:pPr>
        <w:spacing w:after="0" w:line="84"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Additionally, we have multiple ongoing Phase 2 trials designed to generate data in BCG-exposed and BCG-naïve high-risk patients. In October 2024, we initiated CORE-008 Cohort A, a Phase 2 clinical trial in high-risk NMIBC patients who are naïve to BCG treatment, including patients with CIS and with or without papillary disease and patients with only papillary disease. Based on internal research derived from NIH SEER database, secondary claims data analytics and management assumptions, the BCG-naïve high-risk NMIBC segment may represent up to 25,000 addressable patients. In March 2025, we expanded CORE-008 evaluating cretostimogene monotherapy in the BCG-exposed high-risk population (Cohort B). In addition, in April 2025, we initiated a third Cohort (Cohort CX), evaluating cretostimogene in combination with gemcitabine in both the BCG-exposed high-risk and BCG-unresponsive population. Notably, cretostimogene’s potential for combination with other therapies was assessed in a Phase 2 CORE-001 clinical trial evaluating cretostimogene in combination with the checkpoint inhibitor (CPI) pembrolizumab in BCG-unresponsive NMIBC patients. In May 2026, first results from CORE-008 Cohort CX data were presented at the Society of Urologic Oncology (SUO) session at the American Urological Association (AUA) 2026 Annual Meeting. As of the March 13, 2026 cut off, the data included a favorable safety and tolerability profile and an overall high-grade event-free survival (HG-EFS) of 96.0% at 3 months and 89.5% at 6 months, with a median follow-up of 6.6 months, in the overall intent-to-treat (ITT) population. There were no statistically significant differences in HG-EFS across concurrent and sequential treatment arms. High CR rates at any time were observed in the CIS-containing population with 85.7% and 92.3% in the ITT and Efficacy Evaluable population, respectively. Based on internal research derived from NIH SEER database, secondary claims data analytics and management assumptions, the BCG-exposed high-risk NMIBC segment may represent up to 50,000 addressable patients.</w:t>
      </w:r>
    </w:p>
    <w:p>
      <w:pPr>
        <w:spacing w:after="0" w:line="88"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Since our inception in 2010, we have focused substantially all of our resources on organizing and staffing our company, business planning, raising capital, establishing and maintaining our intellectual property portfolio, conducting research, preclinical studies, and clinical trials, establishing arrangements with third parties for the manufacture of cretostimogene, and providing general and administrative support for these operations. We do not have any products approved for sale and have not generated any revenue from product sales.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from operations since our inception. Our net losses were $196.1 million and $119.7 million for the nine months ended September 30, 2026 and 2025, respectively. As of September 30, 2026, we had an accumulated deficit of $575.1 million. Substantially all of our net losses have resulted from costs incurred in connection with our research and development programs and, to a lesser extent, from general and administrative costs associated with our operations. We expect to continue to incur significant expenses and operating losses in the foreseeable future, and we anticipate these losses will increase substantially as we continue our development of, seek regulatory approval for, and potentially commercialize cretostimogene and potentially seek to discover and develop additional product candidates, utilize third parties to manufacture cretostimogene, hire additional personnel, expand and protect our intellectual property, and incur additional costs associated with being a public company. If we obtain regulatory approval for cretostimogene, we expect to incur significant expenses related to developing our commercialization capability to support product sales, marketing and distribution. 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do not become profitable or are unable to sustain profitability on a continuing basis, then we may be unable to continue our operations at planned levels and may be forced to reduce or terminate our operations.</w:t>
      </w:r>
    </w:p>
    <w:p>
      <w:pPr>
        <w:spacing w:after="0" w:line="79"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To date, we have primarily funded our operations with proceeds from the sale of shares of our common stock through public offerings and our redeemable convertible preferred stock, as well as through previously outstanding term debt.</w:t>
      </w:r>
    </w:p>
    <w:p>
      <w:pPr>
        <w:spacing w:after="0" w:line="54"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231F20"/>
        </w:rPr>
        <w:t>T</w:t>
      </w:r>
      <w:r>
        <w:rPr>
          <w:rFonts w:ascii="Times New Roman" w:cs="Times New Roman" w:eastAsia="Times New Roman" w:hAnsi="Times New Roman"/>
          <w:sz w:val="18"/>
          <w:szCs w:val="18"/>
          <w:color w:val="000000"/>
        </w:rPr>
        <w:t>hrough September 30, 2026, we have received aggregate gross proceeds of approximately $1,532.9 million from the sale of shares of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common stock from our initial public offering, our follow-on offering in December 2024, and our at-the-market facility, and sales of redeemable convertible preferred stock. In addition, through September 30, 2026, we have recognized $26.9 million in license and collaboration revenue pursuant to our license and collaboration agreements. As of September 30, 2026, we had cash, cash equivalents and marketable securities of $984.5 million. Our ability to generate any product revenue and, in particular, our ability to generate product revenue sufficient to achieve profitability, will depend on the successful development and eventual commercialization of cretostimogene and any future product candidates.</w:t>
      </w:r>
    </w:p>
    <w:p>
      <w:pPr>
        <w:spacing w:after="0" w:line="79"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231F20"/>
        </w:rPr>
        <w:t xml:space="preserve">In February 2025, the Company's wholly owned subsidiary, SafeGuard Healthcare, LLC (SafeGuard), </w:t>
      </w:r>
      <w:r>
        <w:rPr>
          <w:rFonts w:ascii="Times New Roman" w:cs="Times New Roman" w:eastAsia="Times New Roman" w:hAnsi="Times New Roman"/>
          <w:sz w:val="18"/>
          <w:szCs w:val="18"/>
          <w:color w:val="000000"/>
        </w:rPr>
        <w:t>purchased a $26.8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convertible note, including accrued interest, from SP Healthcare SPV I, LLC (the SPV). The SPV used the proceeds from the Note to invest and acquire substantially all of the assets of Biovire, Inc. (Biovire), a contract manufacturing organization that produces cretostimogene for </w:t>
      </w:r>
      <w:r>
        <w:rPr>
          <w:rFonts w:ascii="Times New Roman" w:cs="Times New Roman" w:eastAsia="Times New Roman" w:hAnsi="Times New Roman"/>
          <w:sz w:val="18"/>
          <w:szCs w:val="18"/>
          <w:color w:val="231F20"/>
        </w:rPr>
        <w:t>the Company. In July 2025,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SafeGuard converted the Note (the Conversion Event) and obtained control of both the SPV and Biovire. As a result of this change in control, the operations of Biovire were consolidated as of the effective date of the conversion.</w:t>
      </w:r>
    </w:p>
    <w:p>
      <w:pPr>
        <w:spacing w:after="0" w:line="75"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231F20"/>
        </w:rPr>
        <w:t xml:space="preserve">We believe, based on our current operating plan, that our existing cash, cash equivalents and marketable securities, will be sufficient to fund our operations for at least the next twelve months from the date of this Quarterly Report. </w:t>
      </w:r>
      <w:r>
        <w:rPr>
          <w:rFonts w:ascii="Times New Roman" w:cs="Times New Roman" w:eastAsia="Times New Roman" w:hAnsi="Times New Roman"/>
          <w:sz w:val="18"/>
          <w:szCs w:val="18"/>
          <w:color w:val="000000"/>
        </w:rPr>
        <w:t>However, we have based this estimate on assumptions that may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prove to be wrong, and our operating plan may change as a result of many factors currently unknown </w:t>
      </w:r>
      <w:r>
        <w:rPr>
          <w:rFonts w:ascii="Times New Roman" w:cs="Times New Roman" w:eastAsia="Times New Roman" w:hAnsi="Times New Roman"/>
          <w:sz w:val="18"/>
          <w:szCs w:val="18"/>
          <w:color w:val="231F20"/>
        </w:rPr>
        <w:t>to us. In addition, we could utilize our available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capital resources sooner than we expect.</w:t>
      </w:r>
    </w:p>
    <w:p>
      <w:pPr>
        <w:spacing w:after="0" w:line="72" w:lineRule="exact"/>
        <w:rPr>
          <w:sz w:val="20"/>
          <w:szCs w:val="20"/>
          <w:color w:val="auto"/>
        </w:rPr>
      </w:pPr>
    </w:p>
    <w:p>
      <w:pPr>
        <w:jc w:val="both"/>
        <w:ind w:firstLine="1134"/>
        <w:spacing w:after="0" w:line="246" w:lineRule="auto"/>
        <w:rPr>
          <w:sz w:val="20"/>
          <w:szCs w:val="20"/>
          <w:color w:val="auto"/>
        </w:rPr>
      </w:pPr>
      <w:r>
        <w:rPr>
          <w:rFonts w:ascii="Times New Roman" w:cs="Times New Roman" w:eastAsia="Times New Roman" w:hAnsi="Times New Roman"/>
          <w:sz w:val="18"/>
          <w:szCs w:val="18"/>
          <w:color w:val="auto"/>
        </w:rPr>
        <w:t>We will not generate revenue from product sales of cretostimogene or any future product candidates unless and until we successfully complete clinical development and obtain regulatory approval, which we expect will take a number of years and may never occur. As a result, we will need substantial additional funding to support our continuing operations and pursue our growth strategy. Until such time as we can generate significant revenue from product sales, if ever, we expect to finance our operations through equity offerings, debt financings, or other capital sources, including current or potential future collaborations, licenses, and other similar arrangements. For example, we may seek to raise additional capital through our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(Jefferies Sales Agreement) with Jefferies LLC, pursuant to which we may issue and sell up to an additional $500.0 million shares of our common stock. However, we may be unable to raise additional funds or enter into such other agreements or arrangements when needed on favorable terms, or at all. If we fail to raise capital or enter into such agreements or arrangements as, and when needed, we may delay, limit, reduce or terminate our product development or future commercialization efforts or grant rights to develop and market product candidates that we would otherwise prefer to develop and market ourselves, or even cease operations.</w:t>
      </w:r>
    </w:p>
    <w:p>
      <w:pPr>
        <w:spacing w:after="0" w:line="8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231F20"/>
        </w:rPr>
        <w:t>Other than Biovire, which manufactures and conducts release testing of our cretostimogene drug product, we do not own or operate any manufacturing facilities. We rely, and expect to continue to rely, on Biovire and third parties for the manufacture of cretostimogene for clinical testing, as well as for commercial manufacture if we obtain marketing approval. In addition, we rely on third parties to package, label, store, and distribute cretostimogene, and we intend to rely on third parties for our commercial products if marketing approval is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Below is a summary of the key terms for certain of our license and collaboration agreements. For a more detailed description of these agreements, see the section titled “Business—License and Collaboration Agreements” in our 2025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Lepu License Agreement</w:t>
      </w:r>
    </w:p>
    <w:p>
      <w:pPr>
        <w:spacing w:after="0" w:line="121" w:lineRule="exact"/>
        <w:rPr>
          <w:sz w:val="20"/>
          <w:szCs w:val="20"/>
          <w:color w:val="auto"/>
        </w:rPr>
      </w:pPr>
    </w:p>
    <w:p>
      <w:pPr>
        <w:jc w:val="both"/>
        <w:ind w:firstLine="1134"/>
        <w:spacing w:after="0" w:line="256" w:lineRule="auto"/>
        <w:rPr>
          <w:sz w:val="20"/>
          <w:szCs w:val="20"/>
          <w:color w:val="auto"/>
        </w:rPr>
      </w:pPr>
      <w:r>
        <w:rPr>
          <w:rFonts w:ascii="Times New Roman" w:cs="Times New Roman" w:eastAsia="Times New Roman" w:hAnsi="Times New Roman"/>
          <w:sz w:val="18"/>
          <w:szCs w:val="18"/>
          <w:color w:val="auto"/>
        </w:rPr>
        <w:t>In March 2019, we entered into a development and license agreement (the Lepu License Agreement) with Lepu Biotech Co., Ltd. (Lepu), under which we granted an exclusive license to Lepu to develop, manufacture and commercialize cretostimogene and/or DDM to treat and/or prevent cancer in the Lepu Territory. Lepu paid to us a one-time upfront payment of $4.5 million and is obligated to make regulatory milestone payments of up to $2.5 million and commercial milestone payments of up to $57.5 million. We are entitled to receive a high single-digit royalty on net sales of cretostimogene and/or DDM sold in the Lepu Territory, subject to a specified reduction. During the three and nine months ended September 30, 2026 and 2025, we did not recognize any license and collaboration revenue related to the Lepu License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License Agreement</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In March 2020, and as amended September 2022, we entered into a license and collaboration agreement (the Kissei License Agreement) with Kissei Pharmaceutical Co., Ltd. (Kissei), under which we granted to Kissei an exclusive license to certain intellectual property rights in Bangladesh, Bhutan, Brunei, Cambodia, India, Indonesia, Japan, South Korea, Laos, Malaysia, Myanmar, Nepal, Pakistan, Palau, Philippines, Singapore, Sri Lanka, Taiwan, Thailand and Vietnam (the Kissei Territory), for Kissei to develop and commercialize, but not manufacture, cretostimogene in combination with DDM (the Licensed Product) for all uses in oncology. Kissei paid to us a one-time upfront payment of $10.0 million under the agreement. Kissei is obligated to pay development milestone payments of up to $33.0 million and commercial milestone payments of up to $67.0 million. We have also agreed to pay Kissei a royalty on net sales of Licensed Product outside the Kissei Territory and outside the Lepu Territory, including on any U.S. sales, in a low-single digit percentage, subject to certain capped reductions. We are entitled to receive a royalty on net sales of Licensed Product in the Kissei Territory in the mid-twenties percentage, subject to certain capped reductions and offset rights. We are obligated to supply and Kissei will exclusively purchase its clinical and commercial requirements of Licensed Product from us. During the three and nine months ended September 30, 2026, we recognized zero and less than $0.1 million in license and collaboration revenue related to the Kissei License Agreement, respectively, and we recognized $0.2 million in license and collaboration revenue related to the Kissei License Agreement during each of the three and nine months ended September 30, 2025.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Through September 30, 2026, we have recognized $26.9 million in license and collaboration revenue through our license and collaboration agreements. We have not generated any revenue from the sale of our cretostimogene products, however, and do not expect to generate any revenue from the sale of our cretostimogene products in the foreseeable future, if at all. If our or our collaborators’ development efforts for cretostimogene and any future product candidates are successful and result in regulatory approval, we may generate revenue in the future from product sales, payments from existing or potential future collaboration or license agreements with third parties, or any combination thereof.</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Development Revenue</w:t>
      </w:r>
    </w:p>
    <w:p>
      <w:pPr>
        <w:spacing w:after="0" w:line="11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In connection with the Conversion Event, we obtained control of the SPV and its subsidiary, Biovire, a contract manufacturer specializing in the fill and finish of novel drugs and medical devices for pharmaceutical and biotech companies. Our commercial and development revenue consists of Biovire's fill and finish of novel drugs and medical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operating costs and expenses consist of (i) cost of sales, (ii) research and development expenses and (iii) general and administrative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Cost of sales reflects the direct cost of labor and other overhead, which includes direct manufacturing, production, and packaging materials for commercial and development product sales.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 primarily of external and internal costs incurred in performing clinical and preclinical development activities.</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Our R&amp;D expenses consist of:</w:t>
      </w:r>
    </w:p>
    <w:p>
      <w:pPr>
        <w:spacing w:after="0" w:line="117" w:lineRule="exact"/>
        <w:rPr>
          <w:sz w:val="20"/>
          <w:szCs w:val="20"/>
          <w:color w:val="auto"/>
        </w:rPr>
      </w:pPr>
    </w:p>
    <w:p>
      <w:pPr>
        <w:ind w:left="1800" w:right="20" w:hanging="658"/>
        <w:spacing w:after="0" w:line="282" w:lineRule="auto"/>
        <w:tabs>
          <w:tab w:leader="none" w:pos="1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incurred under agreements with contract research organizations (CROs), contract manufacturers, consultants and other third parties to conduct and support our clinical trials and preclinical studies; and</w:t>
      </w:r>
    </w:p>
    <w:p>
      <w:pPr>
        <w:spacing w:after="0" w:line="53" w:lineRule="exact"/>
        <w:rPr>
          <w:rFonts w:ascii="Times New Roman" w:cs="Times New Roman" w:eastAsia="Times New Roman" w:hAnsi="Times New Roman"/>
          <w:sz w:val="18"/>
          <w:szCs w:val="18"/>
          <w:color w:val="auto"/>
        </w:rPr>
      </w:pPr>
    </w:p>
    <w:p>
      <w:pPr>
        <w:ind w:left="1800" w:hanging="658"/>
        <w:spacing w:after="0" w:line="282" w:lineRule="auto"/>
        <w:tabs>
          <w:tab w:leader="none" w:pos="1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 R&amp;D personnel-related expenses such as salaries, stock-based compensation and benefits, as well as allocated facilities costs and dues and subscriptions.</w:t>
      </w:r>
    </w:p>
    <w:p>
      <w:pPr>
        <w:spacing w:after="0" w:line="54"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We expense R&amp;D costs as incurred. We currently only have one product candidate, cretostimogene. Therefore, since our inception, substantially all of our R&amp;D costs were related to the development of cretostimogene. We track R&amp;D expenses on an aggregate basis and not on an indication-by-indication or treatment setting-by-treatment setting basis.</w:t>
      </w:r>
    </w:p>
    <w:p>
      <w:pPr>
        <w:spacing w:after="0" w:line="176"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Although R&amp;D activities are central to our business model, the successful development of cretostimogene and any future product candidates is highly uncertain. There are numerous factors associated with the successful development of any product candidate such as cretostimogene,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clinical development generally have higher development costs than those in earlier stages of clinical development, primarily due to the increased size and duration of later-stage clinical trials. As a result, we expect our R&amp;D expenses will increase substantially in connection with our ongoing and planned clinical and preclinical development activities in the near term and in the future. At this time, we cannot accurately estimate or know the nature, timing and costs of the efforts that will be necessary to complete the preclinical and clinical development of cretostimogene and any future product candidates. Our future R&amp;D expenses may vary significantly based on a wide variety of factors such as:</w:t>
      </w:r>
    </w:p>
    <w:p>
      <w:pPr>
        <w:spacing w:after="0" w:line="80" w:lineRule="exact"/>
        <w:rPr>
          <w:sz w:val="20"/>
          <w:szCs w:val="20"/>
          <w:color w:val="auto"/>
        </w:rPr>
      </w:pPr>
    </w:p>
    <w:p>
      <w:pPr>
        <w:jc w:val="both"/>
        <w:ind w:left="1800" w:hanging="658"/>
        <w:spacing w:after="0" w:line="266" w:lineRule="auto"/>
        <w:tabs>
          <w:tab w:leader="none" w:pos="1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clinical trials and preclinical studies of cretostimogene and any future product candidates we may choose to pursue, including any modifications to clinical development plans based on feedback that we may receive from regulatory authorities;</w:t>
      </w:r>
    </w:p>
    <w:p>
      <w:pPr>
        <w:spacing w:after="0" w:line="6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80" w:hanging="638"/>
        <w:spacing w:after="0"/>
        <w:tabs>
          <w:tab w:leader="none" w:pos="1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cretostimogene and any future product candidates;</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changes in government regulation and regulatory guidance;</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cretostimogene and any future product candidates;</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11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cretostimogene or any future product candidates could significantly change the costs and timing associated with the development of that product candidate. We may never succeed in obtaining regulatory approval for any product candidate.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such as salaries, stock-based compensation and benefits, for our personnel in executive, legal, finance and accounting, human resources and other administrative functions. General and administrative expenses also include legal fees relating to patent and corporate matters and professional fees paid for accounting, auditing, consulting and tax services, as well as allocated facilities costs not otherwise included in R&amp;D expenses and other costs such as insurance costs and travel expenses.</w:t>
      </w:r>
    </w:p>
    <w:p>
      <w:pPr>
        <w:spacing w:after="0" w:line="180"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R&amp;D activities and preparing for potential commercialization of cretostimogene. We also anticipate we will incur increased accounting, audit, legal, regulatory, compliance, director and officer insurance, and investor and public relations expenses associated with operating as a public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interest income related to interest earned on our invested cash equivalents and marketable securities balances. It also includes other miscellaneous items, such as interest expense and other items not related to our core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2026 and 2025</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2026 and 2025 (in thousands):</w:t>
      </w:r>
    </w:p>
    <w:p>
      <w:pPr>
        <w:spacing w:after="0" w:line="273"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Commercial and development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37"/>
        </w:trPr>
        <w:tc>
          <w:tcPr>
            <w:tcW w:w="5180" w:type="dxa"/>
            <w:vAlign w:val="bottom"/>
            <w:tcBorders>
              <w:top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43"/>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1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64,853</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1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0" w:type="dxa"/>
            <w:vAlign w:val="bottom"/>
          </w:tcPr>
          <w:p>
            <w:pPr>
              <w:spacing w:after="0"/>
              <w:rPr>
                <w:sz w:val="1"/>
                <w:szCs w:val="1"/>
                <w:color w:val="auto"/>
              </w:rPr>
            </w:pPr>
          </w:p>
        </w:tc>
      </w:tr>
      <w:tr>
        <w:trPr>
          <w:trHeight w:val="23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(63,249)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(51,129)</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51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6,358</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Development Revenue</w:t>
      </w:r>
    </w:p>
    <w:p>
      <w:pPr>
        <w:spacing w:after="0" w:line="11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Commercial and development revenue was $1.6 million for the three months ended September 30, 2026 compared to $1.5 million for the three months ended September 30, 2025. The increase of $0.1 million was primarily due to an increase in commercial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License and collaboration revenue was zero for the three months ended September 30, 2026 compared to $0.2 million the three months ended September 30, 2025. All revenue recognized was related to the Kissei License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Cost of sales was $2.7 million for the three months ended September 30, 2026 compared to $1.6 million for the three months ended September 30, 2025. The $1.1 million increase was primarily due to an increase in labor costs.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three months ended September 30, 2026 and 2025 (in thousands):</w:t>
      </w:r>
    </w:p>
    <w:p>
      <w:pPr>
        <w:spacing w:after="0" w:line="232"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1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23,793</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8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7"/>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-668020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-668020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R&amp;D expenses were $39.2 million for the three months ended September 30, 2026 compared to $27.9 million for the three months ended September 30, 2025. The increase of $11.3 million in R&amp;D expenses for the three months ended September 30, 2026 was primarily due to an increase of $6.3 million in external clinical trial expenses related to higher Chemistry, Manufacturing, and Controls (CMC) costs, as well as an increase of $5.1 million in compensation costs due to increased headcount, including a $0.9 million increase in stock-based compensation, partially offset by a decrease in other research and development costs of $0.1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September 30, 2026 and 2025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254"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1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37"/>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-668020</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-668020</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$23.0 million for the three months September 30, 2026 compared to $23.3 million for the three months ended September 30, 2025. The decrease of $0.4 million in general and administrative expenses for the three months ended September 30, 2026 was primarily due to a decrease in professional and consultant fees of $3.8 million, partially offset by an increase in other general fees of $2.0 million and an increase in compensation costs of $1.4 million due to increased headcount, including a $0.3 million increase in stock-based compensation.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Other income (expense), net, was an other income of $6.4 million for the three months ended September 30, 2026 compared to an other income of $7.3 million for the three months ended September 30, 2025. The decrease in other income was primarily due to a decrease in interest income earned related to cash equivalents and marketable securities balances.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2026 and 2025</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2026 and 2025 (in thousands):</w:t>
      </w:r>
    </w:p>
    <w:p>
      <w:pPr>
        <w:spacing w:after="0" w:line="273"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and development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84"/>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License and collaboration revenue</w:t>
            </w: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83"/>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4"/>
                <w:szCs w:val="24"/>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137,608</w:t>
            </w:r>
          </w:p>
        </w:tc>
        <w:tc>
          <w:tcPr>
            <w:tcW w:w="1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86,683</w:t>
            </w: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50,925</w:t>
            </w:r>
          </w:p>
        </w:tc>
        <w:tc>
          <w:tcPr>
            <w:tcW w:w="0" w:type="dxa"/>
            <w:vAlign w:val="bottom"/>
          </w:tcPr>
          <w:p>
            <w:pPr>
              <w:spacing w:after="0"/>
              <w:rPr>
                <w:sz w:val="1"/>
                <w:szCs w:val="1"/>
                <w:color w:val="auto"/>
              </w:rPr>
            </w:pPr>
          </w:p>
        </w:tc>
      </w:tr>
      <w:tr>
        <w:trPr>
          <w:trHeight w:val="283"/>
        </w:trPr>
        <w:tc>
          <w:tcPr>
            <w:tcW w:w="51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72,719</w:t>
            </w:r>
          </w:p>
        </w:tc>
        <w:tc>
          <w:tcPr>
            <w:tcW w:w="10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55,532</w:t>
            </w: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17,187</w:t>
            </w:r>
          </w:p>
        </w:tc>
        <w:tc>
          <w:tcPr>
            <w:tcW w:w="0" w:type="dxa"/>
            <w:vAlign w:val="bottom"/>
          </w:tcPr>
          <w:p>
            <w:pPr>
              <w:spacing w:after="0"/>
              <w:rPr>
                <w:sz w:val="1"/>
                <w:szCs w:val="1"/>
                <w:color w:val="auto"/>
              </w:rPr>
            </w:pPr>
          </w:p>
        </w:tc>
      </w:tr>
      <w:tr>
        <w:trPr>
          <w:trHeight w:val="264"/>
        </w:trPr>
        <w:tc>
          <w:tcPr>
            <w:tcW w:w="51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219,883</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143,792</w:t>
            </w:r>
          </w:p>
        </w:tc>
        <w:tc>
          <w:tcPr>
            <w:tcW w:w="100" w:type="dxa"/>
            <w:vAlign w:val="bottom"/>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76,091</w:t>
            </w:r>
          </w:p>
        </w:tc>
        <w:tc>
          <w:tcPr>
            <w:tcW w:w="0" w:type="dxa"/>
            <w:vAlign w:val="bottom"/>
          </w:tcPr>
          <w:p>
            <w:pPr>
              <w:spacing w:after="0"/>
              <w:rPr>
                <w:sz w:val="1"/>
                <w:szCs w:val="1"/>
                <w:color w:val="auto"/>
              </w:rPr>
            </w:pP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(73,965)</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83"/>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63"/>
        </w:trPr>
        <w:tc>
          <w:tcPr>
            <w:tcW w:w="516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19,890</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22,388</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62"/>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(196,149)</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(119,686)</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(76,463)</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Development Revenue</w:t>
      </w:r>
    </w:p>
    <w:p>
      <w:pPr>
        <w:spacing w:after="0" w:line="11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Commercial and development revenue was $3.8 million for the nine months ended September 30, 2026 compared to $1.5 million for the nine months ended September 30, 2025. As the Conversion Event occurred in July 2025, the $2.3 million increase was primarily due to the full nine months of revenue in the current period as opposed to less than three months of revenue in the prior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Collaboration Revenue</w:t>
      </w:r>
    </w:p>
    <w:p>
      <w:pPr>
        <w:spacing w:after="0" w:line="119"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License and collaboration revenue was less than $0.1 million for the nine months ended September 30, 2026 compared to $0.2 million for the nine months ended September 30, 2025. All revenue recognized during both periods was related to the Kissei License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Cost of sales was $9.6 million for the nine months ended September 30, 2026 compared to $1.6 million for the nine months ended September 30, 2025. As the Conversion Event occurred in July 2025, the $8.0 million increase was primarily due to the full nine months of activity in the current period as opposed to less than three months of activity in the prior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our R&amp;D expenses for the nine months ended September 30, 2026 and 2025 (in thousands):</w:t>
      </w:r>
    </w:p>
    <w:p>
      <w:pPr>
        <w:spacing w:after="0" w:line="273"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clinical trial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99,173</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57,060</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42,113</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2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36"/>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137,608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50,925</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-668020</wp:posOffset>
            </wp:positionV>
            <wp:extent cx="596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-668020</wp:posOffset>
            </wp:positionV>
            <wp:extent cx="60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R&amp;D expenses were $137.6 million for the nine months ended September 30, 2026 compared to $86.7 million for the nine months ended September 30, 2025. The increase of $50.9 million in R&amp;D expenses for the nine months ended September 30, 2026 was primarily due to an increase of $42.1 million in external clinical trial expenses related to higher CMC costs, as well as an increase of $9.9 million in compensation costs due to increased headcount, including a $2.5 million increase in stock-based compensation, partially offset by a decrease in other research and development costs of $1.1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nine months ended September 30, 2026 and 2025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254"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1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43,784</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14,753</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0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0" w:type="dxa"/>
            <w:vAlign w:val="bottom"/>
          </w:tcPr>
          <w:p>
            <w:pPr>
              <w:spacing w:after="0"/>
              <w:rPr>
                <w:sz w:val="1"/>
                <w:szCs w:val="1"/>
                <w:color w:val="auto"/>
              </w:rPr>
            </w:pPr>
          </w:p>
        </w:tc>
      </w:tr>
      <w:tr>
        <w:trPr>
          <w:trHeight w:val="237"/>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-668020</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-668020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72"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$72.7 million for the nine months ended September 30, 2026 compared to $55.5 million for the nine months ended September 30, 2025. The increase of $17.2 million in general and administrative expenses for the nine months ended September 30, 2026 was primarily due to an increase in compensation costs of $15.0 million due to increased headcount, including a $7.2 million increase in stock-based compensation, and an increase in other general fees and costs of $5.6 million, partially offset by a decrease in professional and consultant fees of $3.5 million.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Other income (expense), net, for the nine months ended September 30, 2026 was an other income, net of $19.9 million compared to $22.4 million for the nine months ended September 30, 2025. The $2.5 million decrease was primarily due to a decrease in interest income earned related to cash equivalents and marketable securities balances, as well as increase in interest expense in the current period related to debt acquired through SPV and Biovire.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of cretostimogene and have incurred significant operating losses and negative cash flows from operations. We expect to incur significant expenses and operating losses in the foreseeable future as we advance the clinical development of cretostimogene and any future product candidates. To date, we have primarily funded our operations with proceeds from the sale of shares of our common stock through public offerings and our redeemable convertible preferred stock, as well as through previously outstanding term debt. Through September 30, 2026, we have received aggregate gross proceeds of $1,532.9 million from the sale of shares of our common stock through our public offerings and our redeemable convertible preferred stock. In addition, through September 30, 2026, we have recognized $26.9 million in license and collaboration revenue through our license and collaboration agreements. As of September 30, 2026, we had cash, cash equivalents and marketable securities of $984.5 million.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337" w:lineRule="exact"/>
        <w:rPr>
          <w:sz w:val="20"/>
          <w:szCs w:val="20"/>
          <w:color w:val="auto"/>
        </w:rPr>
      </w:pPr>
    </w:p>
    <w:p>
      <w:pPr>
        <w:jc w:val="both"/>
        <w:ind w:firstLine="1134"/>
        <w:spacing w:after="0" w:line="254" w:lineRule="auto"/>
        <w:rPr>
          <w:sz w:val="20"/>
          <w:szCs w:val="20"/>
          <w:color w:val="auto"/>
        </w:rPr>
      </w:pPr>
      <w:r>
        <w:rPr>
          <w:rFonts w:ascii="Times New Roman" w:cs="Times New Roman" w:eastAsia="Times New Roman" w:hAnsi="Times New Roman"/>
          <w:sz w:val="18"/>
          <w:szCs w:val="18"/>
          <w:color w:val="auto"/>
        </w:rPr>
        <w:t xml:space="preserve">On March 28, 2025, we entered into the Jefferies Sales Agreement with Jefferies LLC, as agent, pursuant to which we may offer and sell, from time to time through Jefferies, shares of our common stock. On the same day, we filed a shelf registration statement on Form S-3ASR with the SEC, which contains a base prospectus, covering an unlimited amount of our common stock, preferred stock, debt securities and warrants to purchase any of such securities, and a sales agreement prospectus, which we subsequently amended on January 13, 2026 and on August 6, 2026, covering the offering, issuance and sale of up to a maximum aggregate offering of $1.05 billion of our common stock that may be issued and sold from time to time under the Jefferies Sales Agreement.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September 30, 2026</w:t>
      </w:r>
      <w:r>
        <w:rPr>
          <w:rFonts w:ascii="Times New Roman" w:cs="Times New Roman" w:eastAsia="Times New Roman" w:hAnsi="Times New Roman"/>
          <w:sz w:val="18"/>
          <w:szCs w:val="18"/>
          <w:color w:val="231F20"/>
        </w:rPr>
        <w:t>, we have received gross proceeds of $550.0 million and net aggregate proceeds of $538.5 million under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Jefferies Sales Agreement, after deducting discounts and commissions and other offering expenses. </w:t>
      </w:r>
      <w:r>
        <w:rPr>
          <w:rFonts w:ascii="Times New Roman" w:cs="Times New Roman" w:eastAsia="Times New Roman" w:hAnsi="Times New Roman"/>
          <w:sz w:val="18"/>
          <w:szCs w:val="18"/>
          <w:color w:val="000000"/>
        </w:rPr>
        <w:t>During the nine months ended September 30, 2026,</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6,941,407 shares were sold under the Jefferies Sales Agreement, at a weighted-average price of $57.56 per share, and the Company received net proceeds of $391.4 million, after deducting discounts and commissions and other offering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33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231F20"/>
        </w:rPr>
        <w:t>Inflation could affect us by increasing our cost of labor and R&amp;D costs. We do not believe inflation has had a material effect on our business, financial condition or results of operations, or on our unaudited condensed consolidated financial statements included elsewhere in this Quarterly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1134"/>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continue our development of, seek regulatory approval for, and potentially commercialize cretostimogene and potentially seek to discover and develop additional product candidates, conduct our ongoing and planned clinical trials and preclinical studies, continue our R&amp;D activities, utilize third parties to manufacture cretostimogene, hire additional personnel, engage in potential strategic transactions, expand and protect our intellectual property, and incur additional costs associated with being a public company.</w:t>
      </w:r>
    </w:p>
    <w:p>
      <w:pPr>
        <w:spacing w:after="0" w:line="183"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outstanding accounts payable, accrued expenses, and prepaid expenses. The timing and amount of our funding requirements will depend on many factors, including:</w:t>
      </w:r>
    </w:p>
    <w:p>
      <w:pPr>
        <w:spacing w:after="0" w:line="68" w:lineRule="exact"/>
        <w:rPr>
          <w:sz w:val="20"/>
          <w:szCs w:val="20"/>
          <w:color w:val="auto"/>
        </w:rPr>
      </w:pPr>
    </w:p>
    <w:p>
      <w:pPr>
        <w:jc w:val="both"/>
        <w:ind w:left="1800" w:hanging="658"/>
        <w:spacing w:after="0" w:line="261" w:lineRule="auto"/>
        <w:tabs>
          <w:tab w:leader="none" w:pos="1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progress, expansions, results, costs and timing of clinical trials and preclinical studies of cretostimogene and any future product candidates we may choose to pursue, including the costs of modification to clinical development plans based on feedback that we may receive from regulatory authorities and any third-party products used as combination agents in our clinical trials;</w:t>
      </w:r>
    </w:p>
    <w:p>
      <w:pPr>
        <w:spacing w:after="0" w:line="71" w:lineRule="exact"/>
        <w:rPr>
          <w:rFonts w:ascii="Times New Roman" w:cs="Times New Roman" w:eastAsia="Times New Roman" w:hAnsi="Times New Roman"/>
          <w:sz w:val="18"/>
          <w:szCs w:val="18"/>
          <w:color w:val="auto"/>
        </w:rPr>
      </w:pPr>
    </w:p>
    <w:p>
      <w:pPr>
        <w:jc w:val="both"/>
        <w:ind w:left="1800" w:hanging="658"/>
        <w:spacing w:after="0" w:line="266" w:lineRule="auto"/>
        <w:tabs>
          <w:tab w:leader="none" w:pos="1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meetings and reviews of cretostimogene or any future product candidates, including requirements of regulatory authorities in any additional jurisdictions in which we may seek approval for cretostimogene and any future product candidates;</w:t>
      </w:r>
    </w:p>
    <w:p>
      <w:pPr>
        <w:spacing w:after="0" w:line="6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enforcing and protecting our patents and other intellectual property and proprietary rights;</w:t>
      </w:r>
    </w:p>
    <w:p>
      <w:pPr>
        <w:spacing w:after="0" w:line="117" w:lineRule="exact"/>
        <w:rPr>
          <w:rFonts w:ascii="Times New Roman" w:cs="Times New Roman" w:eastAsia="Times New Roman" w:hAnsi="Times New Roman"/>
          <w:sz w:val="18"/>
          <w:szCs w:val="18"/>
          <w:color w:val="auto"/>
        </w:rPr>
      </w:pPr>
    </w:p>
    <w:p>
      <w:pPr>
        <w:ind w:left="1800" w:hanging="658"/>
        <w:spacing w:after="0" w:line="282" w:lineRule="auto"/>
        <w:tabs>
          <w:tab w:leader="none" w:pos="1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 over financial reporting;</w:t>
      </w:r>
    </w:p>
    <w:p>
      <w:pPr>
        <w:spacing w:after="0" w:line="53" w:lineRule="exact"/>
        <w:rPr>
          <w:rFonts w:ascii="Times New Roman" w:cs="Times New Roman" w:eastAsia="Times New Roman" w:hAnsi="Times New Roman"/>
          <w:sz w:val="18"/>
          <w:szCs w:val="18"/>
          <w:color w:val="auto"/>
        </w:rPr>
      </w:pPr>
    </w:p>
    <w:p>
      <w:pPr>
        <w:ind w:left="1800" w:hanging="658"/>
        <w:spacing w:after="0" w:line="282" w:lineRule="auto"/>
        <w:tabs>
          <w:tab w:leader="none" w:pos="1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business grows, including additional executive officers and clinical development, regulatory, CMC quality and commercial personnel;</w:t>
      </w:r>
    </w:p>
    <w:p>
      <w:pPr>
        <w:spacing w:after="0" w:line="53" w:lineRule="exact"/>
        <w:rPr>
          <w:rFonts w:ascii="Times New Roman" w:cs="Times New Roman" w:eastAsia="Times New Roman" w:hAnsi="Times New Roman"/>
          <w:sz w:val="18"/>
          <w:szCs w:val="18"/>
          <w:color w:val="auto"/>
        </w:rPr>
      </w:pPr>
    </w:p>
    <w:p>
      <w:pPr>
        <w:ind w:left="1800" w:hanging="658"/>
        <w:spacing w:after="0" w:line="282" w:lineRule="auto"/>
        <w:tabs>
          <w:tab w:leader="none" w:pos="1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payment of milestone, royalty or other payments we must make pursuant to our existing and potential future license or collaboration agreements with third parties;</w:t>
      </w:r>
    </w:p>
    <w:p>
      <w:pPr>
        <w:spacing w:after="0" w:line="53" w:lineRule="exact"/>
        <w:rPr>
          <w:rFonts w:ascii="Times New Roman" w:cs="Times New Roman" w:eastAsia="Times New Roman" w:hAnsi="Times New Roman"/>
          <w:sz w:val="18"/>
          <w:szCs w:val="18"/>
          <w:color w:val="auto"/>
        </w:rPr>
      </w:pPr>
    </w:p>
    <w:p>
      <w:pPr>
        <w:ind w:left="1800" w:right="20" w:hanging="658"/>
        <w:spacing w:after="0" w:line="282" w:lineRule="auto"/>
        <w:tabs>
          <w:tab w:leader="none" w:pos="1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cretostimogene or any future product candidate is approved;</w:t>
      </w:r>
    </w:p>
    <w:p>
      <w:pPr>
        <w:spacing w:after="0" w:line="53" w:lineRule="exact"/>
        <w:rPr>
          <w:rFonts w:ascii="Times New Roman" w:cs="Times New Roman" w:eastAsia="Times New Roman" w:hAnsi="Times New Roman"/>
          <w:sz w:val="18"/>
          <w:szCs w:val="18"/>
          <w:color w:val="auto"/>
        </w:rPr>
      </w:pPr>
    </w:p>
    <w:p>
      <w:pPr>
        <w:ind w:left="1800" w:hanging="658"/>
        <w:spacing w:after="0" w:line="282" w:lineRule="auto"/>
        <w:tabs>
          <w:tab w:leader="none" w:pos="1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 party payors and adequate market share and revenue for any approved products;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0" w:right="20" w:hanging="658"/>
        <w:spacing w:after="0" w:line="282" w:lineRule="auto"/>
        <w:tabs>
          <w:tab w:leader="none" w:pos="17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strategic decision to develop future product candidates other than cretostimogene, and the timing of such development, if any;</w:t>
      </w:r>
    </w:p>
    <w:p>
      <w:pPr>
        <w:spacing w:after="0" w:line="53" w:lineRule="exact"/>
        <w:rPr>
          <w:rFonts w:ascii="Times New Roman" w:cs="Times New Roman" w:eastAsia="Times New Roman" w:hAnsi="Times New Roman"/>
          <w:sz w:val="18"/>
          <w:szCs w:val="18"/>
          <w:color w:val="auto"/>
        </w:rPr>
      </w:pPr>
    </w:p>
    <w:p>
      <w:pPr>
        <w:ind w:left="1800" w:hanging="658"/>
        <w:spacing w:after="0" w:line="282" w:lineRule="auto"/>
        <w:tabs>
          <w:tab w:leader="none" w:pos="17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for any approved products in the absence of coverage and/or adequate reimbursement from third-party payors;</w:t>
      </w:r>
    </w:p>
    <w:p>
      <w:pPr>
        <w:spacing w:after="0" w:line="53"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 and</w:t>
      </w:r>
    </w:p>
    <w:p>
      <w:pPr>
        <w:spacing w:after="0" w:line="117"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or businesses that we may in-license or acquire.</w:t>
      </w:r>
    </w:p>
    <w:p>
      <w:pPr>
        <w:spacing w:after="0" w:line="117"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cash equivalents and marketable securities, will be sufficient to fund our operations for at least the next twelve months from the date of this Quarterly Report. However, we have based this estimate on assumptions that may prove to be wrong, and our operating plan may change as a result of many factors currently unknown to us. In addition, we could utilize our available capital resources sooner than we expect.</w:t>
      </w:r>
    </w:p>
    <w:p>
      <w:pPr>
        <w:spacing w:after="0" w:line="180"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We have no other committed sources of capital. Until such time, if ever, we can generate substantial product revenue, we expect to finance our operations through equity offerings, debt financings, or other capital sources, including current or potential future collaborations, licenses, and other similar arrangements. However, we may be unable to raise additional funds or enter into such other arrangements when needed on favorable terms or at all. To the extent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or declaring dividends. If we raise additional funds through collaborations or license agreements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or even cease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there have been no material changes outside of the ordinary course of business in the composition to the material contractual obligations or commitments discussed in “Management’s Discussion and Analysis of Financial Condition and Results of Operations – Contractual Obligations and Other Commitments” included in the 2025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2026 and 2025 (in thousands):</w:t>
      </w:r>
    </w:p>
    <w:p>
      <w:pPr>
        <w:spacing w:after="0" w:line="273" w:lineRule="exact"/>
        <w:rPr>
          <w:sz w:val="20"/>
          <w:szCs w:val="20"/>
          <w:color w:val="auto"/>
        </w:rPr>
      </w:pPr>
    </w:p>
    <w:tbl>
      <w:tblPr>
        <w:tblLayout w:type="fixed"/>
        <w:tblInd w:w="242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28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(151,064)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(96,130)</w:t>
            </w: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(170,317)</w:t>
            </w:r>
          </w:p>
        </w:tc>
      </w:tr>
      <w:tr>
        <w:trPr>
          <w:trHeight w:val="24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405,203</w:t>
            </w:r>
          </w:p>
        </w:tc>
        <w:tc>
          <w:tcPr>
            <w:tcW w:w="10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54,524</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(211,923)</w:t>
            </w:r>
          </w:p>
        </w:tc>
      </w:tr>
      <w:tr>
        <w:trPr>
          <w:trHeight w:val="20"/>
        </w:trPr>
        <w:tc>
          <w:tcPr>
            <w:tcW w:w="3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operating activities used $151.1 million of cash, primarily resulting from our net loss of $196.1 million, as well as net cash used by changes in our operating assets and liabilities of $2.8 million, partially offset by non-cash stock-based compensation charges of $29.3 million and other non-cash operating adjustments of $13.0 million.</w:t>
      </w:r>
    </w:p>
    <w:p>
      <w:pPr>
        <w:spacing w:after="0" w:line="176" w:lineRule="exact"/>
        <w:rPr>
          <w:sz w:val="20"/>
          <w:szCs w:val="20"/>
          <w:color w:val="auto"/>
        </w:rPr>
      </w:pPr>
    </w:p>
    <w:p>
      <w:pPr>
        <w:jc w:val="both"/>
        <w:ind w:right="20" w:firstLine="113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operating activities used $96.1 million of cash, primarily resulting from our net loss of $119.7 million and accretion of the discount on short-term investments of $2.0 million, partially offset by $19.5 million of non-cash stock-based compensation charges and net cash used in changes in our operating assets and liabilities of $6.3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net cash used in investing activities was $258.4 million, primarily due to $905.9 million of purchases of marketable securities, partially offset by proceeds from sales and maturities of short-term investments.</w:t>
      </w:r>
    </w:p>
    <w:p>
      <w:pPr>
        <w:spacing w:after="0" w:line="162"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investing activities was $170.3 million, primarily due to purchases of marketable securities offset by proceeds from sales and maturities of short-term investments and the issuance of a note receivable through a convertible promissory note in the principal amount of $22.0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net cash provided by financing activities was $405.2 million, consisting primarily of proceeds of $391.4 million from the sale of our common stock pursuant to the Jefferies Sales Agreement, net of issuance costs, and net proceeds from exercise of options of $13.8 million.</w:t>
      </w:r>
    </w:p>
    <w:p>
      <w:pPr>
        <w:spacing w:after="0" w:line="176"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net cash provided by financing activities was $54.5 million, consisting primarily of proceeds of $48.7 million from the sale of our common stock pursuant to the Jefferies Sales Agreement, net of issuance costs and stock issuance costs, and net proceeds from exercise of options of $5.8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1134"/>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generally accepted accounting principles in the United States. The preparation of our unaudited condensed consolidated financial statements and related disclosures requires us to make estimates and judgments that affect the reported amounts of assets, liabilities, costs and expenses, and the disclosure of contingent assets and liabilities in our unaudited condensed consolidated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9"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described in “Management’s Discussion and Analysis of Financial Condition and Results of Operations – Critical Accounting Policies and Significant Judgments and Estimates” included in the 2025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right="20" w:firstLine="1134"/>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standards that may potentially impact our financial position, results of operations and cash flows is included in Note 2 to our unaudited condensed consolidated financial statements included elsewhere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1134"/>
        <w:spacing w:after="0" w:line="266" w:lineRule="auto"/>
        <w:rPr>
          <w:sz w:val="20"/>
          <w:szCs w:val="20"/>
          <w:color w:val="auto"/>
        </w:rPr>
      </w:pPr>
      <w:r>
        <w:rPr>
          <w:rFonts w:ascii="Times New Roman" w:cs="Times New Roman" w:eastAsia="Times New Roman" w:hAnsi="Times New Roman"/>
          <w:sz w:val="18"/>
          <w:szCs w:val="18"/>
          <w:color w:val="231F20"/>
        </w:rPr>
        <w:t>For the Company’s disclosures about market risk, please see “Part II, Item 7A, Quantitative and Qualitative Disclosures About Market Risk” in our 2025 Annual Report filed with the SEC. There have been no material changes to the Company’s disclosures about market risk in Part II—Item 7A of our 2025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113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conducted an evaluation of the effectiveness of the design and operation of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such date,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months ended September 30, 2026,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Controls</w:t>
      </w:r>
    </w:p>
    <w:p>
      <w:pPr>
        <w:spacing w:after="0" w:line="121" w:lineRule="exact"/>
        <w:rPr>
          <w:sz w:val="20"/>
          <w:szCs w:val="20"/>
          <w:color w:val="auto"/>
        </w:rPr>
      </w:pPr>
    </w:p>
    <w:p>
      <w:pPr>
        <w:jc w:val="both"/>
        <w:ind w:firstLine="1134"/>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Regardless of outcome, litigation can have an adverse impact on us because of defense and settlement costs, diversion of management resources, and other factors. Other than the below, there have been no material developments to the legal proceedings previously disclosed in Part II, Item 1, "Legal Proceedings" in our 2025 Annual Report.</w:t>
      </w:r>
    </w:p>
    <w:p>
      <w:pPr>
        <w:spacing w:after="0" w:line="284" w:lineRule="exact"/>
        <w:rPr>
          <w:sz w:val="20"/>
          <w:szCs w:val="20"/>
          <w:color w:val="auto"/>
        </w:rPr>
      </w:pPr>
    </w:p>
    <w:p>
      <w:pPr>
        <w:jc w:val="both"/>
        <w:ind w:firstLine="1134"/>
        <w:spacing w:after="0" w:line="252" w:lineRule="auto"/>
        <w:rPr>
          <w:sz w:val="20"/>
          <w:szCs w:val="20"/>
          <w:color w:val="auto"/>
        </w:rPr>
      </w:pPr>
      <w:r>
        <w:rPr>
          <w:rFonts w:ascii="Times New Roman" w:cs="Times New Roman" w:eastAsia="Times New Roman" w:hAnsi="Times New Roman"/>
          <w:sz w:val="18"/>
          <w:szCs w:val="18"/>
          <w:color w:val="auto"/>
        </w:rPr>
        <w:t>On March 4, 2024, ANI Pharmaceuticals, Inc. (ANI) filed a complaint against the Company in the Superior Court of the State of Delaware seeking (i) a declaratory judgment that a provision in an assignment and technology transfer agreement between the Company and ANI, dated November 15, 2010 (the ANI Agreement), obligates the Company to pay ANI a royalty on certain “net sales” of cretostimogene, and (ii) compensatory damages alleging the Company was unjustly enriched by obtaining the benefit of certain non-patent assets under the ANI Agreement without paying adequate consideration to ANI. On July 16, 2025, the Superior Court granted the Company’s motion for summary judgment with respect to ANI’s request for a declaratory judgment to receive royalty payments from the potential sale of cretostimogene but denied the Company’s motion for summary judgment with respect to ANI’s unjust enrichment claim. On July 29, 2025, a jury entered a verdict in favor of the Company, unanimously rejecting all of ANI's claims for unjust enrichment damages. As a result and subject to the outcome of any appeals brought by ANI, the Company will not owe ANI a future royalty of 5% on commercial sales of cretostimogene, no damages have been awarded to ANI, and there are no further payments due to ANI under the ANI Agreement. On April 10, 2026, the Superior Court heard oral arguments from ANI and the Company on pending post-trial motions submitted by the Company and ANI, which included (i) ANI’s Motion for Judgment as a Matter of Law; (ii) ANI’s Motion to Unseal Trial Exhibits; and (iii) the Company’s Motion for Costs. On July 16, 2026, the Superior Court issued an order denying ANI's motions for a new trial and judgment as a matter of law. On August 17, 2026, ANI filed a notice of appeal with the Delaware Supreme Court appealing (1) the Superior Court's granting of the Company's motion for summary judgment with respect to ANI’s request for a declaratory judgment to receive royalty payments from the potential sale of cretostimogene, (2) the special verdict dated July 29, 2025, and (3) the memorandum opinion and order dated July 16, 2026 denying ANI's motion for a new trial and for judgment as a matter of law. The Company will vigorously defend the appeals brought by ANI.</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previously disclosed in Part I, Item 1A, “Risk Factors” of our 2025 Annual Report, filed with the SEC on 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1134"/>
        <w:spacing w:after="0" w:line="266" w:lineRule="auto"/>
        <w:rPr>
          <w:sz w:val="20"/>
          <w:szCs w:val="20"/>
          <w:color w:val="auto"/>
        </w:rPr>
      </w:pPr>
      <w:r>
        <w:rPr>
          <w:rFonts w:ascii="Times New Roman" w:cs="Times New Roman" w:eastAsia="Times New Roman" w:hAnsi="Times New Roman"/>
          <w:sz w:val="18"/>
          <w:szCs w:val="18"/>
          <w:color w:val="auto"/>
        </w:rPr>
        <w:t>From time to time, our Section 16 officers (as defined in Rule 16a–1(f)) and directors may enter into Rule 10b5-1 or non-Rule 10b5-1 trading arrangements (as each such term is defined in Item 408 of Regulation S-K) for the purchase or sale of our securities. During the three months ended September 30, 2026, none of our officers or directors adopted, modified or terminated any such trading arrangements.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31"/>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gridSpan w:val="16"/>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326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41"/>
        </w:trPr>
        <w:tc>
          <w:tcPr>
            <w:tcW w:w="300" w:type="dxa"/>
            <w:vAlign w:val="bottom"/>
          </w:tcPr>
          <w:p>
            <w:pPr>
              <w:spacing w:after="0"/>
              <w:rPr>
                <w:sz w:val="20"/>
                <w:szCs w:val="20"/>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39"/>
        </w:trPr>
        <w:tc>
          <w:tcPr>
            <w:tcW w:w="3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182"/>
        </w:trPr>
        <w:tc>
          <w:tcPr>
            <w:tcW w:w="1240" w:type="dxa"/>
            <w:vAlign w:val="bottom"/>
            <w:gridSpan w:val="2"/>
          </w:tcPr>
          <w:p>
            <w:pPr>
              <w:jc w:val="center"/>
              <w:ind w:left="27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80" w:type="dxa"/>
            <w:vAlign w:val="bottom"/>
            <w:tcBorders>
              <w:bottom w:val="single" w:sz="8" w:color="0000FF"/>
            </w:tcBorders>
            <w:gridSpan w:val="6"/>
          </w:tcPr>
          <w:p>
            <w:pPr>
              <w:spacing w:after="0" w:line="163"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Amended and Restated Certificate of Incorporation</w:t>
              </w:r>
            </w:hyperlink>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90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01/18/24</w:t>
            </w:r>
          </w:p>
        </w:tc>
        <w:tc>
          <w:tcPr>
            <w:tcW w:w="10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7"/>
        </w:trPr>
        <w:tc>
          <w:tcPr>
            <w:tcW w:w="12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Amended and Restated Bylaws</w:t>
              </w:r>
            </w:hyperlink>
          </w:p>
        </w:tc>
        <w:tc>
          <w:tcPr>
            <w:tcW w:w="2660" w:type="dxa"/>
            <w:vAlign w:val="bottom"/>
            <w:gridSpan w:val="14"/>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01/02/24</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2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Specimen stock certificate evidencing the shares of common stock</w:t>
              </w:r>
            </w:hyperlink>
          </w:p>
        </w:tc>
        <w:tc>
          <w:tcPr>
            <w:tcW w:w="120" w:type="dxa"/>
            <w:vAlign w:val="bottom"/>
            <w:gridSpan w:val="2"/>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01/18/24</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2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20" w:type="dxa"/>
            <w:vAlign w:val="bottom"/>
            <w:gridSpan w:val="17"/>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Amended and Restated Investors’ Rights Agreement, dated July</w:t>
              </w:r>
            </w:hyperlink>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01/18/24</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56"/>
        </w:trPr>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28, 2023, as amended, by and among the Registrant and certain</w:t>
              </w:r>
            </w:hyperlink>
          </w:p>
        </w:tc>
        <w:tc>
          <w:tcPr>
            <w:tcW w:w="300" w:type="dxa"/>
            <w:vAlign w:val="bottom"/>
            <w:gridSpan w:val="8"/>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of</w:t>
              </w:r>
            </w:hyperlink>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9"/>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its stockholders</w:t>
              </w:r>
            </w:hyperlink>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12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as required by Rule 13a-</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56"/>
        </w:trPr>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8"/>
              </w:rPr>
              <w:t>14(a) or Rule 15d-14(a), as adopted pursuant to Section 302 of the</w:t>
            </w:r>
          </w:p>
        </w:tc>
        <w:tc>
          <w:tcPr>
            <w:tcW w:w="60" w:type="dxa"/>
            <w:vAlign w:val="bottom"/>
            <w:tcBorders>
              <w:bottom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9"/>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720" w:type="dxa"/>
            <w:vAlign w:val="bottom"/>
            <w:gridSpan w:val="12"/>
          </w:tcPr>
          <w:p>
            <w:pPr>
              <w:spacing w:after="0"/>
              <w:rPr>
                <w:sz w:val="14"/>
                <w:szCs w:val="14"/>
                <w:color w:val="auto"/>
              </w:rPr>
            </w:pPr>
          </w:p>
        </w:tc>
        <w:tc>
          <w:tcPr>
            <w:tcW w:w="14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3"/>
        </w:trPr>
        <w:tc>
          <w:tcPr>
            <w:tcW w:w="12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as required by Rule</w:t>
            </w:r>
          </w:p>
        </w:tc>
        <w:tc>
          <w:tcPr>
            <w:tcW w:w="360" w:type="dxa"/>
            <w:vAlign w:val="bottom"/>
            <w:gridSpan w:val="9"/>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56"/>
        </w:trPr>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13a-14(a) or Rule 15d-14(a), as adopted pursuant to Section 302</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9"/>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60" w:type="dxa"/>
            <w:vAlign w:val="bottom"/>
            <w:gridSpan w:val="6"/>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12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8"/>
              </w:rPr>
              <w:t>32.1*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56"/>
        </w:trPr>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80" w:type="dxa"/>
            <w:vAlign w:val="bottom"/>
            <w:gridSpan w:val="7"/>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6"/>
        </w:trPr>
        <w:tc>
          <w:tcPr>
            <w:tcW w:w="12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8"/>
              </w:rPr>
              <w:t>32.2*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56"/>
        </w:trPr>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420" w:type="dxa"/>
            <w:vAlign w:val="bottom"/>
            <w:gridSpan w:val="10"/>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77"/>
        </w:trPr>
        <w:tc>
          <w:tcPr>
            <w:tcW w:w="300" w:type="dxa"/>
            <w:vAlign w:val="bottom"/>
          </w:tcPr>
          <w:p>
            <w:pPr>
              <w:spacing w:after="0"/>
              <w:rPr>
                <w:sz w:val="24"/>
                <w:szCs w:val="24"/>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28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100" w:type="dxa"/>
            <w:vAlign w:val="bottom"/>
            <w:gridSpan w:val="12"/>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89"/>
        </w:trPr>
        <w:tc>
          <w:tcPr>
            <w:tcW w:w="300" w:type="dxa"/>
            <w:vAlign w:val="bottom"/>
          </w:tcPr>
          <w:p>
            <w:pPr>
              <w:spacing w:after="0"/>
              <w:rPr>
                <w:sz w:val="16"/>
                <w:szCs w:val="16"/>
                <w:color w:val="auto"/>
              </w:rPr>
            </w:pPr>
          </w:p>
        </w:tc>
        <w:tc>
          <w:tcPr>
            <w:tcW w:w="110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6"/>
                <w:szCs w:val="16"/>
                <w:color w:val="auto"/>
              </w:rPr>
            </w:pPr>
          </w:p>
        </w:tc>
        <w:tc>
          <w:tcPr>
            <w:tcW w:w="492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X</w:t>
            </w:r>
          </w:p>
        </w:tc>
      </w:tr>
      <w:tr>
        <w:trPr>
          <w:trHeight w:val="234"/>
        </w:trPr>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7" w:lineRule="exact"/>
        <w:rPr>
          <w:sz w:val="20"/>
          <w:szCs w:val="20"/>
          <w:color w:val="auto"/>
        </w:rPr>
      </w:pPr>
    </w:p>
    <w:p>
      <w:pPr>
        <w:ind w:left="1420" w:right="5280" w:hanging="757"/>
        <w:spacing w:after="0" w:line="237"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_______________________</w:t>
      </w:r>
    </w:p>
    <w:p>
      <w:pPr>
        <w:spacing w:after="0" w:line="50" w:lineRule="exact"/>
        <w:rPr>
          <w:sz w:val="20"/>
          <w:szCs w:val="20"/>
          <w:color w:val="auto"/>
        </w:rPr>
      </w:pPr>
    </w:p>
    <w:p>
      <w:pPr>
        <w:ind w:left="1060" w:hanging="485"/>
        <w:spacing w:after="0" w:line="261" w:lineRule="auto"/>
        <w:tabs>
          <w:tab w:leader="none" w:pos="10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being filed for purposes of Section 18 of the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CG Oncology, Inc.</w:t>
      </w:r>
    </w:p>
    <w:p>
      <w:pPr>
        <w:sectPr>
          <w:pgSz w:w="11900" w:h="16838" w:orient="portrait"/>
          <w:cols w:equalWidth="0" w:num="1">
            <w:col w:w="11240"/>
          </w:cols>
          <w:pgMar w:left="320" w:top="121"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November 6, 2026</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17145</wp:posOffset>
            </wp:positionV>
            <wp:extent cx="33858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3">
            <w:col w:w="4740" w:space="720"/>
            <w:col w:w="1820" w:space="720"/>
            <w:col w:w="3240"/>
          </w:cols>
          <w:pgMar w:left="320" w:top="121" w:right="339" w:bottom="1440" w:gutter="0" w:footer="0" w:header="0"/>
          <w:type w:val="continuous"/>
        </w:sectPr>
      </w:pPr>
    </w:p>
    <w:p>
      <w:pPr>
        <w:jc w:val="center"/>
        <w:ind w:left="5880"/>
        <w:spacing w:after="0"/>
        <w:rPr>
          <w:sz w:val="20"/>
          <w:szCs w:val="20"/>
          <w:color w:val="auto"/>
        </w:rPr>
      </w:pPr>
      <w:r>
        <w:rPr>
          <w:rFonts w:ascii="Times New Roman" w:cs="Times New Roman" w:eastAsia="Times New Roman" w:hAnsi="Times New Roman"/>
          <w:sz w:val="18"/>
          <w:szCs w:val="18"/>
          <w:color w:val="auto"/>
        </w:rPr>
        <w:t>Arthur Kuan</w:t>
      </w:r>
    </w:p>
    <w:p>
      <w:pPr>
        <w:spacing w:after="0" w:line="36"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Jim DeTore</w:t>
            </w:r>
          </w:p>
        </w:tc>
      </w:tr>
      <w:tr>
        <w:trPr>
          <w:trHeight w:val="237"/>
        </w:trPr>
        <w:tc>
          <w:tcPr>
            <w:tcW w:w="3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Jim DeTore</w:t>
            </w:r>
          </w:p>
        </w:tc>
      </w:tr>
      <w:tr>
        <w:trPr>
          <w:trHeight w:val="243"/>
        </w:trPr>
        <w:tc>
          <w:tcPr>
            <w:tcW w:w="3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43"/>
        </w:trPr>
        <w:tc>
          <w:tcPr>
            <w:tcW w:w="3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91"/>
        </w:trPr>
        <w:tc>
          <w:tcPr>
            <w:tcW w:w="3620" w:type="dxa"/>
            <w:vAlign w:val="bottom"/>
          </w:tcPr>
          <w:p>
            <w:pPr>
              <w:spacing w:after="0"/>
              <w:rPr>
                <w:sz w:val="24"/>
                <w:szCs w:val="24"/>
                <w:color w:val="auto"/>
              </w:rPr>
            </w:pPr>
          </w:p>
        </w:tc>
        <w:tc>
          <w:tcPr>
            <w:tcW w:w="2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i</w:t>
            </w:r>
          </w:p>
        </w:tc>
        <w:tc>
          <w:tcPr>
            <w:tcW w:w="53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Kuan, certify that:</w:t>
      </w:r>
    </w:p>
    <w:p>
      <w:pPr>
        <w:spacing w:after="0" w:line="117" w:lineRule="exact"/>
        <w:rPr>
          <w:sz w:val="20"/>
          <w:szCs w:val="20"/>
          <w:color w:val="auto"/>
        </w:rPr>
      </w:pPr>
    </w:p>
    <w:p>
      <w:pPr>
        <w:ind w:left="1700" w:hanging="837"/>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ind w:left="1700" w:right="120" w:hanging="837"/>
        <w:spacing w:after="0" w:line="266"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700" w:right="20" w:hanging="837"/>
        <w:spacing w:after="0" w:line="266"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1700" w:right="120" w:hanging="837"/>
        <w:spacing w:after="0" w:line="266"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3420" w:right="40" w:hanging="846"/>
        <w:spacing w:after="0" w:line="261" w:lineRule="auto"/>
        <w:tabs>
          <w:tab w:leader="none" w:pos="34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3420" w:right="140" w:hanging="846"/>
        <w:spacing w:after="0" w:line="261" w:lineRule="auto"/>
        <w:tabs>
          <w:tab w:leader="none" w:pos="341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3420" w:right="40" w:hanging="846"/>
        <w:spacing w:after="0" w:line="266" w:lineRule="auto"/>
        <w:tabs>
          <w:tab w:leader="none" w:pos="34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3420" w:right="20" w:hanging="846"/>
        <w:spacing w:after="0" w:line="261" w:lineRule="auto"/>
        <w:tabs>
          <w:tab w:leader="none" w:pos="341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1700" w:right="160" w:hanging="837"/>
        <w:spacing w:after="0" w:line="266" w:lineRule="auto"/>
        <w:tabs>
          <w:tab w:leader="none" w:pos="1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3420" w:right="140" w:hanging="846"/>
        <w:spacing w:after="0" w:line="266" w:lineRule="auto"/>
        <w:tabs>
          <w:tab w:leader="none" w:pos="34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3420" w:right="240" w:hanging="846"/>
        <w:spacing w:after="0" w:line="282" w:lineRule="auto"/>
        <w:tabs>
          <w:tab w:leader="none" w:pos="341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600" w:val="left"/>
          <w:tab w:leader="none" w:pos="6360" w:val="left"/>
        </w:tabs>
        <w:rPr>
          <w:sz w:val="20"/>
          <w:szCs w:val="20"/>
          <w:color w:val="auto"/>
        </w:rPr>
      </w:pPr>
      <w:r>
        <w:rPr>
          <w:rFonts w:ascii="Times New Roman" w:cs="Times New Roman" w:eastAsia="Times New Roman" w:hAnsi="Times New Roman"/>
          <w:sz w:val="18"/>
          <w:szCs w:val="18"/>
          <w:color w:val="auto"/>
        </w:rPr>
        <w:t>Date: 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5620"/>
        <w:spacing w:after="0"/>
        <w:tabs>
          <w:tab w:leader="none" w:pos="63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Arthur Kuan</w:t>
      </w:r>
    </w:p>
    <w:p>
      <w:pPr>
        <w:spacing w:after="0" w:line="50" w:lineRule="exact"/>
        <w:rPr>
          <w:sz w:val="20"/>
          <w:szCs w:val="20"/>
          <w:color w:val="auto"/>
        </w:rPr>
      </w:pPr>
    </w:p>
    <w:p>
      <w:pPr>
        <w:ind w:left="5620"/>
        <w:spacing w:after="0"/>
        <w:tabs>
          <w:tab w:leader="none" w:pos="63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Jim DeTore, certify that:</w:t>
      </w:r>
    </w:p>
    <w:p>
      <w:pPr>
        <w:spacing w:after="0" w:line="117" w:lineRule="exact"/>
        <w:rPr>
          <w:sz w:val="20"/>
          <w:szCs w:val="20"/>
          <w:color w:val="auto"/>
        </w:rPr>
      </w:pPr>
    </w:p>
    <w:p>
      <w:pPr>
        <w:ind w:left="1700" w:hanging="837"/>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CG Oncology, Inc.;</w:t>
      </w:r>
    </w:p>
    <w:p>
      <w:pPr>
        <w:spacing w:after="0" w:line="117" w:lineRule="exact"/>
        <w:rPr>
          <w:rFonts w:ascii="Times New Roman" w:cs="Times New Roman" w:eastAsia="Times New Roman" w:hAnsi="Times New Roman"/>
          <w:sz w:val="18"/>
          <w:szCs w:val="18"/>
          <w:color w:val="auto"/>
        </w:rPr>
      </w:pPr>
    </w:p>
    <w:p>
      <w:pPr>
        <w:ind w:left="1700" w:right="120" w:hanging="837"/>
        <w:spacing w:after="0" w:line="266" w:lineRule="auto"/>
        <w:tabs>
          <w:tab w:leader="none" w:pos="1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700" w:right="20" w:hanging="837"/>
        <w:spacing w:after="0" w:line="266" w:lineRule="auto"/>
        <w:tabs>
          <w:tab w:leader="none" w:pos="1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1700" w:right="120" w:hanging="837"/>
        <w:spacing w:after="0" w:line="266" w:lineRule="auto"/>
        <w:tabs>
          <w:tab w:leader="none" w:pos="1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3420" w:right="40" w:hanging="846"/>
        <w:spacing w:after="0" w:line="261" w:lineRule="auto"/>
        <w:tabs>
          <w:tab w:leader="none" w:pos="341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sz w:val="20"/>
          <w:szCs w:val="20"/>
          <w:color w:val="auto"/>
        </w:rPr>
      </w:pPr>
    </w:p>
    <w:p>
      <w:pPr>
        <w:ind w:left="3420" w:right="140" w:hanging="846"/>
        <w:spacing w:after="0" w:line="261" w:lineRule="auto"/>
        <w:tabs>
          <w:tab w:leader="none" w:pos="34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3420" w:right="40" w:hanging="846"/>
        <w:spacing w:after="0" w:line="266" w:lineRule="auto"/>
        <w:tabs>
          <w:tab w:leader="none" w:pos="341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3420" w:right="20" w:hanging="846"/>
        <w:spacing w:after="0" w:line="261" w:lineRule="auto"/>
        <w:tabs>
          <w:tab w:leader="none" w:pos="34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1700" w:right="160" w:hanging="837"/>
        <w:spacing w:after="0" w:line="266" w:lineRule="auto"/>
        <w:tabs>
          <w:tab w:leader="none" w:pos="1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3420" w:right="140" w:hanging="846"/>
        <w:spacing w:after="0" w:line="266" w:lineRule="auto"/>
        <w:tabs>
          <w:tab w:leader="none" w:pos="341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3420" w:right="240" w:hanging="846"/>
        <w:spacing w:after="0" w:line="282" w:lineRule="auto"/>
        <w:tabs>
          <w:tab w:leader="none" w:pos="341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26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Jim DeTore</w:t>
            </w:r>
          </w:p>
        </w:tc>
      </w:tr>
      <w:tr>
        <w:trPr>
          <w:trHeight w:val="257"/>
        </w:trPr>
        <w:tc>
          <w:tcPr>
            <w:tcW w:w="3680" w:type="dxa"/>
            <w:vAlign w:val="bottom"/>
          </w:tcPr>
          <w:p>
            <w:pPr>
              <w:spacing w:after="0"/>
              <w:rPr>
                <w:sz w:val="22"/>
                <w:szCs w:val="22"/>
                <w:color w:val="auto"/>
              </w:rPr>
            </w:pPr>
          </w:p>
        </w:tc>
        <w:tc>
          <w:tcPr>
            <w:tcW w:w="26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DeTore</w:t>
            </w:r>
          </w:p>
        </w:tc>
      </w:tr>
      <w:tr>
        <w:trPr>
          <w:trHeight w:val="270"/>
        </w:trPr>
        <w:tc>
          <w:tcPr>
            <w:tcW w:w="3680" w:type="dxa"/>
            <w:vAlign w:val="bottom"/>
          </w:tcPr>
          <w:p>
            <w:pPr>
              <w:spacing w:after="0"/>
              <w:rPr>
                <w:sz w:val="23"/>
                <w:szCs w:val="23"/>
                <w:color w:val="auto"/>
              </w:rPr>
            </w:pPr>
          </w:p>
        </w:tc>
        <w:tc>
          <w:tcPr>
            <w:tcW w:w="26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6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00" w:firstLine="86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quarter ended September 30, 2026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1720" w:hanging="870"/>
        <w:spacing w:after="0"/>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740" w:right="120" w:hanging="890"/>
        <w:spacing w:after="0" w:line="282" w:lineRule="auto"/>
        <w:tabs>
          <w:tab w:leader="none" w:pos="17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20" w:val="left"/>
          <w:tab w:leader="none" w:pos="6080" w:val="left"/>
          <w:tab w:leader="none" w:pos="6820" w:val="left"/>
        </w:tabs>
        <w:rPr>
          <w:sz w:val="20"/>
          <w:szCs w:val="20"/>
          <w:color w:val="auto"/>
        </w:rPr>
      </w:pPr>
      <w:r>
        <w:rPr>
          <w:rFonts w:ascii="Times New Roman" w:cs="Times New Roman" w:eastAsia="Times New Roman" w:hAnsi="Times New Roman"/>
          <w:sz w:val="18"/>
          <w:szCs w:val="18"/>
          <w:color w:val="auto"/>
        </w:rPr>
        <w:t>Date:</w:t>
        <w:tab/>
        <w:t>November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Arthur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802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ind w:left="6100"/>
        <w:spacing w:after="0"/>
        <w:tabs>
          <w:tab w:leader="none" w:pos="6820" w:val="left"/>
        </w:tabs>
        <w:rPr>
          <w:sz w:val="20"/>
          <w:szCs w:val="20"/>
          <w:color w:val="auto"/>
        </w:rPr>
      </w:pPr>
      <w:r>
        <w:rPr>
          <w:rFonts w:ascii="Times New Roman" w:cs="Times New Roman" w:eastAsia="Times New Roman" w:hAnsi="Times New Roman"/>
          <w:sz w:val="18"/>
          <w:szCs w:val="18"/>
          <w:color w:val="auto"/>
        </w:rPr>
        <w:t>Name:</w:t>
        <w:tab/>
        <w:t>Arthur Kuan</w:t>
      </w:r>
    </w:p>
    <w:p>
      <w:pPr>
        <w:spacing w:after="0" w:line="50" w:lineRule="exact"/>
        <w:rPr>
          <w:sz w:val="20"/>
          <w:szCs w:val="20"/>
          <w:color w:val="auto"/>
        </w:rPr>
      </w:pPr>
    </w:p>
    <w:p>
      <w:pPr>
        <w:ind w:left="6100"/>
        <w:spacing w:after="0"/>
        <w:tabs>
          <w:tab w:leader="none" w:pos="6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p>
      <w:pPr>
        <w:ind w:right="480" w:firstLine="81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92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00" w:firstLine="86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CG Oncology, Inc. (the “Company”) on Form 10-Q for the quarter ended September 30, 2026 as filed with the Securities and Exchange Commission on the date hereof (the “Report”), I certify, pursuant to 18 U.S.C. § 1350, as adopted pursuant to § 906 of the Sarbanes-Oxley Act of 2002, that, to my knowledge:</w:t>
      </w:r>
    </w:p>
    <w:p>
      <w:pPr>
        <w:spacing w:after="0" w:line="68" w:lineRule="exact"/>
        <w:rPr>
          <w:sz w:val="20"/>
          <w:szCs w:val="20"/>
          <w:color w:val="auto"/>
        </w:rPr>
      </w:pPr>
    </w:p>
    <w:p>
      <w:pPr>
        <w:ind w:left="1720" w:hanging="870"/>
        <w:spacing w:after="0"/>
        <w:tabs>
          <w:tab w:leader="none" w:pos="1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740" w:right="120" w:hanging="890"/>
        <w:spacing w:after="0" w:line="282" w:lineRule="auto"/>
        <w:tabs>
          <w:tab w:leader="none" w:pos="17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28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Jim DeTore</w:t>
            </w:r>
          </w:p>
        </w:tc>
      </w:tr>
      <w:tr>
        <w:trPr>
          <w:trHeight w:val="237"/>
        </w:trPr>
        <w:tc>
          <w:tcPr>
            <w:tcW w:w="4040" w:type="dxa"/>
            <w:vAlign w:val="bottom"/>
          </w:tcPr>
          <w:p>
            <w:pPr>
              <w:spacing w:after="0"/>
              <w:rPr>
                <w:sz w:val="20"/>
                <w:szCs w:val="20"/>
                <w:color w:val="auto"/>
              </w:rPr>
            </w:pPr>
          </w:p>
        </w:tc>
        <w:tc>
          <w:tcPr>
            <w:tcW w:w="28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Jim DeTore</w:t>
            </w:r>
          </w:p>
        </w:tc>
      </w:tr>
      <w:tr>
        <w:trPr>
          <w:trHeight w:val="243"/>
        </w:trPr>
        <w:tc>
          <w:tcPr>
            <w:tcW w:w="4040" w:type="dxa"/>
            <w:vAlign w:val="bottom"/>
          </w:tcPr>
          <w:p>
            <w:pPr>
              <w:spacing w:after="0"/>
              <w:rPr>
                <w:sz w:val="21"/>
                <w:szCs w:val="21"/>
                <w:color w:val="auto"/>
              </w:rPr>
            </w:pPr>
          </w:p>
        </w:tc>
        <w:tc>
          <w:tcPr>
            <w:tcW w:w="28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40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52" w:lineRule="exact"/>
        <w:rPr>
          <w:sz w:val="20"/>
          <w:szCs w:val="20"/>
          <w:color w:val="auto"/>
        </w:rPr>
      </w:pPr>
    </w:p>
    <w:p>
      <w:pPr>
        <w:ind w:right="480" w:firstLine="81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04"/>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5"/>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85" Type="http://schemas.openxmlformats.org/officeDocument/2006/relationships/hyperlink" Target="https://www.sec.gov/Archives/edgar/data/1991792/000119312524009621/d551455dex33.htm" TargetMode="External"/><Relationship Id="rId86" Type="http://schemas.openxmlformats.org/officeDocument/2006/relationships/hyperlink" Target="https://www.sec.gov/Archives/edgar/data/1991792/000119312524000766/d551455dex34.htm" TargetMode="External"/><Relationship Id="rId87" Type="http://schemas.openxmlformats.org/officeDocument/2006/relationships/hyperlink" Target="https://www.sec.gov/Archives/edgar/data/1991792/000119312524009621/d551455dex41.htm" TargetMode="External"/><Relationship Id="rId88" Type="http://schemas.openxmlformats.org/officeDocument/2006/relationships/hyperlink" Target="https://www.sec.gov/Archives/edgar/data/1991792/000119312524009621/d551455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2026-11-06T07:48:25Z</dcterms:created>
  <dcterms:modified xsi:type="dcterms:W3CDTF">2026-11-06T07:48:25Z</dcterms:modified>
</cp:coreProperties>
</file>