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49479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947920"/>
                    </a:xfrm>
                    <a:prstGeom prst="rect">
                      <a:avLst/>
                    </a:prstGeom>
                    <a:noFill/>
                  </pic:spPr>
                </pic:pic>
              </a:graphicData>
            </a:graphic>
          </wp:anchor>
        </w:drawing>
      </w:r>
    </w:p>
    <w:p>
      <w:pPr>
        <w:spacing w:after="0" w:line="1192"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Tong Victor Edward Jr</w:t>
              </w:r>
            </w:hyperlink>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CG Oncology,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CGON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0" w:type="dxa"/>
            <w:vAlign w:val="bottom"/>
            <w:gridSpan w:val="3"/>
            <w:vMerge w:val="continue"/>
          </w:tcPr>
          <w:p>
            <w:pPr>
              <w:spacing w:after="0"/>
              <w:rPr>
                <w:sz w:val="5"/>
                <w:szCs w:val="5"/>
                <w:color w:val="auto"/>
              </w:rPr>
            </w:pPr>
          </w:p>
        </w:tc>
        <w:tc>
          <w:tcPr>
            <w:tcW w:w="14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560" w:type="dxa"/>
            <w:vAlign w:val="bottom"/>
            <w:tcBorders>
              <w:top w:val="single" w:sz="8" w:color="0000EE"/>
            </w:tcBorders>
          </w:tcPr>
          <w:p>
            <w:pPr>
              <w:spacing w:after="0"/>
              <w:rPr>
                <w:sz w:val="5"/>
                <w:szCs w:val="5"/>
                <w:color w:val="auto"/>
              </w:rPr>
            </w:pPr>
          </w:p>
        </w:tc>
        <w:tc>
          <w:tcPr>
            <w:tcW w:w="220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120" w:type="dxa"/>
            <w:vAlign w:val="bottom"/>
            <w:tcBorders>
              <w:top w:val="single" w:sz="8" w:color="0000EE"/>
            </w:tcBorders>
          </w:tcPr>
          <w:p>
            <w:pPr>
              <w:spacing w:after="0"/>
              <w:rPr>
                <w:sz w:val="6"/>
                <w:szCs w:val="6"/>
                <w:color w:val="auto"/>
              </w:rPr>
            </w:pPr>
          </w:p>
        </w:tc>
        <w:tc>
          <w:tcPr>
            <w:tcW w:w="300" w:type="dxa"/>
            <w:vAlign w:val="bottom"/>
          </w:tcPr>
          <w:p>
            <w:pPr>
              <w:spacing w:after="0"/>
              <w:rPr>
                <w:sz w:val="6"/>
                <w:szCs w:val="6"/>
                <w:color w:val="auto"/>
              </w:rPr>
            </w:pPr>
          </w:p>
        </w:tc>
        <w:tc>
          <w:tcPr>
            <w:tcW w:w="14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560" w:type="dxa"/>
            <w:vAlign w:val="bottom"/>
          </w:tcPr>
          <w:p>
            <w:pPr>
              <w:spacing w:after="0"/>
              <w:rPr>
                <w:sz w:val="6"/>
                <w:szCs w:val="6"/>
                <w:color w:val="auto"/>
              </w:rPr>
            </w:pPr>
          </w:p>
        </w:tc>
        <w:tc>
          <w:tcPr>
            <w:tcW w:w="22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4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120" w:type="dxa"/>
            <w:vAlign w:val="bottom"/>
            <w:tcBorders>
              <w:top w:val="single" w:sz="8" w:color="EEEEEE"/>
            </w:tcBorders>
          </w:tcPr>
          <w:p>
            <w:pPr>
              <w:spacing w:after="0"/>
              <w:rPr>
                <w:sz w:val="2"/>
                <w:szCs w:val="2"/>
                <w:color w:val="auto"/>
              </w:rPr>
            </w:pPr>
          </w:p>
        </w:tc>
        <w:tc>
          <w:tcPr>
            <w:tcW w:w="300" w:type="dxa"/>
            <w:vAlign w:val="bottom"/>
            <w:tcBorders>
              <w:top w:val="single" w:sz="8" w:color="EEEEEE"/>
            </w:tcBorders>
          </w:tcPr>
          <w:p>
            <w:pPr>
              <w:spacing w:after="0"/>
              <w:rPr>
                <w:sz w:val="2"/>
                <w:szCs w:val="2"/>
                <w:color w:val="auto"/>
              </w:rPr>
            </w:pPr>
          </w:p>
        </w:tc>
        <w:tc>
          <w:tcPr>
            <w:tcW w:w="14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440" w:type="dxa"/>
            <w:vAlign w:val="bottom"/>
            <w:vMerge w:val="restart"/>
          </w:tcPr>
          <w:p>
            <w:pPr>
              <w:ind w:left="2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420" w:type="dxa"/>
            <w:vAlign w:val="bottom"/>
            <w:gridSpan w:val="2"/>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17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06/04/2026</w:t>
            </w:r>
          </w:p>
        </w:tc>
        <w:tc>
          <w:tcPr>
            <w:tcW w:w="220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CG ONCOLOGY, INC.</w:t>
            </w:r>
          </w:p>
        </w:tc>
        <w:tc>
          <w:tcPr>
            <w:tcW w:w="1440" w:type="dxa"/>
            <w:vAlign w:val="bottom"/>
          </w:tcPr>
          <w:p>
            <w:pPr>
              <w:spacing w:after="0"/>
              <w:rPr>
                <w:sz w:val="10"/>
                <w:szCs w:val="10"/>
                <w:color w:val="auto"/>
              </w:rPr>
            </w:pPr>
          </w:p>
        </w:tc>
        <w:tc>
          <w:tcPr>
            <w:tcW w:w="1720" w:type="dxa"/>
            <w:vAlign w:val="bottom"/>
            <w:gridSpan w:val="3"/>
            <w:vMerge w:val="continue"/>
          </w:tcPr>
          <w:p>
            <w:pPr>
              <w:spacing w:after="0"/>
              <w:rPr>
                <w:sz w:val="10"/>
                <w:szCs w:val="10"/>
                <w:color w:val="auto"/>
              </w:rPr>
            </w:pPr>
          </w:p>
        </w:tc>
        <w:tc>
          <w:tcPr>
            <w:tcW w:w="22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0" w:type="dxa"/>
            <w:vAlign w:val="bottom"/>
            <w:gridSpan w:val="3"/>
            <w:vMerge w:val="continue"/>
          </w:tcPr>
          <w:p>
            <w:pPr>
              <w:spacing w:after="0"/>
              <w:rPr>
                <w:sz w:val="12"/>
                <w:szCs w:val="12"/>
                <w:color w:val="auto"/>
              </w:rPr>
            </w:pP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3000 PEGASUS PARK DRIVE, SUITE 1640</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2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0"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DALLAS</w:t>
            </w:r>
          </w:p>
        </w:tc>
        <w:tc>
          <w:tcPr>
            <w:tcW w:w="108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75247</w:t>
            </w:r>
          </w:p>
        </w:tc>
      </w:tr>
      <w:tr>
        <w:trPr>
          <w:trHeight w:val="151"/>
        </w:trPr>
        <w:tc>
          <w:tcPr>
            <w:tcW w:w="2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7"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Director</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40" w:type="dxa"/>
            <w:vAlign w:val="bottom"/>
          </w:tcPr>
          <w:p>
            <w:pPr>
              <w:spacing w:after="0"/>
              <w:rPr>
                <w:sz w:val="12"/>
                <w:szCs w:val="12"/>
                <w:color w:val="auto"/>
              </w:rPr>
            </w:pP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9,354</w:t>
            </w: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56.09</w:t>
            </w:r>
          </w:p>
        </w:tc>
        <w:tc>
          <w:tcPr>
            <w:tcW w:w="1080" w:type="dxa"/>
            <w:vAlign w:val="bottom"/>
            <w:vMerge w:val="restart"/>
          </w:tcPr>
          <w:p>
            <w:pPr>
              <w:jc w:val="right"/>
              <w:ind w:right="180"/>
              <w:spacing w:after="0" w:line="143" w:lineRule="exact"/>
              <w:rPr>
                <w:sz w:val="20"/>
                <w:szCs w:val="20"/>
                <w:color w:val="auto"/>
              </w:rPr>
            </w:pPr>
            <w:r>
              <w:rPr>
                <w:rFonts w:ascii="Times New Roman" w:cs="Times New Roman" w:eastAsia="Times New Roman" w:hAnsi="Times New Roman"/>
                <w:sz w:val="13"/>
                <w:szCs w:val="13"/>
                <w:color w:val="0000FF"/>
              </w:rPr>
              <w:t>06/04/2026</w:t>
            </w:r>
          </w:p>
        </w:tc>
        <w:tc>
          <w:tcPr>
            <w:tcW w:w="1100" w:type="dxa"/>
            <w:vAlign w:val="bottom"/>
          </w:tcPr>
          <w:p>
            <w:pPr>
              <w:spacing w:after="0"/>
              <w:rPr>
                <w:sz w:val="5"/>
                <w:szCs w:val="5"/>
                <w:color w:val="auto"/>
              </w:rPr>
            </w:pPr>
          </w:p>
        </w:tc>
        <w:tc>
          <w:tcPr>
            <w:tcW w:w="80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460" w:type="dxa"/>
            <w:vAlign w:val="bottom"/>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rPr>
              <w:t>9,354</w:t>
            </w:r>
          </w:p>
        </w:tc>
        <w:tc>
          <w:tcPr>
            <w:tcW w:w="28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40" w:type="dxa"/>
            <w:vAlign w:val="bottom"/>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rPr>
              <w:t>06/03/2036</w:t>
            </w:r>
          </w:p>
        </w:tc>
        <w:tc>
          <w:tcPr>
            <w:tcW w:w="68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9,354</w:t>
            </w:r>
          </w:p>
        </w:tc>
        <w:tc>
          <w:tcPr>
            <w:tcW w:w="74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46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70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jc w:val="both"/>
        <w:ind w:left="40" w:right="240" w:firstLine="3"/>
        <w:spacing w:after="0" w:line="243"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1/12th of the total number of shares of common stock subject to the option vest monthly following June 4, 2026, the date of grant (or, in the event the next annual meeting of the Issuer's stockholders occurs prior to the first anniversary of the date of grant, any remaining unvested portion of this stock option will vest on the date of such annual meeting of the Issuer's stockholders), subject to the Reporting Person's continuous service to the Issuer through each vesting date.</w:t>
      </w:r>
    </w:p>
    <w:p>
      <w:pPr>
        <w:spacing w:after="0" w:line="53"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Joshua F. Patterson,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-8255</wp:posOffset>
            </wp:positionV>
            <wp:extent cx="9772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77265" cy="8255"/>
                    </a:xfrm>
                    <a:prstGeom prst="rect">
                      <a:avLst/>
                    </a:prstGeom>
                    <a:noFill/>
                  </pic:spPr>
                </pic:pic>
              </a:graphicData>
            </a:graphic>
          </wp:anchor>
        </w:drawing>
      </w:r>
    </w:p>
    <w:p>
      <w:pPr>
        <w:spacing w:after="0" w:line="3"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Victor</w:t>
      </w:r>
      <w:r>
        <w:rPr>
          <w:sz w:val="20"/>
          <w:szCs w:val="20"/>
          <w:color w:val="auto"/>
        </w:rPr>
        <w:tab/>
      </w:r>
      <w:r>
        <w:rPr>
          <w:rFonts w:ascii="Times New Roman" w:cs="Times New Roman" w:eastAsia="Times New Roman" w:hAnsi="Times New Roman"/>
          <w:sz w:val="16"/>
          <w:szCs w:val="16"/>
          <w:color w:val="0000FF"/>
        </w:rPr>
        <w:t>06/05/2026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18815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150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Edward Tong,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7308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30885" cy="8255"/>
                    </a:xfrm>
                    <a:prstGeom prst="rect">
                      <a:avLst/>
                    </a:prstGeom>
                    <a:noFill/>
                  </pic:spPr>
                </pic:pic>
              </a:graphicData>
            </a:graphic>
          </wp:anchor>
        </w:drawing>
      </w:r>
    </w:p>
    <w:p>
      <w:pPr>
        <w:spacing w:after="0" w:line="3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2007923" TargetMode="External"/><Relationship Id="rId14" Type="http://schemas.openxmlformats.org/officeDocument/2006/relationships/hyperlink" Target="http://www.sec.gov/cgi-bin/browse-edgar?action=getcompany&amp;CIK=000199179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2026-06-05T15:43:27Z</dcterms:created>
  <dcterms:modified xsi:type="dcterms:W3CDTF">2026-06-05T15:43:27Z</dcterms:modified>
</cp:coreProperties>
</file>