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40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80" w:lineRule="exact"/>
        <w:rPr>
          <w:sz w:val="24"/>
          <w:szCs w:val="24"/>
          <w:color w:val="auto"/>
        </w:rPr>
      </w:pPr>
    </w:p>
    <w:p>
      <w:pPr>
        <w:ind w:left="2620" w:right="1600" w:hanging="2599"/>
        <w:spacing w:after="0" w:line="375"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48"/>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73"/>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8"/>
                <w:szCs w:val="18"/>
                <w:b w:val="1"/>
                <w:bCs w:val="1"/>
                <w:color w:val="auto"/>
                <w:w w:val="99"/>
              </w:rPr>
              <w:t>400 Spectrum Center Drive, Suite 2040</w:t>
            </w:r>
          </w:p>
        </w:tc>
        <w:tc>
          <w:tcPr>
            <w:tcW w:w="2800" w:type="dxa"/>
            <w:vAlign w:val="bottom"/>
          </w:tcPr>
          <w:p>
            <w:pPr>
              <w:spacing w:after="0"/>
              <w:rPr>
                <w:sz w:val="22"/>
                <w:szCs w:val="22"/>
                <w:color w:val="auto"/>
              </w:rPr>
            </w:pPr>
          </w:p>
        </w:tc>
      </w:tr>
      <w:tr>
        <w:trPr>
          <w:trHeight w:val="238"/>
        </w:trPr>
        <w:tc>
          <w:tcPr>
            <w:tcW w:w="4800" w:type="dxa"/>
            <w:vAlign w:val="bottom"/>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9"/>
              </w:rPr>
              <w:t>Irvine, CA</w:t>
            </w:r>
          </w:p>
        </w:tc>
        <w:tc>
          <w:tcPr>
            <w:tcW w:w="2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3"/>
        </w:trPr>
        <w:tc>
          <w:tcPr>
            <w:tcW w:w="4800" w:type="dxa"/>
            <w:vAlign w:val="bottom"/>
          </w:tcPr>
          <w:p>
            <w:pPr>
              <w:jc w:val="center"/>
              <w:ind w:right="17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00" w:type="dxa"/>
            <w:vAlign w:val="bottom"/>
          </w:tcPr>
          <w:p>
            <w:pPr>
              <w:jc w:val="center"/>
              <w:ind w:left="1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CGON</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right="2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5, 2024, the registrant had 67,077,020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42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Financial Statements (unaudited)</w:t>
            </w:r>
          </w:p>
        </w:tc>
        <w:tc>
          <w:tcPr>
            <w:tcW w:w="632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Condensed Balance Sheets</w:t>
            </w:r>
          </w:p>
        </w:tc>
        <w:tc>
          <w:tcPr>
            <w:tcW w:w="20" w:type="dxa"/>
            <w:vAlign w:val="bottom"/>
            <w:tcBorders>
              <w:bottom w:val="single" w:sz="8" w:color="0000EE"/>
            </w:tcBorders>
          </w:tcPr>
          <w:p>
            <w:pPr>
              <w:spacing w:after="0"/>
              <w:rPr>
                <w:sz w:val="19"/>
                <w:szCs w:val="19"/>
                <w:color w:val="auto"/>
              </w:rPr>
            </w:pPr>
          </w:p>
        </w:tc>
        <w:tc>
          <w:tcPr>
            <w:tcW w:w="7580" w:type="dxa"/>
            <w:vAlign w:val="bottom"/>
            <w:gridSpan w:val="13"/>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Statements of Redeemable Convertible Preferred Stock and Stockholders’ Equity (Deficit)</w:t>
            </w:r>
          </w:p>
        </w:tc>
        <w:tc>
          <w:tcPr>
            <w:tcW w:w="2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20" w:type="dxa"/>
            <w:vAlign w:val="bottom"/>
            <w:tcBorders>
              <w:bottom w:val="single" w:sz="8" w:color="0000EE"/>
            </w:tcBorders>
          </w:tcPr>
          <w:p>
            <w:pPr>
              <w:spacing w:after="0"/>
              <w:rPr>
                <w:sz w:val="19"/>
                <w:szCs w:val="19"/>
                <w:color w:val="auto"/>
              </w:rPr>
            </w:pPr>
          </w:p>
        </w:tc>
        <w:tc>
          <w:tcPr>
            <w:tcW w:w="6800" w:type="dxa"/>
            <w:vAlign w:val="bottom"/>
            <w:gridSpan w:val="9"/>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20" w:type="dxa"/>
            <w:vAlign w:val="bottom"/>
            <w:tcBorders>
              <w:bottom w:val="single" w:sz="8" w:color="0000EE"/>
            </w:tcBorders>
          </w:tcPr>
          <w:p>
            <w:pPr>
              <w:spacing w:after="0"/>
              <w:rPr>
                <w:sz w:val="19"/>
                <w:szCs w:val="19"/>
                <w:color w:val="auto"/>
              </w:rPr>
            </w:pPr>
          </w:p>
        </w:tc>
        <w:tc>
          <w:tcPr>
            <w:tcW w:w="6520" w:type="dxa"/>
            <w:vAlign w:val="bottom"/>
            <w:gridSpan w:val="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822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19"/>
                <w:szCs w:val="19"/>
                <w:color w:val="auto"/>
              </w:rPr>
            </w:pPr>
          </w:p>
        </w:tc>
        <w:tc>
          <w:tcPr>
            <w:tcW w:w="5200" w:type="dxa"/>
            <w:vAlign w:val="bottom"/>
            <w:gridSpan w:val="5"/>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8"/>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25,158</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527,722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179,408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 other</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563,864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offering costs</w:t>
            </w:r>
          </w:p>
        </w:tc>
        <w:tc>
          <w:tcPr>
            <w:tcW w:w="260" w:type="dxa"/>
            <w:vAlign w:val="bottom"/>
          </w:tcPr>
          <w:p>
            <w:pPr>
              <w:spacing w:after="0"/>
              <w:rPr>
                <w:sz w:val="15"/>
                <w:szCs w:val="15"/>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564,330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Success fee liability, current portion</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2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 liability, non-current</w:t>
            </w:r>
          </w:p>
        </w:tc>
        <w:tc>
          <w:tcPr>
            <w:tcW w:w="26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11,971</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5)</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Series A-1 redeemable convertible preferred stock, $0.0001 par value per share; zero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5,075,000 shares authorized, issued and outstanding as of June 30, 2024 and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$3,570 as of</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Series B redeemable convertible preferred stock, $0.0001 par value per share; zero</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11,973,000 shares authorized, issued and outstanding as of June 30, 2024 and</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liquidation value of $0 and $10,000 as of June 30, 2024 and</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Series C redeemable convertible preferred stock, $0.0001 par value per share; zero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73,598,283 shares authorized, issued and outstanding as of June 30, 2024 and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$22,000 as of</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Series D redeemable convertible preferred stock, $0.0001 par value per share; zero</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53,271,754 shares authorized, issued and outstanding as of June 30, 2024 and</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$47,300 as of</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Series E redeemable convertible preferred stock, $0.0001 par value per share; zero</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112,422,700 shares authorized, issued and outstanding as of June 30, 2024 and</w:t>
            </w: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$0 and $120,000 as of</w:t>
            </w:r>
          </w:p>
        </w:tc>
        <w:tc>
          <w:tcPr>
            <w:tcW w:w="260" w:type="dxa"/>
            <w:vAlign w:val="bottom"/>
          </w:tcPr>
          <w:p>
            <w:pPr>
              <w:spacing w:after="0"/>
              <w:rPr>
                <w:sz w:val="12"/>
                <w:szCs w:val="12"/>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Series F redeemable convertible preferred stock, $0.0001 par value per share; zero</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81,587,937 shares issued and outstanding as of June 30, 2024 and</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December 31, 2023, respectively; liquidation value of zero and $105,020 as of</w:t>
            </w:r>
          </w:p>
        </w:tc>
        <w:tc>
          <w:tcPr>
            <w:tcW w:w="26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26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per share; 700,000,000 and 493,530,000 shares</w:t>
            </w: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authorized as of June 30, 2024 and December 31, 2023, respectively; 66,659,852</w:t>
            </w:r>
          </w:p>
        </w:tc>
        <w:tc>
          <w:tcPr>
            <w:tcW w:w="26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5,222,283 shares issued and outstanding as of June 30, 2024 and December 31, 2023, respectively</w:t>
            </w:r>
          </w:p>
        </w:tc>
        <w:tc>
          <w:tcPr>
            <w:tcW w:w="2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(165,778 )</w:t>
            </w: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(129,942 )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552,359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(123,100 )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 (deficit)</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564,330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199,301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-5348605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-5348605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-4662805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-4782820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-4662805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-4782820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-3980815</wp:posOffset>
            </wp:positionV>
            <wp:extent cx="939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-3980815</wp:posOffset>
            </wp:positionV>
            <wp:extent cx="939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-3629660</wp:posOffset>
            </wp:positionV>
            <wp:extent cx="939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-3629660</wp:posOffset>
            </wp:positionV>
            <wp:extent cx="939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3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shd w:val="clear" w:color="auto" w:fill="CFF0FC"/>
          </w:tcPr>
          <w:p>
            <w:pPr>
              <w:spacing w:after="0"/>
              <w:rPr>
                <w:sz w:val="21"/>
                <w:szCs w:val="21"/>
                <w:color w:val="auto"/>
              </w:rPr>
            </w:pPr>
          </w:p>
        </w:tc>
      </w:tr>
      <w:tr>
        <w:trPr>
          <w:trHeight w:val="232"/>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100" w:type="dxa"/>
            <w:vAlign w:val="bottom"/>
          </w:tcPr>
          <w:p>
            <w:pPr>
              <w:spacing w:after="0"/>
              <w:rPr>
                <w:sz w:val="20"/>
                <w:szCs w:val="20"/>
                <w:color w:val="auto"/>
              </w:rPr>
            </w:pPr>
          </w:p>
        </w:tc>
      </w:tr>
      <w:tr>
        <w:trPr>
          <w:trHeight w:val="241"/>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(25,853 )</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(12,326 )</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(48,322 )</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(22,051 )</w:t>
            </w: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FF0FC"/>
          </w:tcPr>
          <w:p>
            <w:pPr>
              <w:spacing w:after="0"/>
              <w:rPr>
                <w:sz w:val="21"/>
                <w:szCs w:val="21"/>
                <w:color w:val="auto"/>
              </w:rPr>
            </w:pPr>
          </w:p>
        </w:tc>
      </w:tr>
      <w:tr>
        <w:trPr>
          <w:trHeight w:val="239"/>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r>
      <w:tr>
        <w:trPr>
          <w:trHeight w:val="236"/>
        </w:trPr>
        <w:tc>
          <w:tcPr>
            <w:tcW w:w="5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(11,613 )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(35,836 )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(20,284 )</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Cumulative redeemable convertible preferred stock dividends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(3,776 )</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(7,510 )</w:t>
            </w:r>
          </w:p>
        </w:tc>
      </w:tr>
      <w:tr>
        <w:trPr>
          <w:trHeight w:val="20"/>
        </w:trPr>
        <w:tc>
          <w:tcPr>
            <w:tcW w:w="5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(35,836 )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(27,794 )</w:t>
            </w: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(7.15 )</w:t>
            </w:r>
          </w:p>
        </w:tc>
      </w:tr>
      <w:tr>
        <w:trPr>
          <w:trHeight w:val="223"/>
        </w:trPr>
        <w:tc>
          <w:tcPr>
            <w:tcW w:w="5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66,649,443</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3,918,509</w:t>
            </w:r>
          </w:p>
        </w:tc>
        <w:tc>
          <w:tcPr>
            <w:tcW w:w="3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56,857,104</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3,885,713</w:t>
            </w:r>
          </w:p>
        </w:tc>
        <w:tc>
          <w:tcPr>
            <w:tcW w:w="100" w:type="dxa"/>
            <w:vAlign w:val="bottom"/>
            <w:tcBorders>
              <w:top w:val="single" w:sz="8" w:color="CFF0FC"/>
            </w:tcBorders>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-1855470</wp:posOffset>
            </wp:positionV>
            <wp:extent cx="102235"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5341620</wp:posOffset>
            </wp:positionH>
            <wp:positionV relativeFrom="paragraph">
              <wp:posOffset>-1855470</wp:posOffset>
            </wp:positionV>
            <wp:extent cx="93980"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-1855470</wp:posOffset>
            </wp:positionV>
            <wp:extent cx="9398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-1855470</wp:posOffset>
            </wp:positionV>
            <wp:extent cx="9398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-890905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-890905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-890905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-548005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-548005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-548005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-205105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-205105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-205105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68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Condensed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11"/>
                <w:szCs w:val="11"/>
                <w:color w:val="auto"/>
              </w:rPr>
            </w:pPr>
          </w:p>
        </w:tc>
        <w:tc>
          <w:tcPr>
            <w:tcW w:w="78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9"/>
              </w:rPr>
              <w:t>Series A-1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7"/>
              </w:rPr>
              <w:t>Series C</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7"/>
              </w:rPr>
              <w:t>Series 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Series 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840" w:type="dxa"/>
            <w:vAlign w:val="bottom"/>
            <w:gridSpan w:val="3"/>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4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8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left="106"/>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w w:val="96"/>
              </w:rPr>
              <w:t>Addition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780" w:type="dxa"/>
            <w:vAlign w:val="bottom"/>
            <w:gridSpan w:val="2"/>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2"/>
              </w:rPr>
              <w:t>al</w:t>
            </w:r>
          </w:p>
        </w:tc>
        <w:tc>
          <w:tcPr>
            <w:tcW w:w="120" w:type="dxa"/>
            <w:vAlign w:val="bottom"/>
          </w:tcPr>
          <w:p>
            <w:pPr>
              <w:spacing w:after="0"/>
              <w:rPr>
                <w:sz w:val="10"/>
                <w:szCs w:val="10"/>
                <w:color w:val="auto"/>
              </w:rPr>
            </w:pPr>
          </w:p>
        </w:tc>
        <w:tc>
          <w:tcPr>
            <w:tcW w:w="5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w:t>
            </w:r>
          </w:p>
        </w:tc>
        <w:tc>
          <w:tcPr>
            <w:tcW w:w="6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Stockholde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Borders>
              <w:bottom w:val="single" w:sz="8" w:color="auto"/>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gridSpan w:val="4"/>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rs'</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2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Amo</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4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7"/>
              </w:rPr>
              <w:t>Amo</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0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6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Amou</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80"/>
              </w:rPr>
              <w:t>unt</w:t>
            </w: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unt</w:t>
            </w:r>
          </w:p>
        </w:tc>
        <w:tc>
          <w:tcPr>
            <w:tcW w:w="7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1"/>
              </w:rPr>
              <w:t>unt</w:t>
            </w:r>
          </w:p>
        </w:tc>
        <w:tc>
          <w:tcPr>
            <w:tcW w:w="740" w:type="dxa"/>
            <w:vAlign w:val="bottom"/>
            <w:gridSpan w:val="2"/>
            <w:vMerge w:val="continue"/>
          </w:tcPr>
          <w:p>
            <w:pPr>
              <w:spacing w:after="0"/>
              <w:rPr>
                <w:sz w:val="13"/>
                <w:szCs w:val="13"/>
                <w:color w:val="auto"/>
              </w:rPr>
            </w:pP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unt</w:t>
            </w: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74"/>
              </w:rPr>
              <w:t>nt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3"/>
                <w:szCs w:val="13"/>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16"/>
        </w:trPr>
        <w:tc>
          <w:tcPr>
            <w:tcW w:w="10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2022</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3,842,6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4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3,642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(81,335 )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(77,693 )</w:t>
            </w:r>
          </w:p>
        </w:tc>
        <w:tc>
          <w:tcPr>
            <w:tcW w:w="0" w:type="dxa"/>
            <w:vAlign w:val="bottom"/>
          </w:tcPr>
          <w:p>
            <w:pPr>
              <w:spacing w:after="0"/>
              <w:rPr>
                <w:sz w:val="1"/>
                <w:szCs w:val="1"/>
                <w:color w:val="auto"/>
              </w:rPr>
            </w:pPr>
          </w:p>
        </w:tc>
      </w:tr>
      <w:tr>
        <w:trPr>
          <w:trHeight w:val="121"/>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(8,671 )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(8,671 )</w:t>
            </w:r>
          </w:p>
        </w:tc>
        <w:tc>
          <w:tcPr>
            <w:tcW w:w="0" w:type="dxa"/>
            <w:vAlign w:val="bottom"/>
          </w:tcPr>
          <w:p>
            <w:pPr>
              <w:spacing w:after="0"/>
              <w:rPr>
                <w:sz w:val="1"/>
                <w:szCs w:val="1"/>
                <w:color w:val="auto"/>
              </w:rPr>
            </w:pPr>
          </w:p>
        </w:tc>
      </w:tr>
      <w:tr>
        <w:trPr>
          <w:trHeight w:val="117"/>
        </w:trPr>
        <w:tc>
          <w:tcPr>
            <w:tcW w:w="1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31, 2023</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3,856,3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40" w:type="dxa"/>
            <w:vAlign w:val="bottom"/>
            <w:tcBorders>
              <w:right w:val="single" w:sz="8" w:color="CFF0FC"/>
            </w:tcBorders>
            <w:shd w:val="clear" w:color="auto" w:fill="CFF0FC"/>
          </w:tcPr>
          <w:p>
            <w:pPr>
              <w:spacing w:after="0"/>
              <w:rPr>
                <w:sz w:val="16"/>
                <w:szCs w:val="16"/>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(90,006 )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(86,117 )</w:t>
            </w:r>
          </w:p>
        </w:tc>
        <w:tc>
          <w:tcPr>
            <w:tcW w:w="0" w:type="dxa"/>
            <w:vAlign w:val="bottom"/>
          </w:tcPr>
          <w:p>
            <w:pPr>
              <w:spacing w:after="0"/>
              <w:rPr>
                <w:sz w:val="1"/>
                <w:szCs w:val="1"/>
                <w:color w:val="auto"/>
              </w:rPr>
            </w:pPr>
          </w:p>
        </w:tc>
      </w:tr>
      <w:tr>
        <w:trPr>
          <w:trHeight w:val="106"/>
        </w:trPr>
        <w:tc>
          <w:tcPr>
            <w:tcW w:w="1040" w:type="dxa"/>
            <w:vAlign w:val="bottom"/>
            <w:tcBorders>
              <w:top w:val="single" w:sz="8" w:color="CFF0FC"/>
            </w:tcBorders>
          </w:tcPr>
          <w:p>
            <w:pPr>
              <w:ind w:left="20"/>
              <w:spacing w:after="0" w:line="106" w:lineRule="exact"/>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22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183,79</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(11,613 )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(11,613 )</w:t>
            </w:r>
          </w:p>
        </w:tc>
        <w:tc>
          <w:tcPr>
            <w:tcW w:w="0" w:type="dxa"/>
            <w:vAlign w:val="bottom"/>
          </w:tcPr>
          <w:p>
            <w:pPr>
              <w:spacing w:after="0"/>
              <w:rPr>
                <w:sz w:val="1"/>
                <w:szCs w:val="1"/>
                <w:color w:val="auto"/>
              </w:rPr>
            </w:pPr>
          </w:p>
        </w:tc>
      </w:tr>
      <w:tr>
        <w:trPr>
          <w:trHeight w:val="117"/>
        </w:trPr>
        <w:tc>
          <w:tcPr>
            <w:tcW w:w="1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June</w:t>
            </w: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30, 2023</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4,040,1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(101,61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(97,388 )</w:t>
            </w: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40" w:type="dxa"/>
            <w:vAlign w:val="bottom"/>
          </w:tcPr>
          <w:p>
            <w:pPr>
              <w:spacing w:after="0"/>
              <w:rPr>
                <w:sz w:val="21"/>
                <w:szCs w:val="21"/>
                <w:color w:val="auto"/>
              </w:rPr>
            </w:pPr>
          </w:p>
        </w:tc>
        <w:tc>
          <w:tcPr>
            <w:tcW w:w="78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9"/>
              </w:rPr>
              <w:t>Series A-1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7"/>
              </w:rPr>
              <w:t>Series C</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7"/>
              </w:rPr>
              <w:t>Series D</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Series 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5"/>
              </w:rPr>
              <w:t>Series F</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left="126"/>
              <w:spacing w:after="0" w:line="122"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Redeemable</w:t>
            </w: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40" w:type="dxa"/>
            <w:vAlign w:val="bottom"/>
          </w:tcPr>
          <w:p>
            <w:pPr>
              <w:spacing w:after="0"/>
              <w:rPr>
                <w:sz w:val="10"/>
                <w:szCs w:val="10"/>
                <w:color w:val="auto"/>
              </w:rPr>
            </w:pPr>
          </w:p>
        </w:tc>
        <w:tc>
          <w:tcPr>
            <w:tcW w:w="840" w:type="dxa"/>
            <w:vAlign w:val="bottom"/>
            <w:gridSpan w:val="3"/>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4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18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left="106"/>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16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left="186"/>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1"/>
                <w:szCs w:val="11"/>
                <w:b w:val="1"/>
                <w:bCs w:val="1"/>
                <w:color w:val="auto"/>
                <w:w w:val="96"/>
              </w:rPr>
              <w:t>Addition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780" w:type="dxa"/>
            <w:vAlign w:val="bottom"/>
            <w:gridSpan w:val="2"/>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2"/>
              </w:rPr>
              <w:t>al</w:t>
            </w:r>
          </w:p>
        </w:tc>
        <w:tc>
          <w:tcPr>
            <w:tcW w:w="120" w:type="dxa"/>
            <w:vAlign w:val="bottom"/>
          </w:tcPr>
          <w:p>
            <w:pPr>
              <w:spacing w:after="0"/>
              <w:rPr>
                <w:sz w:val="10"/>
                <w:szCs w:val="10"/>
                <w:color w:val="auto"/>
              </w:rPr>
            </w:pPr>
          </w:p>
        </w:tc>
        <w:tc>
          <w:tcPr>
            <w:tcW w:w="5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w:t>
            </w:r>
          </w:p>
        </w:tc>
        <w:tc>
          <w:tcPr>
            <w:tcW w:w="6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Stockholde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780" w:type="dxa"/>
            <w:vAlign w:val="bottom"/>
            <w:tcBorders>
              <w:bottom w:val="single" w:sz="8" w:color="auto"/>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bottom w:val="single" w:sz="8" w:color="auto"/>
            </w:tcBorders>
            <w:gridSpan w:val="2"/>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gridSpan w:val="2"/>
          </w:tcPr>
          <w:p>
            <w:pPr>
              <w:jc w:val="center"/>
              <w:ind w:left="326"/>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gridSpan w:val="4"/>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rs'</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gridSpan w:val="2"/>
          </w:tcPr>
          <w:p>
            <w:pPr>
              <w:spacing w:after="0" w:line="113" w:lineRule="exact"/>
              <w:rPr>
                <w:sz w:val="20"/>
                <w:szCs w:val="20"/>
                <w:color w:val="auto"/>
              </w:rPr>
            </w:pPr>
            <w:r>
              <w:rPr>
                <w:rFonts w:ascii="Times New Roman" w:cs="Times New Roman" w:eastAsia="Times New Roman" w:hAnsi="Times New Roman"/>
                <w:sz w:val="11"/>
                <w:szCs w:val="11"/>
                <w:b w:val="1"/>
                <w:bCs w:val="1"/>
                <w:color w:val="auto"/>
                <w:w w:val="97"/>
              </w:rPr>
              <w:t>Amou</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0"/>
              </w:rPr>
              <w:t>Amou</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104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2"/>
                <w:szCs w:val="12"/>
                <w:color w:val="auto"/>
              </w:rPr>
            </w:pPr>
          </w:p>
        </w:tc>
        <w:tc>
          <w:tcPr>
            <w:tcW w:w="3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2"/>
                <w:szCs w:val="12"/>
                <w:color w:val="auto"/>
              </w:rPr>
            </w:pPr>
          </w:p>
        </w:tc>
        <w:tc>
          <w:tcPr>
            <w:tcW w:w="3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unt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2"/>
                <w:szCs w:val="12"/>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2"/>
                <w:szCs w:val="12"/>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17"/>
        </w:trPr>
        <w:tc>
          <w:tcPr>
            <w:tcW w:w="104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105,</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5,222,2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rPr>
              <w:t>(129,94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5,075,000</w:t>
            </w:r>
          </w:p>
        </w:tc>
        <w:tc>
          <w:tcPr>
            <w:tcW w:w="14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11,973,000</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73,598,283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53,271,754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81,587,937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6,842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(123,100 )</w:t>
            </w:r>
          </w:p>
        </w:tc>
        <w:tc>
          <w:tcPr>
            <w:tcW w:w="0" w:type="dxa"/>
            <w:vAlign w:val="bottom"/>
          </w:tcPr>
          <w:p>
            <w:pPr>
              <w:spacing w:after="0"/>
              <w:rPr>
                <w:sz w:val="1"/>
                <w:szCs w:val="1"/>
                <w:color w:val="auto"/>
              </w:rPr>
            </w:pPr>
          </w:p>
        </w:tc>
      </w:tr>
      <w:tr>
        <w:trPr>
          <w:trHeight w:val="121"/>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Conversion of</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97"/>
              </w:rPr>
              <w:t>redeemable convertible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(11,973,00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(73,598,28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w:t>
            </w: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(53,271,75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(112,422,7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87"/>
              </w:rPr>
              <w:t>(120,</w:t>
            </w: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(81,587,93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5"/>
              </w:rPr>
              <w:t>(105,</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38,413,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307,88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(5,075,000 )</w:t>
            </w:r>
          </w:p>
        </w:tc>
        <w:tc>
          <w:tcPr>
            <w:tcW w:w="6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570 )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0 )</w:t>
            </w:r>
          </w:p>
        </w:tc>
        <w:tc>
          <w:tcPr>
            <w:tcW w:w="6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3 )</w:t>
            </w:r>
          </w:p>
        </w:tc>
        <w:tc>
          <w:tcPr>
            <w:tcW w:w="6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120" w:type="dxa"/>
            <w:vAlign w:val="bottom"/>
          </w:tcPr>
          <w:p>
            <w:pPr>
              <w:spacing w:after="0"/>
              <w:rPr>
                <w:sz w:val="12"/>
                <w:szCs w:val="12"/>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000 )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7 )</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020 )</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with an initial public</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offering, net of</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23,000,</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399,56</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issuance costs</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399,565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expense</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(16,934 )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(16,934 )</w:t>
            </w:r>
          </w:p>
        </w:tc>
        <w:tc>
          <w:tcPr>
            <w:tcW w:w="0" w:type="dxa"/>
            <w:vAlign w:val="bottom"/>
          </w:tcPr>
          <w:p>
            <w:pPr>
              <w:spacing w:after="0"/>
              <w:rPr>
                <w:sz w:val="1"/>
                <w:szCs w:val="1"/>
                <w:color w:val="auto"/>
              </w:rPr>
            </w:pPr>
          </w:p>
        </w:tc>
      </w:tr>
      <w:tr>
        <w:trPr>
          <w:trHeight w:val="117"/>
        </w:trPr>
        <w:tc>
          <w:tcPr>
            <w:tcW w:w="1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March</w:t>
            </w: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66,636,</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715,80</w:t>
            </w: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(146,87</w:t>
            </w: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568,938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1040" w:type="dxa"/>
            <w:vAlign w:val="bottom"/>
            <w:tcBorders>
              <w:top w:val="single" w:sz="8" w:color="CFF0FC"/>
            </w:tcBorders>
          </w:tcPr>
          <w:p>
            <w:pPr>
              <w:ind w:left="20"/>
              <w:spacing w:after="0" w:line="106" w:lineRule="exact"/>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2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expense</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(18,902 )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(18,902 )</w:t>
            </w:r>
          </w:p>
        </w:tc>
        <w:tc>
          <w:tcPr>
            <w:tcW w:w="0" w:type="dxa"/>
            <w:vAlign w:val="bottom"/>
          </w:tcPr>
          <w:p>
            <w:pPr>
              <w:spacing w:after="0"/>
              <w:rPr>
                <w:sz w:val="1"/>
                <w:szCs w:val="1"/>
                <w:color w:val="auto"/>
              </w:rPr>
            </w:pPr>
          </w:p>
        </w:tc>
      </w:tr>
      <w:tr>
        <w:trPr>
          <w:trHeight w:val="117"/>
        </w:trPr>
        <w:tc>
          <w:tcPr>
            <w:tcW w:w="1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June</w:t>
            </w:r>
          </w:p>
        </w:tc>
        <w:tc>
          <w:tcPr>
            <w:tcW w:w="640" w:type="dxa"/>
            <w:vAlign w:val="bottom"/>
            <w:tcBorders>
              <w:top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66,659,</w:t>
            </w: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718,13</w:t>
            </w: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(165,77</w:t>
            </w: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30, 2024</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552,359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-3848100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-3830955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-3848100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-3830955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-3848100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-3830955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-3848100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-3830955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-3848100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-3830955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-3848100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-3830955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-3848100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-3830955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-3848100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-3830955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-3848100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-3830955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-3848100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-3830955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-3848100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-3830955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-3848100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-3830955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-3848100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-3830955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-3051175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-3034030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-3051175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-3034030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-3051175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-3034030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-3051175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-3034030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-3051175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-3034030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-3051175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-3034030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-3051175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-3034030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-3051175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-3034030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-3051175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-3034030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-3051175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-3034030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-3051175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-3034030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-3051175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-3034030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-3051175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-3034030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-3051175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-3034030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-744855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-728345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-744855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-728345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-744855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-728345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-744855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-728345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-744855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-728345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-744855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-728345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-744855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-728345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-744855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-728345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-744855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-728345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-744855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-728345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-744855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-728345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-744855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-728345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-744855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-728345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-744855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-728345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-744855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-728345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(35,836 )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(20,284 )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loan fees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Final payment amortization</w:t>
            </w:r>
          </w:p>
        </w:tc>
        <w:tc>
          <w:tcPr>
            <w:tcW w:w="32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Success fee amortization</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discount on short-term investments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(4,665 )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(4,444 )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(90 )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(2,073 )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(42,132</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315,991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2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(659,639 )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(111,047 )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2"/>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(343,674</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initial public offering, net of issuance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406,410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Payments of success fee or long-term debt</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(365 )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(16,223 )</w:t>
            </w:r>
          </w:p>
        </w:tc>
        <w:tc>
          <w:tcPr>
            <w:tcW w:w="0" w:type="dxa"/>
            <w:vAlign w:val="bottom"/>
          </w:tcPr>
          <w:p>
            <w:pPr>
              <w:spacing w:after="0"/>
              <w:rPr>
                <w:sz w:val="1"/>
                <w:szCs w:val="1"/>
                <w:color w:val="auto"/>
              </w:rPr>
            </w:pPr>
          </w:p>
        </w:tc>
      </w:tr>
      <w:tr>
        <w:trPr>
          <w:trHeight w:val="239"/>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(3,424 )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402,698</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(10,104 )</w:t>
            </w:r>
          </w:p>
        </w:tc>
        <w:tc>
          <w:tcPr>
            <w:tcW w:w="0" w:type="dxa"/>
            <w:vAlign w:val="bottom"/>
          </w:tcPr>
          <w:p>
            <w:pPr>
              <w:spacing w:after="0"/>
              <w:rPr>
                <w:sz w:val="1"/>
                <w:szCs w:val="1"/>
                <w:color w:val="auto"/>
              </w:rPr>
            </w:pPr>
          </w:p>
        </w:tc>
      </w:tr>
      <w:tr>
        <w:trPr>
          <w:trHeight w:val="239"/>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taxes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810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Reclassification of 38,413,909 redeemable convertible preferred stock to 38,413,909 shares of common</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307,890</w:t>
            </w:r>
          </w:p>
        </w:tc>
        <w:tc>
          <w:tcPr>
            <w:tcW w:w="28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deferred offering costs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-3578225</wp:posOffset>
            </wp:positionV>
            <wp:extent cx="93980" cy="196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-3578225</wp:posOffset>
            </wp:positionV>
            <wp:extent cx="93980" cy="196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-2789555</wp:posOffset>
            </wp:positionV>
            <wp:extent cx="93980"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-2789555</wp:posOffset>
            </wp:positionV>
            <wp:extent cx="93980" cy="196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-1846580</wp:posOffset>
            </wp:positionV>
            <wp:extent cx="93980"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-1846580</wp:posOffset>
            </wp:positionV>
            <wp:extent cx="9398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-1190625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-1173480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-856615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-839470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-496570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11, 2024, the Company’s board of directors approved a 1-for-9.535 reverse stock split of its issued and outstanding common stock and stock option awards which was effected on January 16, 2024. All issued and outstanding shares of common stock, stock option awards and per share data have been adjusted in these condensed financial statements, on a retrospective basis, to reflect the reverse stock split for all periods presented. The par value of the common stock and preferred stock was not adjusted as a result of the reverse stock split.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shares of common stock underlying outstanding stock options and other equity instruments were proportionately reduced and the respective exercise prices, if applicable, were proportionately increased in accordance with the terms of the agreements governing such securities. In addition, the conversion ratios for each series of the Company’s redeemable convertible preferred stock, which automatically converted into shares of common stock upon the closing of the offering, were proportionally adjusted. Stockholders entitled to fractional shares as a result of the reverse stock split received a cash payment in lieu of receiving fractional shares.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29, 2024, the Company completed the closing of its initial public offering (IPO) of 20,000,000 common shares at a price of $19.00 per share. Additionally, the underwriters exercised their option to purchase an additional 3,000,000 at a price of $19.00 per share. The common shares began trading on the Nasdaq Global Market on January 25, 2024, under the symbol "CGON". The Company received net proceeds of $399.6 million, after deducting discounts and commissions and other offering expenses. In addition, as a result of its IPO, the Company’s redeemable convertible preferred stock converted into common stock concurrently with the IPO.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as of June 30, 2024 and for the three and six months ended June 30, 2024 and 2023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2023 included in the Company's Annual Report on Form 10-K for the year ended December 31, 2023 (2023 Annual Report). In the opinion of management, the interim financial statements reflect all adjustments, which include only normal and recurring adjustments, considered necessary for a fair statement of the interim periods.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approximately $552.9 million of cash, cash equivalents and marketable securities and working capital of approximately $552.0 million. The Company has a relatively limited operating history, and the revenue and income potential of the Company’s business and market are unproven. The Company has experienced net losses and negative cash flows from operations since its inception and, as of June 30, 2024, the Company had an accumulated deficit of $165.8 million. During the three and six months ended June 30, 2024, the Company incurred net losses of $18.9 million and $35.8 million, respectively, and negative cash flows from operations of $42.1 million during the six months ended June 30, 2024.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appearing in its 2023 Annual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as deferred offering costs all direct and incremental legal, professional, accounting and other third-party fees incurred in connection with the Company’s IPO. Upon the completion of the IPO in January 2024, the total deferred offering costs were reclassified to additional paid-in capital on the condensed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Redeemable Convertible Preferred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Classification of the Company’s Series A-1, B, C, D, E and F redeemable convertible preferred stock as of December 31, 2023 was being treated as mezzanine equity and not as part of stockholders’ equity (deficit) because the holders of such shares had liquidation rights in the event of a deemed liquidation that, in certain situations, were not solely within the control of the Company and would have required the redemption of the then-outstanding redeemable convertible preferred stock. In addition, all of the Company’s redeemable convertible preferred stock was redeemable with the passage of time on or after July 28, 2028, by class and if requested by a requisite majority of each class. As a result of the Company’s IPO, the Company’s redeemable convertible preferred stock converted into common stock concurrently with the IPO.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condensed financial statements.</w:t>
      </w:r>
    </w:p>
    <w:p>
      <w:pPr>
        <w:spacing w:after="0" w:line="16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guidance includes the requirements that a public entity disclose, on an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interim basis, significant segment expenses that are regularly provided to the chief operating decision maker and included within each reported measure of segment profit or loss, the title and position of the chief operating decision maker, and an explanation of how the chief operating decision maker uses the reported measure(s) of segment profit or loss in assessing segment performance and deciding how to allocate resources. The guidance also requires that a public entity that has a single reportable segment provide all the disclosures required by the guidance and all existing segment disclosures in Accounting Standards Codification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guidance is effective for fiscal years beginning after December 15, 2023, and interim periods within fiscal years beginning after December 15, 2024. Early adoption is permitted. A public entity should apply the amendments in the guidance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impact that this guidance may have on its financial statements.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guidance includes the requirement that public business entities, on an annual basis,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It also requires that all entities disclose, on an annual basis, the amount of income taxes paid (net of refunds received) disaggregated by federal (national), state, and foreign taxes and the amount of income taxes paid (net of refunds received) disaggregated by individual jurisdictions in which income taxes paid (net of refunds received) is equal to or greater than 5% of total income taxes paid (net of refunds received) and requires that all entities disclose income (or loss) from continuing operations before income tax expense (or benefit) disaggregated between domestic and foreign and income tax expense (or benefit) from continuing operations disaggregated by federal (national), state, and foreign. Lastly, the guidance eliminates the requirement for all entities to disclose the nature and estimate of the range of the reasonably possible change in the unrecognized tax benefits balance in the next 12 months or make a statement that an estimate of the range cannot be made. The guidance is effective for the Company for annual periods beginning after December 15, 2025. Early adoption is permitted for annual financial statements that have not yet been issued or made available for issuance. The guidance should be applied on a prospective basis. Retrospective application is permitted. The Company is currently evaluating the impact that this guidance may have on its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June 30, 2024 and December 31, 2023, respectively,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527,722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527,722</w:t>
            </w:r>
          </w:p>
        </w:tc>
        <w:tc>
          <w:tcPr>
            <w:tcW w:w="100" w:type="dxa"/>
            <w:vAlign w:val="bottom"/>
            <w:shd w:val="clear" w:color="auto" w:fill="CFF0FC"/>
          </w:tcPr>
          <w:p>
            <w:pPr>
              <w:spacing w:after="0"/>
              <w:rPr>
                <w:sz w:val="21"/>
                <w:szCs w:val="21"/>
                <w:color w:val="auto"/>
              </w:rPr>
            </w:pPr>
          </w:p>
        </w:tc>
      </w:tr>
      <w:tr>
        <w:trPr>
          <w:trHeight w:val="418"/>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100" w:type="dxa"/>
            <w:vAlign w:val="bottom"/>
            <w:shd w:val="clear" w:color="auto" w:fill="CFF0FC"/>
          </w:tcPr>
          <w:p>
            <w:pPr>
              <w:spacing w:after="0"/>
              <w:rPr>
                <w:sz w:val="21"/>
                <w:szCs w:val="21"/>
                <w:color w:val="auto"/>
              </w:rPr>
            </w:pPr>
          </w:p>
        </w:tc>
      </w:tr>
      <w:tr>
        <w:trPr>
          <w:trHeight w:val="479"/>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Success fee liability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and were classified as a Level 1 fair value measurement. Marketable securities represent fixed income securities (U.S. treasury bills) with original maturities greater than 90 days and were classified as a Level 2 fair value measurement. As of June 30, 2024 and December 31, 2023, the amortized cost of the Company's available for sale marketable securities approximated their fair value. There was no material realized or unrealized gains or losses, either individually or in the aggregate.</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success fee liability associated with the Loan and Security Agreement (the Loan Agreement) the Company entered into in January 2021 was classified as a Level 3 fair value measurement, due to the use of unobservable inputs. On March 5, 2024, the Company paid $0.4 million for the success fee. See Note 10 for additional information on the success fee.</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and six months ended June 30, 2024 and the year ended December 31,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as of June 30, 2024 and as of December 31, 2023 were as follows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66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shd w:val="clear" w:color="auto" w:fill="CFF0FC"/>
          </w:tcPr>
          <w:p>
            <w:pPr>
              <w:spacing w:after="0"/>
              <w:rPr>
                <w:sz w:val="20"/>
                <w:szCs w:val="20"/>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0"/>
                <w:szCs w:val="20"/>
                <w:color w:val="auto"/>
              </w:rPr>
            </w:pPr>
          </w:p>
        </w:tc>
      </w:tr>
      <w:tr>
        <w:trPr>
          <w:trHeight w:val="24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66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two operating leases, in which the Company was the lessee for office space. As of June 30, 2024 and December 31, 2023, the lease terms were through 2025 and 2026. The Company had no finance leases as of June 30, 2024 and December 31, 2023.</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as of June 30, 2024 and 2023 were as follows (in thousands):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1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840" w:type="dxa"/>
            <w:vAlign w:val="bottom"/>
          </w:tcPr>
          <w:p>
            <w:pPr>
              <w:spacing w:after="0"/>
              <w:rPr>
                <w:sz w:val="24"/>
                <w:szCs w:val="24"/>
                <w:color w:val="auto"/>
              </w:rPr>
            </w:pPr>
          </w:p>
        </w:tc>
        <w:tc>
          <w:tcPr>
            <w:tcW w:w="4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40" w:type="dxa"/>
            <w:vAlign w:val="bottom"/>
          </w:tcPr>
          <w:p>
            <w:pPr>
              <w:spacing w:after="0"/>
              <w:rPr>
                <w:sz w:val="21"/>
                <w:szCs w:val="21"/>
                <w:color w:val="auto"/>
              </w:rPr>
            </w:pPr>
          </w:p>
        </w:tc>
        <w:tc>
          <w:tcPr>
            <w:tcW w:w="4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operating cash flows</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right w:val="single" w:sz="8" w:color="CFF0FC"/>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1.63 %</w:t>
            </w: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200" w:type="dxa"/>
            <w:vAlign w:val="bottom"/>
          </w:tcPr>
          <w:p>
            <w:pPr>
              <w:spacing w:after="0"/>
              <w:rPr>
                <w:sz w:val="20"/>
                <w:szCs w:val="20"/>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18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473"/>
        </w:trPr>
        <w:tc>
          <w:tcPr>
            <w:tcW w:w="642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w w:val="99"/>
              </w:rPr>
              <w:t>Maturities of lease liabilities as of June 30, 2024 were as follows (in thousands):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gridSpan w:val="2"/>
            <w:vMerge w:val="restart"/>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gridSpan w:val="2"/>
            <w:vMerge w:val="continue"/>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gridSpan w:val="2"/>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-1550670</wp:posOffset>
            </wp:positionV>
            <wp:extent cx="541782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17820" cy="15430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-2176780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-2159635</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-2176780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-2159635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-2176780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-2159635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-2176780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-2159635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condensed financial statements if it is determined that it is probable that a loss has been incurred, and that the amount (or range) of the loss can be reasonably estimated.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judgment that an assignment and technology transfer agreement between the Company and ANI, dated November 15, 2010, obligates the Company to pay ANI a royalty on certain "net sales" of cretostimogene. The Company disputes the allegations raised in the case and is vigorously defending the matter.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June 30, 2024, the Company had not experienced any losses related to these indemnification obligations, and no claims with respect thereto were outstanding.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for cretostimogene (the Lepu License Agreement). Under the terms of the Lepu License Agreement, the Company granted to Lepu an exclusive license to develop, manufacture and commercialize cretostimogene and/or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on March 2019 upon execution of the contract.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Lepu License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milestone payments are fully contingent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zero development income for the three months ended June 30, 2024 and 2023. The Company recorded $0.5 million and zero in development income for the six months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Kissei Agreement will expire on a Licensed Product-by-Licensed Product and country-by-country basis when there is no remaining royalty or milestone payment obligation due to a party with respect to such Licensed Product in such country. Following expiration of the Kissei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Agreement may be terminated either by Kissei or by the Company in the event of an uncured material breach by the other party or in the event the other party becomes subject to specified bankruptcy, insolvency or similar circumstances. In addition, the Company have the right to terminate the Kissei Agreement in the event that Kissei commences a legal action challenging the validity, enforceability or scope of any licensed patents under the Kissei Agreement. Kissei may terminate the Kissei Agreement at will upon specified written notice. Additionally, Kissei may terminate the Kissei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Agreement for any other reason all rights and licenses granted to Kissei to develop and commercialize the product under the Kissei Agreement will terminate, subject to certain rights to sell existing inventory of Licensed Products by Kissei and its sublicensees. Upon termination of the Kissei Agreement for Kissei’s breach, any sublicenses granted by Kissei may, upon the Company’s discretion, continue.</w:t>
      </w:r>
    </w:p>
    <w:p>
      <w:pPr>
        <w:spacing w:after="0" w:line="1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Kissei Agreement to determine whether it is a collaborative arrangement 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The Company concluded the Kissei Agreement is a collaborative agreement under ASC 808, as the Kissei Agreement involves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operating activity, each party is an active participant in the activities related to the Kissei Agreement, and both parties are exposed to significant risks and rewards dependent upon the commercial success of the activities related to the Kissei Agreement.</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Agreement are performance obligations with a customer and concluded Kissei is the Company’s customer for the license and related activities in the Kissei Territory under ASC 606. The Global Development activities under the agreement does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$0.1 million and zero in development income for the three months ended June 30, 2024 and 2023, respectively. The Company recorded $0.1 million and $0.2 million in development income for the six months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and 493,530,000 shares of common stock at June 30, 2024 and December 31, 2023, respectively, of which 66,659,852 and 5,222,283 shares were issued and outstanding at June 30, 2024 and December 31, 2023,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 preferences of the holders of the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common stock shall be entitled to one vote in respect of each share. The holders of outstanding shares of common stock, voting together as a single class, shall be entitled to elect one director. The number of authorized shares of common stock may be increased or decreased by the affirmative vote of a majority of the outstanding shares of common stock and preferred stock voting together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 at such times and in such amounts as the board of directors may determine in its sole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5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CG ONCOLOGY, INC.</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2"/>
        </w:trPr>
        <w:tc>
          <w:tcPr>
            <w:tcW w:w="2260" w:type="dxa"/>
            <w:vAlign w:val="bottom"/>
          </w:tcPr>
          <w:p>
            <w:pPr>
              <w:spacing w:after="0"/>
              <w:rPr>
                <w:sz w:val="24"/>
                <w:szCs w:val="24"/>
                <w:color w:val="auto"/>
              </w:rPr>
            </w:pPr>
          </w:p>
        </w:tc>
        <w:tc>
          <w:tcPr>
            <w:tcW w:w="55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Notes to Condensed Financial Statements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7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As of June 30, 2024, the Company reserved the following shares of common stock for issuance:</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2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22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237"/>
        </w:trPr>
        <w:tc>
          <w:tcPr>
            <w:tcW w:w="2260" w:type="dxa"/>
            <w:vAlign w:val="bottom"/>
          </w:tcPr>
          <w:p>
            <w:pPr>
              <w:spacing w:after="0"/>
              <w:rPr>
                <w:sz w:val="20"/>
                <w:szCs w:val="20"/>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6,040,339</w:t>
            </w:r>
          </w:p>
        </w:tc>
        <w:tc>
          <w:tcPr>
            <w:tcW w:w="60" w:type="dxa"/>
            <w:vAlign w:val="bottom"/>
            <w:shd w:val="clear" w:color="auto" w:fill="CFF0FC"/>
          </w:tcPr>
          <w:p>
            <w:pPr>
              <w:spacing w:after="0"/>
              <w:rPr>
                <w:sz w:val="20"/>
                <w:szCs w:val="20"/>
                <w:color w:val="auto"/>
              </w:rPr>
            </w:pPr>
          </w:p>
        </w:tc>
      </w:tr>
      <w:tr>
        <w:trPr>
          <w:trHeight w:val="239"/>
        </w:trPr>
        <w:tc>
          <w:tcPr>
            <w:tcW w:w="22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stock option issuances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7,723,016</w:t>
            </w:r>
          </w:p>
        </w:tc>
        <w:tc>
          <w:tcPr>
            <w:tcW w:w="60" w:type="dxa"/>
            <w:vAlign w:val="bottom"/>
          </w:tcPr>
          <w:p>
            <w:pPr>
              <w:spacing w:after="0"/>
              <w:rPr>
                <w:sz w:val="20"/>
                <w:szCs w:val="20"/>
                <w:color w:val="auto"/>
              </w:rPr>
            </w:pPr>
          </w:p>
        </w:tc>
      </w:tr>
      <w:tr>
        <w:trPr>
          <w:trHeight w:val="243"/>
        </w:trPr>
        <w:tc>
          <w:tcPr>
            <w:tcW w:w="2260" w:type="dxa"/>
            <w:vAlign w:val="bottom"/>
          </w:tcPr>
          <w:p>
            <w:pPr>
              <w:spacing w:after="0"/>
              <w:rPr>
                <w:sz w:val="21"/>
                <w:szCs w:val="21"/>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812,242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14,575,597</w:t>
            </w:r>
          </w:p>
        </w:tc>
        <w:tc>
          <w:tcPr>
            <w:tcW w:w="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June 30, 2024, there were 1,725,019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June 30, 2024, there were 3,569,013 shares of common stock subject to outstanding awards under the 2022 Plan.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the date immediately preceding the date on which the Company’s registration statement was declared effective by the SEC. The 2024 Plan replaced the 2022 Plan, as the Company’s board of directors has determined to not make additional grants under the 2022 Plan following the closing of the offering. However, the 2015 and 2022 Plan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Plan and 2022 Plan as of the effective date of the 2024 Plan that become available for issuance under the 2024 Plan thereafter in accordance with its terms. As of June 30, 2024, there were 746,307 shares of common stock subject to outstanding awards and 7,723,016 shares of common stock remaining and available for issuance under the 2024 Plan.</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three and six months ended June 30, 2024 and 2023:</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2600" w:type="dxa"/>
            <w:vAlign w:val="bottom"/>
          </w:tcPr>
          <w:p>
            <w:pPr>
              <w:spacing w:after="0"/>
              <w:rPr>
                <w:sz w:val="16"/>
                <w:szCs w:val="16"/>
                <w:color w:val="auto"/>
              </w:rPr>
            </w:pPr>
          </w:p>
        </w:tc>
        <w:tc>
          <w:tcPr>
            <w:tcW w:w="33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2600" w:type="dxa"/>
            <w:vAlign w:val="bottom"/>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4"/>
                <w:szCs w:val="14"/>
                <w:color w:val="auto"/>
              </w:rPr>
            </w:pPr>
          </w:p>
        </w:tc>
        <w:tc>
          <w:tcPr>
            <w:tcW w:w="152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- 77.53%</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- 84.50%</w:t>
            </w:r>
          </w:p>
        </w:tc>
        <w:tc>
          <w:tcPr>
            <w:tcW w:w="1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81.4% - 83.7%</w:t>
            </w:r>
          </w:p>
        </w:tc>
      </w:tr>
      <w:tr>
        <w:trPr>
          <w:trHeight w:val="2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- 4.62%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- 4.62%</w:t>
            </w:r>
          </w:p>
        </w:tc>
        <w:tc>
          <w:tcPr>
            <w:tcW w:w="1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3.58% - 4.0%</w:t>
            </w:r>
          </w:p>
        </w:tc>
      </w:tr>
      <w:tr>
        <w:trPr>
          <w:trHeight w:val="247"/>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640" w:type="dxa"/>
            <w:vAlign w:val="bottom"/>
            <w:gridSpan w:val="3"/>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6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6.05 - 6.1</w:t>
            </w:r>
          </w:p>
        </w:tc>
        <w:tc>
          <w:tcPr>
            <w:tcW w:w="1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4.95 - 6.11</w:t>
            </w:r>
          </w:p>
        </w:tc>
      </w:tr>
    </w:tbl>
    <w:p>
      <w:pPr>
        <w:spacing w:after="0" w:line="2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the options granted was $16.49 and $2.62 per share for the six months ended June 30, 2024 and 2023, respectively. The fair value of shares vested during the six months ended June 30, 2024 and 2023 was $3.73 and $1.93 per share, respectively. The fair value of shares exercised during the six months ended June 30, 2024 and 2023 was $2.07 and $2.12 per share, respectively.</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2024 (in thousands, except share and per share amounts):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5,532,871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746,307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(23,660 )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Forfeited/Expired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(215,179 )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6,040,339</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June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6,040,339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June 30,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2,082,480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-333375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-316230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-333375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-316230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-333375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-316230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of $1.5 million and $0.2 million for the three months ended June 30, 2024 and 2023, respectively, and $3.0 million and $0.4 million for the six months ended June 30, 2024 and 2023, respectively. As of June 30, 2024, the Company had an aggregate $22.7 million of gross unrecognized stock-based compensation expense related to unvested options to be recognized over a weighted average period of 3.3 years.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the 2024 Employee Stock Purchase Plan (see Note 9) recorded in the accompanying statements of operations for the three and six months ended June 30, 2024 and 2023 was as follows (in thousands):</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00" w:type="dxa"/>
            <w:vAlign w:val="bottom"/>
          </w:tcPr>
          <w:p>
            <w:pPr>
              <w:spacing w:after="0"/>
              <w:rPr>
                <w:sz w:val="13"/>
                <w:szCs w:val="13"/>
                <w:color w:val="auto"/>
              </w:rPr>
            </w:pPr>
          </w:p>
        </w:tc>
        <w:tc>
          <w:tcPr>
            <w:tcW w:w="18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87"/>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FF0FC"/>
          </w:tcPr>
          <w:p>
            <w:pPr>
              <w:spacing w:after="0"/>
              <w:rPr>
                <w:sz w:val="20"/>
                <w:szCs w:val="20"/>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1"/>
                <w:szCs w:val="21"/>
                <w:color w:val="auto"/>
              </w:rPr>
            </w:pPr>
          </w:p>
        </w:tc>
      </w:tr>
      <w:tr>
        <w:trPr>
          <w:trHeight w:val="27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431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became effective on the date on which the Company’s registration statement was declared effective by the SEC. The number of shares initially available for issuance pursuant to the ESPP is 812,242 shares. The ESPP </w:t>
      </w:r>
      <w:r>
        <w:rPr>
          <w:rFonts w:ascii="Times New Roman" w:cs="Times New Roman" w:eastAsia="Times New Roman" w:hAnsi="Times New Roman"/>
          <w:sz w:val="18"/>
          <w:szCs w:val="18"/>
          <w:color w:val="000000"/>
        </w:rPr>
        <w:t>provides for the sale of the Company's common stock to eligible employees at 85% of the fair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100,000 shares during any purchase period or offering period. There were no purchases of shares under the ESPP during the three and six months ended June 30, 2024. On June 30, 2024, there were approximately 0.8 million shares available for issuance under the ESPP.</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$0.7 million for the three and six months ended June 30, 2024. As of June 30, 2024, the Company had $3.1 million of gross unrecognized stock-based compensation expense under the ESPP to be recognized over a weighted average period of 1.8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12, 2023, the Company repaid all outstanding principal and accrued and unpaid interest on the funds received under the Loan Agreement and all other outstanding obligations with respect to the funds received under the Loan Agreement and made a final payment. On March 5, 2024, the Company paid $0.4 million for the success fee under the Success Fee Agreement entered into in connection with the Loan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(18,902 )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(11,613 )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(35,836 )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(20,284 )</w:t>
            </w: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Cumulative redeemable convertible preferred</w:t>
            </w:r>
          </w:p>
        </w:tc>
        <w:tc>
          <w:tcPr>
            <w:tcW w:w="24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(3,776 )</w:t>
            </w:r>
          </w:p>
        </w:tc>
        <w:tc>
          <w:tcPr>
            <w:tcW w:w="3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(7,510 )</w:t>
            </w: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 dividends</w:t>
            </w:r>
          </w:p>
        </w:tc>
        <w:tc>
          <w:tcPr>
            <w:tcW w:w="240" w:type="dxa"/>
            <w:vAlign w:val="bottom"/>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(18,902 )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(15,389 )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(35,836 )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(27,794 )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66,649,443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3,918,509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56,857,104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3,885,713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00" w:type="dxa"/>
            <w:vAlign w:val="bottom"/>
            <w:shd w:val="clear" w:color="auto" w:fill="CFF0FC"/>
          </w:tcPr>
          <w:p>
            <w:pPr>
              <w:ind w:left="18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(0.28 )</w:t>
            </w: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(3.93 )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(0.63 )</w:t>
            </w:r>
          </w:p>
        </w:tc>
        <w:tc>
          <w:tcPr>
            <w:tcW w:w="2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(7.15 )</w:t>
            </w:r>
          </w:p>
        </w:tc>
        <w:tc>
          <w:tcPr>
            <w:tcW w:w="0" w:type="dxa"/>
            <w:vAlign w:val="bottom"/>
          </w:tcPr>
          <w:p>
            <w:pPr>
              <w:spacing w:after="0"/>
              <w:rPr>
                <w:sz w:val="1"/>
                <w:szCs w:val="1"/>
                <w:color w:val="auto"/>
              </w:rPr>
            </w:pPr>
          </w:p>
        </w:tc>
      </w:tr>
      <w:tr>
        <w:trPr>
          <w:trHeight w:val="227"/>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40" w:type="dxa"/>
            <w:vAlign w:val="bottom"/>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-925195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-925195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-925195</wp:posOffset>
            </wp:positionV>
            <wp:extent cx="51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-925195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-25400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redeemable convertible preferred stock and stock options, have been excluded from the computation of diluted net loss per share as the effect would be to reduce the net loss per share. Basic and diluted net loss per share attributable to common stockholders is computed in conformity with the two-class method required for participating securities. The Company considers all series of its redeemable convertible preferred stock to be participating securities as the holders of such stock have the right to receive dividends on a pari passu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at June 30, 2024 and 2023 because including them would have had an anti-dilutive effect:</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15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2"/>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6,040,339</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4,484,097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6,040,339</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4,484,097</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entered into an agreement with Danforth Advisors, LLC for the provision of interim Chief Financial Officer (CFO) services. Under the agreement, the Company paid Danforth Advisors, LLC for Stephen DiPalma’s services as part-time CFO approximately $0.1 million or less for services rendered for each of the three and six months ended June 30, 2024 and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interim financial statements included in this Quarterly Report on Form 10-Q should be read in conjunction with the financial statements and notes thereto for the year ended December 31, 2023 and the related Management’s Discussion and Analysis of Financial Condition and Results of Operations, both of which are contained in the Annual Report on Form 10-K for the year ended December 31, 2023 (the 2023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a potential backbone bladder-sparing therapeutic for patients afflicted with bladder cancer. Our product candidate, cretostimogene, is initially in clinical development for the treatment of patients with high-risk Non-Muscle Invasive Bladder Cancer (NMIBC) who are unresponsive to Bacillus Calmette Guerin (BCG) therapy, the current standard-of-care for high-risk NMIBC. There is significant unmet need for treatments in these patients given the limitations of currently approved therapies and patient reluctance to undergo radical cystectomy, or the complete removal of the bladder. We are evaluating the safety and efficacy of cretostimogene as monotherapy in BOND-003, our ongoing Phase 3 clinical trial in high-risk BCG-unresponsive NMIBC patients. We have completed enrollment for this trial, reported interim data in May 2024 and expect to report primary data by the end of 2024. If successful, we believe that this trial could serve as the basis for a Biologics License Application (BLA) submission to the U.S. Food and Drug Administration (FDA). In addition, in our CORE-001 Phase 2 clinical trial, we evaluated the use of cretostimogene when administered to this same patient population in combination with FDA-approved pembrolizumab, and reported positive final results from the CORE-001 trial in May 2024. Moreover, we intend to assess the safety and efficacy of cretostimogene in treating a range of other bladder cancer indications as an alternative to BCG therapy and in patients who are not categorized as BCG-unresponsive, including our second Phase 3 clinical trial, PIVOT-006, evaluating adjuvant cretostimogene in up to 364 intermediate-risk NMIBC patients following transurethral resection of the bladder tumor (TURBT). In June 2024, we initiated an expanded access program (EAP) for cretostimogene in the U.S. for patients with NMIBC who are unresponsive to BCG and meet certain program eligibility criteria. The first patient has been dosed in the EAP and enrollment in the study is ongoing. We believe cretostimogene, if approved, has the potential to serve as first-line therapy, thereby alleviating the current need to prioritize treatment recipients and ration administration of BCG given its significant market shortage.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$35.8 million and $20.3 million for the six months ended June 30, 2024 and 2023, respectively. As of June 30, 2024, we had an accumulated deficit of $165.8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date, we have primarily funded our operations with proceeds from the sale of common shares from our IPO, our redeemable convertible preferred stock and previously outstanding term debt. From inception through June 30, 2024, we have received aggregate gross proceeds of approximately $747.5 million from the sale of common shares from our IPO and sales of redeemable convertible preferred stock. In addition, from inception through June 30, 2024, we have recognized $25.6 million in research and collaboration revenue pursuant to our license and collaboration agreements. As of June 30, 2024, we had cash, cash equivalents and marketable securities of $552.9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cash equivalents and marketable securities, will be sufficient to fund our projected operating expenses and capital expenditure requirements through 2027.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cretostimogene or any future product candidates,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cretostimogene.</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2024, we completed our initial public offering of 23,000,000 common shares at a price of $19.00 per share, including the exercise in full by the underwriters of their option to purchase an additional 3,000,000 shares of common stock. We received net proceeds of $399.6 million, after deducting discounts and commissions and offering expenses. In addition, as a result of our initial public offering, our redeemable convertible preferred stock converted into common stock concurrently with the initial public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years ended December 31, 2023 and 2022, less than $0.1 million and zero collaboration revenue, respectively, was recorded related to the Lepu License Agreement. During the three months ended June 30, 2024 and 2023, no collaboration revenue was recorded related to the Lepu License Agreement. During the six months ended June 30, 2024 and 2023, $0.5 million and zero in collaboration revenue was recorded related to the Lepu License Agreement,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years ended December 31, 2023 and 2022, we recorded $0.2 million and $0.2 million, respectively in development income related to the Kissei License Agreement. During the three months ended June 30, 2024 and 2023, $0.1 million and zero in collaboration revenue was recorded related to the Kissei License Agreement, respectively. During the six months ended June 30, 2024 and 2023, $0.5 million and $0.2 million in collaboration revenue was recorded related to the Kissei License Agreement,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inception through June 30, 2024, we have recognized $25.6 million in research and collaboration revenue through our license and collaboration agreements. We have not generated any revenue from the sale of products, however, and do not expect to generate any revenue from the sale of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17"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costs incurred under agreements with contract research organizations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potential additional safety monitoring requested by regulatory agencies;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of changes in government regulation and regulatory guidance;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facilities-related costs not otherwise included in R&amp;D expenses and other costs such as insurance costs and travel expenses.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net, consists of interest income related to interest earned on our invested cash and cash equivalents and marketable securities balances and expenses related to our previously outstanding term debt. We expect our interest income will increase as we invest the cash received from the net proceeds from our IPO.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(expense) income consists of miscellaneous items, such as success fees and final payment amortization and other items not 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(13,638 )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(25,853 )</w:t>
            </w: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(12,326 )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(13,527 )</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3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top w:val="single" w:sz="8" w:color="auto"/>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CFF0FC"/>
            </w:tcBorders>
            <w:shd w:val="clear" w:color="auto" w:fill="CFF0FC"/>
          </w:tcPr>
          <w:p>
            <w:pPr>
              <w:spacing w:after="0"/>
              <w:rPr>
                <w:sz w:val="22"/>
                <w:szCs w:val="22"/>
                <w:color w:val="auto"/>
              </w:rPr>
            </w:pPr>
          </w:p>
        </w:tc>
        <w:tc>
          <w:tcPr>
            <w:tcW w:w="8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(7,289 )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-1148080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-1148080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-1148080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-196850</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Collaboration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collaboration revenue was $0.1 million for the three months ended June 30, 2024 compared to zero for the three months ended June 30, 2023. We recorded $0.1 million in development revenue related to the Kissei License Agreement for the three months ended June 30, 2024, with zero development revenue during the prior year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June 30, 2024 and 2023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-187960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$18.5 million for the three months ended June 30, 2024 compared to $9.8 million for the three months ended June 30, 2023. The increase of $8.6 million in R&amp;D expenses for the three months ended June 30, 2024 was primarily due to an increase of $6.4 million in external clinical trial expenses, including an increase of $3.2 million of chemistry, manufacturing and control (CMC) costs, and an increase of $1.7 million in compensation costs due to increased headcount.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2024 and 2023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70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-187960</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$7.5 million for the three months ended June 30, 2024 compared to $2.5 million for the three months ended June 30, 2023. The increase of $5.0 million in general and administrative expenses for the three months ended June 30, 2024 was primarily due to an increase in personnel-related expenses, including an increase in compensation costs of $3.0 million due to increased headcount, an increase in professional and consultant fees of $0.7 million related to legal, accounting and consulting fees, and an increase of marketing-related costs of $0.6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three months ended June 30, 2024 was an other income, net of $7.0 million compared to an other income, net of $0.7 million for the three months ended June 30, 2023. For the three months ended June 30, 2024, other income (expense), net primarily consisted of $6.9 million in interest income related to marketable securities balances, and for the three months ended June 30, 2023, other income (expense), net primarily consisted of interest income of $0.8 million related to marketable securities balances.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 (in thousands):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collaboration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(26,717 )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(48,322 )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(22,051 )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(26,271 )</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CFF0FC"/>
            </w:tcBorders>
            <w:shd w:val="clear" w:color="auto" w:fill="CFF0FC"/>
          </w:tcPr>
          <w:p>
            <w:pPr>
              <w:spacing w:after="0"/>
              <w:rPr>
                <w:sz w:val="22"/>
                <w:szCs w:val="22"/>
                <w:color w:val="auto"/>
              </w:rPr>
            </w:pP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(15,552 )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-1148080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-1148080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-1148080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-196215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Collaboration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collaboration revenue was $0.6 million for the six months ended June 30, 2024 compared to $0.2 million for the three months ended June 30, 2023. For development revenue, we recorded $0.5 million and zero for the six months ended June 30, 2024 and 2023, respectively, related to the Lepu License Agreement, and we recorded $0.1 million and $0.2 million related to the Kissei License Agreement for the six months ended June 30, 2024 and 2023,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six months ended June 30, 2024 and 2023 (in thousands):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11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35,680</w:t>
            </w:r>
          </w:p>
        </w:tc>
        <w:tc>
          <w:tcPr>
            <w:tcW w:w="110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R&amp;D expenses were $35.7 million for the six months ended June 30, 2024 compared to $17.7 million for the six months ended June 30, 2023. The increase of $18.0 million in R&amp;D expenses for the six months ended June 30, 2024 was primarily due to an increase of $14.2 million in external clinical trial expenses related to higher CRO fees as patient enrollment increased, including an $8.0 million increase in CMC costs, as well as an increase of $2.8 million in compensation costs due to increased headcount, including a $1.1 million increase in stock-based compensation.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2024 and 2023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-187960</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$13.3 million for the six months ended June 30, 2024 compared to $4.6 million for the six months ended June 30, 2023. The increase of $8.7 million in general and administrative expenses for the six months ended June 30, 2024 was primarily due to an increase in compensation costs of $5.0 million due to increased headcount, including a $2.3 million increase in stock-based compensation, as well as increased professional and consultant fees of $1.5 million related to legal, accounting and consulting fees, and an increase in marketing-related costs of $1.0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six months ended June 30, 2024 was an other income, net of $12.5 million compared to an other income, net of $1.8 million for the six months ended June 30, 2023. For the six months ended June 30, 2024, other income (expense), net primarily consisted of $12.5 million in interest income related to marketable securities balances, and for the six months ended June 30, 2023, other income (expense), net primarily consisted of interest income of $1.8 million related to marketable securities balances.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in our initial public offering, the sale of shares of our redeemable convertible preferred stock and previously outstanding term debt. Through June 30, 2024, we have received aggregate gross proceeds of $747.5 million from the sale of common stock in our IPO and sale of redeemable convertible preferred stock. In addition, through June 30, 2024, we have recognized $25.6 million in research and collaboration revenue through our license and collaboration agreements. As of June 30, 2024, we had cash, cash equivalents and marketable securities of $552.9 million. On January 29, 2024, we closed our initial public offering of common stock for aggregate net proceeds of $399.6 million, after deducting discounts and commissions and offering expenses.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expand and protect our intellectual property, and incur additional costs associated with being a public company.</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67" w:lineRule="exact"/>
        <w:rPr>
          <w:rFonts w:ascii="Times New Roman" w:cs="Times New Roman" w:eastAsia="Times New Roman" w:hAnsi="Times New Roman"/>
          <w:sz w:val="18"/>
          <w:szCs w:val="18"/>
          <w:color w:val="231F20"/>
        </w:rPr>
      </w:pPr>
    </w:p>
    <w:p>
      <w:pPr>
        <w:jc w:val="both"/>
        <w:ind w:left="1020" w:right="20" w:hanging="503"/>
        <w:spacing w:after="0" w:line="312" w:lineRule="auto"/>
        <w:tabs>
          <w:tab w:leader="none" w:pos="1020"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4" w:name="page25"/>
    <w:bookmarkEnd w:id="24"/>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 we estimate that our existing cash, cash equivalents and marketable securities, will be sufficient to fund our projected operating expenses and capital expenditure requirements through 2027.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there have been no material changes outside of the ordinary course of business in the composition to the material contractual obligations or commitments discussed in “Management’s Discussion and Analysis of Financial Condition and Results of Operations – Material Cash Requirements for Known Contractual and Other Obligations” included in the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2024 and 2023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(42,132 )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(18,772 )</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(343,674 )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402,698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(15,990 )</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22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(10,104 )</w:t>
            </w:r>
          </w:p>
        </w:tc>
        <w:tc>
          <w:tcPr>
            <w:tcW w:w="0" w:type="dxa"/>
            <w:vAlign w:val="bottom"/>
          </w:tcPr>
          <w:p>
            <w:pPr>
              <w:spacing w:after="0"/>
              <w:rPr>
                <w:sz w:val="1"/>
                <w:szCs w:val="1"/>
                <w:color w:val="auto"/>
              </w:rPr>
            </w:pPr>
          </w:p>
        </w:tc>
      </w:tr>
      <w:tr>
        <w:trPr>
          <w:trHeight w:val="207"/>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-299720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431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$42.1 million of cash, primarily resulting from our net loss of $35.8 million, as well as accretion of the discount on short-term investments of $4.7 million and net cash used in changes in our operating assets and liabilities of $5.4 million, partially offset by non-cash stock-based compensation charges of $3.8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used $18.8 million of cash, primarily resulting from our net loss of $20.3 million, partially offset by $1.1 million of non-cash charges, which includes stock-based compensation expense and amortization associated with the term loan final payoff and success fees, and net cash used in changes in our operating assets and liabilities of $0.7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$343.7 million, primarily due to purchases of marketable securities offset by proceeds from sales and maturities of short-term investments.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used in investing activities was $24.7 million, primarily due to purchases of marketable securities offset by proceeds from sales and maturities of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financing activities was $402.7 million, consisting primarily of net proceeds from the initial public offering, net of issuance costs and deferred offering costs of $403.0 million, partially offset by the long-term debt success fee payoff of $0.4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used in financing activities was $16.0 million, consisting of payments of long-term debt of $16.2 million partially offset by the exercise of common stock options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condensed financial statements are prepared in accordance with generally accepted accounting principles in the United States. The preparation of our condensed financial statements and related disclosures requires us to make estimates and judgments that affect the reported amounts of assets, liabilities, costs and expenses, and the disclosure of contingent assets and liabilities in our condensed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Expenses and Related Prepaid and Accrued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financial statements, we are required to estimate our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R&amp;D expenses as of each balance sheet date based on facts and circumstances known to us at that time. The significant estimates in our R&amp;D expenses include the costs incurred for services performed by our vendors in connection with services for which we have not yet been invoiced. 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condensed financial statements included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As of June 30,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2023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have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June 30, 2024,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4, 2024, a complaint was filed against us in the Superior Court of the State of Delaware by ANI Pharmaceuticals, Inc. seeking a declaratory judgment that an assignment and technology transfer agreement between us and ANI, dated November 15, 2010, obligates us to pay ANI a royalty on certain "net sales" of cretostimogene. We dispute the allegations raised in the case and are vigorously defending the matter.</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 There have been no material developments to the legal proceedings disclosed in Part II, Item 1, "Legal Proceedings" in our 2023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2023 Annual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24, 2024, our registration statement on Form S-1 (File No. 333-276350) was declared effective by the SEC for our initial public offering. At the closing of our initial public offering on January 29, 2024, we sold 23,000,000 shares of common stock, which included the exercise in full by the underwriters of their option to purchase 3,000,000 additional shares, at an initial public offering price of $19.00 per share and received gross proceeds of $437.0 million, which resulted in net proceeds to us of approximately $399.6 million, after deducting underwriting discounts and commissions of approximately $30.6 million and offering-related transaction costs of approximately $6.8 million. As of June 30, 2024, we estimate that we have used approximately $46.9 million of the proceeds from our initial public offering for general corporate purposes, including to fund the research and development of cretostimogene, and manufacturing and pre-commercial activities. There has been no material change in the planned use of proceeds from that described in the final prospectus for our initial public offering filed with the SEC pursuant to Rule 424(b)(4) under the Securities Act.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or non-Rule 10b5-1 trading arrangements (as each such term is defined in Item 408 of Regulation S-K). During the three months ended June 30, 2024, none of our officers or directors adopted, modified or terminated any such trading arrangements.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3"/>
        </w:trPr>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gridSpan w:val="11"/>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40" w:type="dxa"/>
            <w:vAlign w:val="bottom"/>
          </w:tcPr>
          <w:p>
            <w:pPr>
              <w:spacing w:after="0"/>
              <w:rPr>
                <w:sz w:val="24"/>
                <w:szCs w:val="24"/>
                <w:color w:val="auto"/>
              </w:rPr>
            </w:pPr>
          </w:p>
        </w:tc>
        <w:tc>
          <w:tcPr>
            <w:tcW w:w="29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45"/>
        </w:trPr>
        <w:tc>
          <w:tcPr>
            <w:tcW w:w="3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38"/>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87"/>
        </w:trPr>
        <w:tc>
          <w:tcPr>
            <w:tcW w:w="1640" w:type="dxa"/>
            <w:vAlign w:val="bottom"/>
            <w:gridSpan w:val="2"/>
          </w:tcPr>
          <w:p>
            <w:pPr>
              <w:jc w:val="center"/>
              <w:ind w:left="210"/>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6"/>
                <w:szCs w:val="16"/>
                <w:color w:val="auto"/>
              </w:rPr>
            </w:pPr>
          </w:p>
        </w:tc>
        <w:tc>
          <w:tcPr>
            <w:tcW w:w="4820" w:type="dxa"/>
            <w:vAlign w:val="bottom"/>
            <w:gridSpan w:val="12"/>
          </w:tcPr>
          <w:p>
            <w:pPr>
              <w:ind w:left="20"/>
              <w:spacing w:after="0" w:line="188"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Amended and Restated Certificate of Incorporation</w:t>
              </w:r>
            </w:hyperlink>
          </w:p>
        </w:tc>
        <w:tc>
          <w:tcPr>
            <w:tcW w:w="14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3"/>
        </w:trPr>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9"/>
                <w:szCs w:val="19"/>
                <w:color w:val="auto"/>
              </w:rPr>
            </w:pPr>
          </w:p>
        </w:tc>
        <w:tc>
          <w:tcPr>
            <w:tcW w:w="3700" w:type="dxa"/>
            <w:vAlign w:val="bottom"/>
            <w:tcBorders>
              <w:top w:val="single" w:sz="8" w:color="0000FF"/>
            </w:tcBorders>
            <w:gridSpan w:val="7"/>
          </w:tcPr>
          <w:p>
            <w:pPr>
              <w:ind w:left="20"/>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Amended and Restated Bylaws</w:t>
              </w:r>
            </w:hyperlink>
          </w:p>
        </w:tc>
        <w:tc>
          <w:tcPr>
            <w:tcW w:w="1120" w:type="dxa"/>
            <w:vAlign w:val="bottom"/>
            <w:gridSpan w:val="5"/>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01/02/24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9"/>
                <w:szCs w:val="19"/>
                <w:color w:val="auto"/>
              </w:rPr>
            </w:pPr>
          </w:p>
        </w:tc>
        <w:tc>
          <w:tcPr>
            <w:tcW w:w="480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Specimen stock certificate evidencing the shares of common stock</w:t>
              </w:r>
            </w:hyperlink>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01/18/24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9"/>
                <w:szCs w:val="19"/>
                <w:color w:val="auto"/>
              </w:rPr>
            </w:pPr>
          </w:p>
        </w:tc>
        <w:tc>
          <w:tcPr>
            <w:tcW w:w="4680" w:type="dxa"/>
            <w:vAlign w:val="bottom"/>
            <w:tcBorders>
              <w:bottom w:val="single" w:sz="8" w:color="0000FF"/>
            </w:tcBorders>
            <w:gridSpan w:val="8"/>
          </w:tcPr>
          <w:p>
            <w:pPr>
              <w:ind w:left="20"/>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Amended and Restated Investors’ Rights Agreement, dated July</w:t>
              </w:r>
            </w:hyperlink>
          </w:p>
        </w:tc>
        <w:tc>
          <w:tcPr>
            <w:tcW w:w="14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01/18/24</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28, 2023, as amended, by and among the Registrant and certain of</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7"/>
              </w:rPr>
            </w:pPr>
            <w:hyperlink r:id="rId302">
              <w:r>
                <w:rPr>
                  <w:rFonts w:ascii="Times New Roman" w:cs="Times New Roman" w:eastAsia="Times New Roman" w:hAnsi="Times New Roman"/>
                  <w:sz w:val="18"/>
                  <w:szCs w:val="18"/>
                  <w:color w:val="0000FF"/>
                  <w:w w:val="97"/>
                </w:rPr>
                <w:t>its stockholders</w:t>
              </w:r>
            </w:hyperlink>
          </w:p>
        </w:tc>
        <w:tc>
          <w:tcPr>
            <w:tcW w:w="368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6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47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Executive Officer, as required by Rule 13a-</w:t>
            </w:r>
          </w:p>
        </w:tc>
        <w:tc>
          <w:tcPr>
            <w:tcW w:w="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6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9"/>
                <w:szCs w:val="19"/>
                <w:color w:val="auto"/>
              </w:rPr>
            </w:pPr>
          </w:p>
        </w:tc>
        <w:tc>
          <w:tcPr>
            <w:tcW w:w="47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 as required by Rule 13a-</w:t>
            </w:r>
          </w:p>
        </w:tc>
        <w:tc>
          <w:tcPr>
            <w:tcW w:w="1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Borders>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14(a) or Rule 15d-14(a), as adopted pursuant to Section 302 of the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72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9"/>
                <w:szCs w:val="19"/>
                <w:color w:val="auto"/>
              </w:rPr>
            </w:pPr>
          </w:p>
        </w:tc>
        <w:tc>
          <w:tcPr>
            <w:tcW w:w="46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w:t>
            </w:r>
          </w:p>
        </w:tc>
        <w:tc>
          <w:tcPr>
            <w:tcW w:w="140" w:type="dxa"/>
            <w:vAlign w:val="bottom"/>
            <w:gridSpan w:val="4"/>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6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482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22"/>
                <w:szCs w:val="22"/>
                <w:color w:val="auto"/>
              </w:rPr>
            </w:pPr>
          </w:p>
        </w:tc>
        <w:tc>
          <w:tcPr>
            <w:tcW w:w="4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5"/>
        </w:trPr>
        <w:tc>
          <w:tcPr>
            <w:tcW w:w="3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40" w:type="dxa"/>
            <w:vAlign w:val="bottom"/>
          </w:tcPr>
          <w:p>
            <w:pPr>
              <w:spacing w:after="0"/>
              <w:rPr>
                <w:sz w:val="19"/>
                <w:szCs w:val="19"/>
                <w:color w:val="auto"/>
              </w:rPr>
            </w:pPr>
          </w:p>
        </w:tc>
        <w:tc>
          <w:tcPr>
            <w:tcW w:w="4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9" w:lineRule="exact"/>
        <w:rPr>
          <w:sz w:val="20"/>
          <w:szCs w:val="20"/>
          <w:color w:val="auto"/>
        </w:rPr>
      </w:pPr>
    </w:p>
    <w:p>
      <w:pPr>
        <w:ind w:left="1800" w:right="5020" w:hanging="969"/>
        <w:spacing w:after="0" w:line="282"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96" w:lineRule="exact"/>
        <w:rPr>
          <w:rFonts w:ascii="Times New Roman" w:cs="Times New Roman" w:eastAsia="Times New Roman" w:hAnsi="Times New Roman"/>
          <w:sz w:val="18"/>
          <w:szCs w:val="18"/>
          <w:color w:val="auto"/>
        </w:rPr>
      </w:pPr>
    </w:p>
    <w:p>
      <w:pPr>
        <w:ind w:left="5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9512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4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CG Oncology, Inc.</w:t>
            </w:r>
          </w:p>
        </w:tc>
        <w:tc>
          <w:tcPr>
            <w:tcW w:w="4340" w:type="dxa"/>
            <w:vAlign w:val="bottom"/>
          </w:tcPr>
          <w:p>
            <w:pPr>
              <w:spacing w:after="0"/>
              <w:rPr>
                <w:sz w:val="20"/>
                <w:szCs w:val="20"/>
                <w:color w:val="auto"/>
              </w:rPr>
            </w:pPr>
          </w:p>
        </w:tc>
      </w:tr>
      <w:tr>
        <w:trPr>
          <w:trHeight w:val="47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2024</w:t>
            </w:r>
          </w:p>
        </w:tc>
        <w:tc>
          <w:tcPr>
            <w:tcW w:w="34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/s/ Arthur Kuan</w:t>
            </w:r>
          </w:p>
        </w:tc>
      </w:tr>
      <w:tr>
        <w:trPr>
          <w:trHeight w:val="205"/>
        </w:trPr>
        <w:tc>
          <w:tcPr>
            <w:tcW w:w="3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rPr>
              <w:t>Arthur Kuan</w:t>
            </w:r>
          </w:p>
        </w:tc>
      </w:tr>
      <w:tr>
        <w:trPr>
          <w:trHeight w:val="230"/>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34"/>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5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2024</w:t>
            </w:r>
          </w:p>
        </w:tc>
        <w:tc>
          <w:tcPr>
            <w:tcW w:w="34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rPr>
              <w:t>/s/ Corleen Roche</w:t>
            </w:r>
          </w:p>
        </w:tc>
      </w:tr>
      <w:tr>
        <w:trPr>
          <w:trHeight w:val="205"/>
        </w:trPr>
        <w:tc>
          <w:tcPr>
            <w:tcW w:w="3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rPr>
              <w:t>Corleen Roche</w:t>
            </w:r>
          </w:p>
        </w:tc>
      </w:tr>
      <w:tr>
        <w:trPr>
          <w:trHeight w:val="229"/>
        </w:trPr>
        <w:tc>
          <w:tcPr>
            <w:tcW w:w="3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62"/>
        </w:trPr>
        <w:tc>
          <w:tcPr>
            <w:tcW w:w="3500" w:type="dxa"/>
            <w:vAlign w:val="bottom"/>
          </w:tcPr>
          <w:p>
            <w:pPr>
              <w:spacing w:after="0"/>
              <w:rPr>
                <w:sz w:val="24"/>
                <w:szCs w:val="24"/>
                <w:color w:val="auto"/>
              </w:rPr>
            </w:pP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117"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2024</w:t>
            </w:r>
          </w:p>
        </w:tc>
        <w:tc>
          <w:tcPr>
            <w:tcW w:w="2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Arthur Kuan</w:t>
            </w:r>
          </w:p>
        </w:tc>
      </w:tr>
      <w:tr>
        <w:trPr>
          <w:trHeight w:val="234"/>
        </w:trPr>
        <w:tc>
          <w:tcPr>
            <w:tcW w:w="3580" w:type="dxa"/>
            <w:vAlign w:val="bottom"/>
          </w:tcPr>
          <w:p>
            <w:pPr>
              <w:spacing w:after="0"/>
              <w:rPr>
                <w:sz w:val="20"/>
                <w:szCs w:val="20"/>
                <w:color w:val="auto"/>
              </w:rPr>
            </w:pPr>
          </w:p>
        </w:tc>
        <w:tc>
          <w:tcPr>
            <w:tcW w:w="2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Kuan</w:t>
            </w:r>
          </w:p>
        </w:tc>
      </w:tr>
      <w:tr>
        <w:trPr>
          <w:trHeight w:val="238"/>
        </w:trPr>
        <w:tc>
          <w:tcPr>
            <w:tcW w:w="3580" w:type="dxa"/>
            <w:vAlign w:val="bottom"/>
          </w:tcPr>
          <w:p>
            <w:pPr>
              <w:spacing w:after="0"/>
              <w:rPr>
                <w:sz w:val="20"/>
                <w:szCs w:val="20"/>
                <w:color w:val="auto"/>
              </w:rPr>
            </w:pPr>
          </w:p>
        </w:tc>
        <w:tc>
          <w:tcPr>
            <w:tcW w:w="26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35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5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Corleen Roche, certify that:</w:t>
      </w:r>
    </w:p>
    <w:p>
      <w:pPr>
        <w:spacing w:after="0" w:line="117"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580" w:val="left"/>
          <w:tab w:leader="none" w:pos="62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26035</wp:posOffset>
            </wp:positionV>
            <wp:extent cx="31629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30" w:lineRule="exact"/>
        <w:rPr>
          <w:sz w:val="20"/>
          <w:szCs w:val="20"/>
          <w:color w:val="auto"/>
        </w:rPr>
      </w:pPr>
    </w:p>
    <w:p>
      <w:pPr>
        <w:ind w:left="560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Corleen Roche</w:t>
      </w:r>
    </w:p>
    <w:p>
      <w:pPr>
        <w:spacing w:after="0" w:line="36" w:lineRule="exact"/>
        <w:rPr>
          <w:sz w:val="20"/>
          <w:szCs w:val="20"/>
          <w:color w:val="auto"/>
        </w:rPr>
      </w:pPr>
    </w:p>
    <w:p>
      <w:pPr>
        <w:ind w:left="56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June 30, 2024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8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Arthur Kuan</w:t>
            </w:r>
          </w:p>
        </w:tc>
      </w:tr>
      <w:tr>
        <w:trPr>
          <w:trHeight w:val="234"/>
        </w:trPr>
        <w:tc>
          <w:tcPr>
            <w:tcW w:w="3880" w:type="dxa"/>
            <w:vAlign w:val="bottom"/>
          </w:tcPr>
          <w:p>
            <w:pPr>
              <w:spacing w:after="0"/>
              <w:rPr>
                <w:sz w:val="20"/>
                <w:szCs w:val="20"/>
                <w:color w:val="auto"/>
              </w:rPr>
            </w:pPr>
          </w:p>
        </w:tc>
        <w:tc>
          <w:tcPr>
            <w:tcW w:w="28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Kuan</w:t>
            </w:r>
          </w:p>
        </w:tc>
      </w:tr>
      <w:tr>
        <w:trPr>
          <w:trHeight w:val="238"/>
        </w:trPr>
        <w:tc>
          <w:tcPr>
            <w:tcW w:w="3880" w:type="dxa"/>
            <w:vAlign w:val="bottom"/>
          </w:tcPr>
          <w:p>
            <w:pPr>
              <w:spacing w:after="0"/>
              <w:rPr>
                <w:sz w:val="20"/>
                <w:szCs w:val="20"/>
                <w:color w:val="auto"/>
              </w:rPr>
            </w:pPr>
          </w:p>
        </w:tc>
        <w:tc>
          <w:tcPr>
            <w:tcW w:w="28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38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38"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June 30, 2024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0" w:val="left"/>
          <w:tab w:leader="none" w:pos="6080" w:val="left"/>
          <w:tab w:leader="none" w:pos="6760" w:val="left"/>
        </w:tabs>
        <w:rPr>
          <w:sz w:val="20"/>
          <w:szCs w:val="20"/>
          <w:color w:val="auto"/>
        </w:rPr>
      </w:pPr>
      <w:r>
        <w:rPr>
          <w:rFonts w:ascii="Times New Roman" w:cs="Times New Roman" w:eastAsia="Times New Roman" w:hAnsi="Times New Roman"/>
          <w:sz w:val="18"/>
          <w:szCs w:val="18"/>
          <w:color w:val="auto"/>
        </w:rPr>
        <w:t>Date:</w:t>
        <w:tab/>
        <w:t>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Corleen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8"/>
          <w:szCs w:val="18"/>
          <w:color w:val="auto"/>
        </w:rPr>
        <w:t>Name:</w:t>
        <w:tab/>
        <w:t>Corleen Roche</w:t>
      </w:r>
    </w:p>
    <w:p>
      <w:pPr>
        <w:spacing w:after="0" w:line="36" w:lineRule="exact"/>
        <w:rPr>
          <w:sz w:val="20"/>
          <w:szCs w:val="20"/>
          <w:color w:val="auto"/>
        </w:rPr>
      </w:pPr>
    </w:p>
    <w:p>
      <w:pPr>
        <w:ind w:left="6100"/>
        <w:spacing w:after="0"/>
        <w:tabs>
          <w:tab w:leader="none" w:pos="6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66"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2"/>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299" Type="http://schemas.openxmlformats.org/officeDocument/2006/relationships/hyperlink" Target="https://www.sec.gov/Archives/edgar/data/1991792/000119312524009621/d551455dex33.htm" TargetMode="External"/><Relationship Id="rId300" Type="http://schemas.openxmlformats.org/officeDocument/2006/relationships/hyperlink" Target="https://www.sec.gov/Archives/edgar/data/1991792/000119312524000766/d551455dex34.htm" TargetMode="External"/><Relationship Id="rId301" Type="http://schemas.openxmlformats.org/officeDocument/2006/relationships/hyperlink" Target="https://www.sec.gov/Archives/edgar/data/1991792/000119312524009621/d551455dex41.htm" TargetMode="External"/><Relationship Id="rId302" Type="http://schemas.openxmlformats.org/officeDocument/2006/relationships/hyperlink" Target="https://www.sec.gov/Archives/edgar/data/1991792/000119312524009621/d55145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2024-08-08T06:08:51Z</dcterms:created>
  <dcterms:modified xsi:type="dcterms:W3CDTF">2024-08-08T06:08:51Z</dcterms:modified>
</cp:coreProperties>
</file>