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07"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80" w:right="20" w:hanging="459"/>
        <w:spacing w:after="0" w:line="286" w:lineRule="auto"/>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_____________________ TO 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CG Oncology, Inc.</w:t>
      </w:r>
    </w:p>
    <w:p>
      <w:pPr>
        <w:sectPr>
          <w:pgSz w:w="11900" w:h="16838" w:orient="portrait"/>
          <w:cols w:equalWidth="0" w:num="1">
            <w:col w:w="11240"/>
          </w:cols>
          <w:pgMar w:left="320" w:top="1440"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37-1611499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440" w:space="500"/>
            <w:col w:w="33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jc w:val="center"/>
              <w:ind w:left="1067"/>
              <w:spacing w:after="0"/>
              <w:rPr>
                <w:sz w:val="20"/>
                <w:szCs w:val="20"/>
                <w:color w:val="auto"/>
              </w:rPr>
            </w:pPr>
            <w:r>
              <w:rPr>
                <w:rFonts w:ascii="Times New Roman" w:cs="Times New Roman" w:eastAsia="Times New Roman" w:hAnsi="Times New Roman"/>
                <w:sz w:val="18"/>
                <w:szCs w:val="18"/>
                <w:b w:val="1"/>
                <w:bCs w:val="1"/>
                <w:color w:val="auto"/>
                <w:w w:val="99"/>
              </w:rPr>
              <w:t>400 Spectrum Center Drive, Suite 2040</w:t>
            </w: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00" w:type="dxa"/>
            <w:vAlign w:val="bottom"/>
            <w:gridSpan w:val="2"/>
          </w:tcPr>
          <w:p>
            <w:pPr>
              <w:jc w:val="center"/>
              <w:ind w:left="1047"/>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92618</w:t>
            </w:r>
          </w:p>
        </w:tc>
        <w:tc>
          <w:tcPr>
            <w:tcW w:w="0" w:type="dxa"/>
            <w:vAlign w:val="bottom"/>
          </w:tcPr>
          <w:p>
            <w:pPr>
              <w:spacing w:after="0"/>
              <w:rPr>
                <w:sz w:val="1"/>
                <w:szCs w:val="1"/>
                <w:color w:val="auto"/>
              </w:rPr>
            </w:pPr>
          </w:p>
        </w:tc>
      </w:tr>
      <w:tr>
        <w:trPr>
          <w:trHeight w:val="166"/>
        </w:trPr>
        <w:tc>
          <w:tcPr>
            <w:tcW w:w="4500" w:type="dxa"/>
            <w:vAlign w:val="bottom"/>
            <w:gridSpan w:val="2"/>
          </w:tcPr>
          <w:p>
            <w:pPr>
              <w:jc w:val="center"/>
              <w:ind w:left="106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ind w:left="128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26"/>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(949) 409-3700</w:t>
            </w:r>
          </w:p>
        </w:tc>
        <w:tc>
          <w:tcPr>
            <w:tcW w:w="0" w:type="dxa"/>
            <w:vAlign w:val="bottom"/>
          </w:tcPr>
          <w:p>
            <w:pPr>
              <w:spacing w:after="0"/>
              <w:rPr>
                <w:sz w:val="1"/>
                <w:szCs w:val="1"/>
                <w:color w:val="auto"/>
              </w:rPr>
            </w:pPr>
          </w:p>
        </w:tc>
      </w:tr>
      <w:tr>
        <w:trPr>
          <w:trHeight w:val="74"/>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4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00" w:type="dxa"/>
            <w:vAlign w:val="bottom"/>
            <w:gridSpan w:val="2"/>
          </w:tcPr>
          <w:p>
            <w:pPr>
              <w:ind w:left="17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 w:type="dxa"/>
            <w:vAlign w:val="bottom"/>
          </w:tcPr>
          <w:p>
            <w:pPr>
              <w:spacing w:after="0"/>
              <w:rPr>
                <w:sz w:val="14"/>
                <w:szCs w:val="14"/>
                <w:color w:val="auto"/>
              </w:rPr>
            </w:pPr>
          </w:p>
        </w:tc>
        <w:tc>
          <w:tcPr>
            <w:tcW w:w="23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438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6"/>
        </w:trPr>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color w:val="auto"/>
              </w:rPr>
              <w:t>CGON</w:t>
            </w:r>
          </w:p>
        </w:tc>
        <w:tc>
          <w:tcPr>
            <w:tcW w:w="100" w:type="dxa"/>
            <w:vAlign w:val="bottom"/>
          </w:tcPr>
          <w:p>
            <w:pPr>
              <w:spacing w:after="0"/>
              <w:rPr>
                <w:sz w:val="14"/>
                <w:szCs w:val="14"/>
                <w:color w:val="auto"/>
              </w:rPr>
            </w:pPr>
          </w:p>
        </w:tc>
        <w:tc>
          <w:tcPr>
            <w:tcW w:w="438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3"/>
                <w:szCs w:val="13"/>
                <w:color w:val="auto"/>
              </w:rPr>
              <w:t>The Nasdaq Global Select Market</w:t>
            </w:r>
          </w:p>
        </w:tc>
        <w:tc>
          <w:tcPr>
            <w:tcW w:w="0" w:type="dxa"/>
            <w:vAlign w:val="bottom"/>
          </w:tcPr>
          <w:p>
            <w:pPr>
              <w:spacing w:after="0"/>
              <w:rPr>
                <w:sz w:val="1"/>
                <w:szCs w:val="1"/>
                <w:color w:val="auto"/>
              </w:rPr>
            </w:pPr>
          </w:p>
        </w:tc>
      </w:tr>
      <w:tr>
        <w:trPr>
          <w:trHeight w:val="162"/>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60" w:type="dxa"/>
            <w:vAlign w:val="bottom"/>
            <w:gridSpan w:val="6"/>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438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666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8"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49"/>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7"/>
        </w:trPr>
        <w:tc>
          <w:tcPr>
            <w:tcW w:w="1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7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3"/>
          <w:szCs w:val="13"/>
          <w:color w:val="auto"/>
        </w:rPr>
        <w:t>As of June 28, 2024 (the last trading day of the registrant’s most recently completed second quarter), the aggregate market value of the registrant’s common stock held by non-affiliates of the registrant was approximately $1.4 billion, based on the closing price of the registrant’s common stock on the Nasdaq Global Select Market of $31.57 per share.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21, 2025, the registrant had 76,216,855 shares of common stock ($0.0001 par value) outstanding.</w:t>
      </w:r>
    </w:p>
    <w:p>
      <w:pPr>
        <w:spacing w:after="0" w:line="4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3" w:lineRule="exact"/>
        <w:rPr>
          <w:sz w:val="24"/>
          <w:szCs w:val="24"/>
          <w:color w:val="auto"/>
        </w:rPr>
      </w:pPr>
    </w:p>
    <w:p>
      <w:pPr>
        <w:ind w:right="360"/>
        <w:spacing w:after="0" w:line="255" w:lineRule="auto"/>
        <w:rPr>
          <w:sz w:val="20"/>
          <w:szCs w:val="20"/>
          <w:color w:val="auto"/>
        </w:rPr>
      </w:pPr>
      <w:r>
        <w:rPr>
          <w:rFonts w:ascii="Times New Roman" w:cs="Times New Roman" w:eastAsia="Times New Roman" w:hAnsi="Times New Roman"/>
          <w:sz w:val="13"/>
          <w:szCs w:val="13"/>
          <w:color w:val="auto"/>
        </w:rPr>
        <w:t>Portions of the registrant’s Proxy Statement for its 2025 Annual Meeting of Stockholders are incorporated by reference into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1053465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4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34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4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33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Annual Report and are subject to a number of risks, uncertainties and assumptions, including, without limitation, the risk factors described in Part I, Item 1A, “Risk Factors.”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similarly qualified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a potential backbone bladder-sparing therapeutic for patients afflicted with bladder cancer. Our goal is to develop cretostimogene grenadenorepvec (cretostimogene), our product candidate, as an alternative to Bacillus Calmette-Guérin (BCG) in treating a broad range of bladder cancer indications. Cretostimogene is in clinical development for the treatment of patients with high-risk Non-Muscle Invasive Bladder Cancer (NMIBC) who are unresponsive to BCG therapy, the current standard-of-care for high-risk NMIBC. Given the limitations of currently approved therapies, the next course of treatment for these BCG-unresponsive patients is radical cystectomy, or the complete removal of the bladder, which is associated with significant social, functional and emotional burden. As such, there is a significant unmet need for effective treatments in these patients.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anticipation of potential FDA approval, we are actively building our commercial operations, marketing, market access and patient access and field force capabilities. This includes pre-launch activities currently being executed, including scientific communication activities and engagements by our field medical organization. We are also implementing strategic initiatives to build product distribution and patient support. Our efforts are focused on ensuring that we are fully prepared to launch and deliver cretostimogene grenadenorepvec to patients and healthcare providers, if approved. We are evaluating the safety and efficacy of cretostimogene as a monotherapy in BOND-003 Cohort C, our ongoing Phase 3 clinical trial in high-risk BCG-unresponsive NMIBC with carcinoma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(CIS) and with or without Ta/T1 disease. We have completed enrollment for this cohort and reported interim data at the American Urological Association's 2024 Annual Meeting in May 2024, and topline data at the 2024 Society of Urologic Oncology (SUO) Annual Meeting in December 2024, which was updated at the 40th Annual European Association of Urology (EAU) Congress. We believe that this trial could serve as the basis for a Biologics License Application (BLA) submission to the U.S. Food and Drug Administration (FDA) which we expect to initiate in the second half of 2025. Cretostimogene has received both Fast Track and Breakthrough Therapy designations from the FDA for the treatment of high-risk BCG-unresponsive NMIBC with CIS with or without Ta or T1 papillary tumors.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April 2024, we initiated BOND-003 Cohort P, an exploratory study evaluating cretostimogene monotherapy in high-risk BCG-unresponsive NMIBC with only Ta/T1 disease and expect to report topline data from this Cohort in the second half of 2025. In October 2024, we initiated CORE-008 Cohort A, our Phase 2 clinical trial in high-risk NMIBC patients who are naïve to BCG treatment, including patients with CIS and with or without Ta/T1 disease and patients with only Ta/T1 disease. We intend to expand CORE-008 into the high-risk BCG-exposed population, evaluating cretostimogene as a monotherapy and in a combination therapy. We have recently completed and published the results for CORE-001, our Phase 2 clinical trial of cretostimogene in combination with pembrolizumab in patients with high-risk BCG-unresponsive NMIBC that have CIS. Additionally, we have launched our second Phase 3 clinical trial, PIVOT-006, evaluating adjuvant cretostimogene in Intermediate-Risk NMIBC following transurethral resection of the bladder tumor (TURBT). We believe cretostimogene, if approved in Intermediate-Risk NMIBC, has the potential to serve as backbone therapy, thereby alleviating the current need to prioritize treatment recipients and ration administration of BCG given its significant market shortage.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9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Cretostimogene, as both a monotherapy and in combination with other therapies, has shown a potential best-in-class target product profile. Topline data from the Phase 3 BOND-003 Cohort C trial that was presented as a late-breaking abstract at the 2024 SUO Annual Meeting showed that cretostimogene, as a monotherapy in patients with high-risk BCG-unresponsive NMIBC, achieved a 74.5% complete response (CR) rate at any time, as of the data cutoff date on September 30, 2024. Additionally, as of the data cutoff of September 30, 2024, Kaplan-Meier estimates for CR rate at 12 and 24 months were 50% (95% confidence interval (CI), 39.6-58.9%) and 41% (95% CI, 30.4-50.8%), respectively. Progression-free survival (PFS) at 12 months was 97.3% with no patients progressing to muscle invasive cancer, and cystectomy-free survival at 12 months was 90.0%. The estimated duration of response (DoR) probability at 12 months and 24 months was 63.5% (95% CI, 51.2-73.4%) and 56.6% (95% CI, 43.3-67.8%), respectively. Median DoR was not reached but, as of the cutoff date, was greater than 27 months. There were no Grade 3 or higher treatment-related adverse events (TRAEs) or deaths reported. The most common TRAEs (≥10%) were bladder spasm, pollakiuria, dysuria, micturition urgency, and hematuria. No treatment-related discontinuation of cretostimogene was observed, and 97.3% of patients completed all protocol-defined treatments, demonstrating favorable patient adherence and compliance. The study was updated in a late-breaking abstract at the 40th Annual EAU Congress, showing CR rate at any time improved to 75.5%, with median DoR not reached but exceeds 28 months as of the data cutoff of January 20, 2025. In addition, final results from the open-label Phase 2 CORE-001 clinical trial of intravesical cretostimogene in combination with pembrolizumab in high-risk BCG-unresponsive NMIBC were presented at the 2024 American Society of Clinical Oncology (ASCO) Annual Meeting and published in Nature Medicine. As of the May 17, 2024 data cutoff, 29 of the 35 (82.9%; 95% CI, 70.4-95.3%) patients achieved a CR at any time, with 57.1% (n=20/35, 95% CI, 39.5-73.2%) ) of patients maintaining a CR at 12 months, and 54.3% (n=19/35, 95% CI, 36.9-70.8%) of patients maintaining a CR at 24 months, indicating that 95.1% of patients in CR at 12 months remain in CR at 24 months. The safety profile was favorable, with no overlapping or synergistic toxicity observed. Adverse events attributed to cretostimogene were Grade 1 or Grade 2 and self-limited. We have presented the CI for CR at any time above and elsewhere in this Annual Report. CI is a range of values in which, statistically, there is a specified level of confidence where the result lies. It is conventional to set the CI at 95%, which means 95 of 100 times, the CI will contain the true value. The lower bound of the 95% CI around the observed CR rate provides support that such rate may be clinically meaningful. Interim results from these trials may differ from future results of the trials as more patient data become available. Based on these encouraging data, we are working toward the submission of a BLA for cretostimogene as a treatment for patients with high-risk BCG-unresponsive NMIBC, which we expect to initiate in the second half of 2025. We intend to evaluate cretostimogene for use in a broad range of bladder cancer indications, as shown in our pipeline below.</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Our Cretostimogene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172720</wp:posOffset>
            </wp:positionV>
            <wp:extent cx="5349240" cy="268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believe our product candidate, cretostimogene, has a potential best-in-class target product profile that supports our vision of cretostimogene as a potential backbone bladder-sparing therapy in bladder cancer. The key differentiating factors include:</w:t>
      </w:r>
    </w:p>
    <w:p>
      <w:pPr>
        <w:spacing w:after="0" w:line="50" w:lineRule="exact"/>
        <w:rPr>
          <w:sz w:val="20"/>
          <w:szCs w:val="20"/>
          <w:color w:val="auto"/>
        </w:rPr>
      </w:pPr>
    </w:p>
    <w:p>
      <w:pPr>
        <w:jc w:val="both"/>
        <w:ind w:left="102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Favorable monotherapy data. </w:t>
      </w:r>
      <w:r>
        <w:rPr>
          <w:rFonts w:ascii="Times New Roman" w:cs="Times New Roman" w:eastAsia="Times New Roman" w:hAnsi="Times New Roman"/>
          <w:sz w:val="18"/>
          <w:szCs w:val="18"/>
          <w:color w:val="auto"/>
        </w:rPr>
        <w:t>Cretostimogene demonstrated sustained, durable complete responses in high-risk BCG-unresponsive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NMIBC, with a 75.5% CR at any time, and 63.7% of evaluable responders maintaining their response for at least 12 months and 58.7% at 24 months. This shows that a significant number of patients who achieved a complete response at one year maintained it at two years, as of January 20, 2025 in our ongoing Phase 3 BOND-003 trial.</w:t>
      </w:r>
    </w:p>
    <w:p>
      <w:pPr>
        <w:spacing w:after="0" w:line="68"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Strong safety and tolerability profile. </w:t>
      </w:r>
      <w:r>
        <w:rPr>
          <w:rFonts w:ascii="Times New Roman" w:cs="Times New Roman" w:eastAsia="Times New Roman" w:hAnsi="Times New Roman"/>
          <w:sz w:val="18"/>
          <w:szCs w:val="18"/>
          <w:color w:val="auto"/>
        </w:rPr>
        <w:t>No Grade 3 or higher TRAEs were observed and no patient discontinued cretostimogene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TRAEs as of January 20, 2025 in our ongoing Phase 3 BOND-003 trial. The median time to TRAE resolution was one day.</w:t>
      </w:r>
    </w:p>
    <w:p>
      <w:pPr>
        <w:spacing w:after="0" w:line="46" w:lineRule="exact"/>
        <w:rPr>
          <w:rFonts w:ascii="Times New Roman" w:cs="Times New Roman" w:eastAsia="Times New Roman" w:hAnsi="Times New Roman"/>
          <w:sz w:val="18"/>
          <w:szCs w:val="18"/>
          <w:color w:val="auto"/>
        </w:rPr>
      </w:pPr>
    </w:p>
    <w:p>
      <w:pPr>
        <w:jc w:val="both"/>
        <w:ind w:left="1020" w:right="20" w:hanging="503"/>
        <w:spacing w:after="0" w:line="26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Simple route of administration. </w:t>
      </w:r>
      <w:r>
        <w:rPr>
          <w:rFonts w:ascii="Times New Roman" w:cs="Times New Roman" w:eastAsia="Times New Roman" w:hAnsi="Times New Roman"/>
          <w:sz w:val="18"/>
          <w:szCs w:val="18"/>
          <w:color w:val="auto"/>
        </w:rPr>
        <w:t>Similar to the standard-of-care BCG therapy, cretostimogene is administered intravesically, which urology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perform regularly. This is unlike some treatment procedures that require a urologist to perform a cystoscopic examination that involves local anesthesia.</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for combination with other therapies. </w:t>
      </w:r>
      <w:r>
        <w:rPr>
          <w:rFonts w:ascii="Times New Roman" w:cs="Times New Roman" w:eastAsia="Times New Roman" w:hAnsi="Times New Roman"/>
          <w:sz w:val="18"/>
          <w:szCs w:val="18"/>
          <w:color w:val="auto"/>
        </w:rPr>
        <w:t>Cretostimogene, in combination with the checkpoint inhibitor (CPI) pembrolizumab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produced an 82.8% CR at any time in our completed Phase 2 CORE-001 clinical trial, with no Grade 3 or higher TRAEs attributable to cretostimogene, demonstrating the potential benefits of using cretostimogene in a combination therapy.</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broad applicability across bladder cancer indications. </w:t>
      </w:r>
      <w:r>
        <w:rPr>
          <w:rFonts w:ascii="Times New Roman" w:cs="Times New Roman" w:eastAsia="Times New Roman" w:hAnsi="Times New Roman"/>
          <w:sz w:val="18"/>
          <w:szCs w:val="18"/>
          <w:color w:val="auto"/>
        </w:rPr>
        <w:t>Due to its novel dual mechanisms of action, cretostimogene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to address a broad range of bladder cancer indications, including high-risk BCG-naïve, exposed and unresponsive NMIBC, as well as intermediate-risk NMIBC and incremental opportunity in muscle invasive bladder cancer (MIBC).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Bladder Cancer Overview</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Bladder cancer is a heterogeneous disease and involves a number of different cancer sub-types, which can be segmented into NMIBC or MIBC. The American Cancer Society estimates that in 2025, more than 85,000 people will be diagnosed with bladder cancer and that the disease will result in nearly 17,500 deaths. An estimated 730,044 people in the United States are currently living with the disease. NMIBC, which accounts for approximately 75% of newly diagnosed patients, describes earlier-stage bladder cancer that has not spread to the muscle wall. NMIBC can be further stratified by its specific risk profile, with high-risk NMIBC making up approximately 40% of the NMIBC patient population, at an elevated probability of disease progression to more aggressive MIBC within five years of initial diagnosis. Patients with intermediate-risk disease account for approximately 30% of total NMIBC diagnoses.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Current treatment for high-risk NMIBC typically involves TURBT followed by the intravesical (IVE) delivery of BCG therapy to induce a non-specific anti-tumor immune response. This treatment protocol has demonstrated therapeutic benefit with nearly 70% of patients achieving a CR following an initial induction course of therapy. However, approximately 50% of these patients will experience a recurrence of the tumor and few treatment options are available for patients whose disease becomes unresponsive to BCG treatment. While radical cystectomy is the current guideline recommended treatment for BCG-unresponsive NMIBC, only approximately 6% of patients with NMIBC elect to undergo the procedure in light of the significant social, functional and emotional burden associated with it. Further complicating the treatment options available to patients with NMIBC is the ongoing shortage of BCG which has restricted patient eligibility to high-risk BCG-naïve NMIBC only. Even among these patients a significant number of newly-diagnosed, BCG-eligible, treatment-naïve patients in the United States may not receive sufficient BCG therapy, if at all. Moreover, patients with intermediate-risk NMIBC may not have access to BCG due to the shortage, despite the likely therapeutic benefit of earlier adjuvant BCG therapy, because high-risk patients are prioritized in line with guidance published by the National Comprehensive Care Network (NCCN) and guidance published jointly by the American Urological Association (AUA) and the SUO.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Instances of refractory and recurrence disease, patient aversion to cystectomy and the ongoing BCG supply constraints, have created a sizeable unmet medical need for alternative NMIBC therapeutics that are both safe and efficacious. Beyond our ongoing clinical trials in NMIBC, we also initiated CORE-008, an open-label, multi-arm, multi-cohort Phase 2 clinical trial designed to assess the safety and efficacy of cretostimogene when administered as monotherapy in high-risk BCG-exposed and BCG-naïve NMIBC patients. BCG-exposed patients are classified as those with persistent, recurrent or progressive disease after BCG treatment but who do not meet the specific disease classification criteria requisite to be designated as BCG-unresponsive. BCG-naïve NMIBC is classified in patients who have not received any prior BCG therapy.</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NMIBC, we have evaluated cretostimogene as a potential therapeutic to treat patients with MIBC. MIBC is a more aggressive form of bladder cancer than NMIBC and is associated with significantly higher mortality. In CORE-002, a single-arm, exploratory investigator-sponsored clinical trial, intravesical cretostimogene was evaluated in combination with the CPI nivolumab in patients with MIBC ineligible for cisplatin chemotherapy prior to radical cystectomy. Results were published in Nature Medicine online in November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intend to become a leading company in the development and commercialization of innovative therapeutics to treat cancer, with an initial focus on bladder cancer. Key elements of our strategy to accomplish this objective include:</w:t>
      </w:r>
    </w:p>
    <w:p>
      <w:pPr>
        <w:spacing w:after="0" w:line="50" w:lineRule="exact"/>
        <w:rPr>
          <w:sz w:val="20"/>
          <w:szCs w:val="20"/>
          <w:color w:val="auto"/>
        </w:rPr>
      </w:pPr>
    </w:p>
    <w:p>
      <w:pPr>
        <w:jc w:val="both"/>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Pursue FDA approval of cretostimogene as monotherapy in high-risk BCG-unresponsive NMIBC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evaluating the safety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efficacy of cretostimogene in BOND-003, our ongoing Phase 3 clinical trial. We have completed enrollment for this trial, reported interim data in November 2023 and topline data in December 2024. Given the significant unmet need in this indication, the FDA published initial guidance in 2018 (revised in August 2024) that stated a single-arm clinical trial in patients with BCG-unresponsive NMIBC that assess CR rate as the primary endpoint, taking DoR into account, may be appropriate for full approval. Based on this guidance, we believe that, if successful, our BOND-003 trial could serve as the basis for a BLA submission to the FDA.</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the development of cretostimogene monotherapy as a potential backbone therapy across NMIBC indications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evaluating cretostimogene in patients with high-risk BCG-unresponsive NMIBC, and in light of the significant and ongoing global shortage of BCG, we intend to evaluate the safety and efficacy of cretostimogene as an alternative to BCG therapy in additional bladder cancer indications, including: (1) patients diagnosed with intermediate-risk NMIBC, who would likely benefit from earlier therapeutic intervention but are currently lacking access to BCG therapy, in our Phase 3 PIVOT-006 clinical trial; and (2) patients with high-risk BCG-exposed and BCG-naïve NMIBC in our open-label multi-cohort Phase 2 CORE-008 clinical trial. Our goal is to alleviate the current need to prioritize treatment recipients and ration administration of BCG given its significant market shortage. With approximately 85,000 new U.S. diagnoses per year and over 730,044 patients living with bladder cancer in the United States, according to the American Cancer Society, we believe cretostimogene, if approved, has the potential to address the significant unmet need in bladder cancer treatment.</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evaluate cretostimogene in combination with other therapies, such as checkpoint inhibitors, to potentially further enhance its clinical utility across various stages of bladder cancer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January 20, 2025, cretostimogene had been administered in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360 patients with a broad range of NMIBC risk profiles across multiple clinical trials and has been generally well-tolerated with no Grade 4 or 5 TRAEs observed and no treatment-related study discontinuations deemed related to cretostimogene. Based on observed tolerability data to date, we are evaluating the safety and efficacy of cretostimogene in combination with other therapies in addition to our monotherapy trials. These include our new Phase 2 CORE-008 multi-cohort trial in high-risk NMIBC. We believe our approach to combine cretostimogene with other therapeutics across several bladder cancer indications may enhance the potential utility of our product candidate beyond our core strategy of targeting intermediate- and high-risk NMIBC via cretostimogene monotherapy.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2" w:lineRule="exact"/>
        <w:rPr>
          <w:sz w:val="20"/>
          <w:szCs w:val="20"/>
          <w:color w:val="auto"/>
        </w:rPr>
      </w:pPr>
    </w:p>
    <w:p>
      <w:pPr>
        <w:jc w:val="both"/>
        <w:ind w:left="503" w:hanging="503"/>
        <w:spacing w:after="0" w:line="254"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 our operational capabilities to successfully commercialize cretostimogene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preparation for potential FDA regulatory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cretostimogene, we are in the early stages of building in-house sales, marketing and market access capabilities to successfully commercialize cretostimogene in the United States. While the number of patients suffering from bladder cancer is large and growing, a high volume of patients is concentrated in a small number of high value targets and a significant portion of large urology practices including academic urology practices that are concentrated in the largest major metropolitan areas. We believe this concentration will potentially enable us to efficiently reach a large portion of our addressable market with a relatively small commercial footprint. Importantly, urology practices are already deeply familiar with IVE delivery of BCG in NMIBC. Cretostimogene is similarly administered via IVE in the clinic setting by a nurse or medical assistant and therefore does not require urologists nor anesthesia. We believe this could drive increased physician adoption and improve patient experience versus alternative treatments that require urology practices to learn an entirely new and unfamiliar procedure or to transfer them to a medical oncologist for treatment and follow-up.</w:t>
      </w:r>
    </w:p>
    <w:p>
      <w:pPr>
        <w:spacing w:after="0" w:line="77" w:lineRule="exact"/>
        <w:rPr>
          <w:rFonts w:ascii="Times New Roman" w:cs="Times New Roman" w:eastAsia="Times New Roman" w:hAnsi="Times New Roman"/>
          <w:sz w:val="18"/>
          <w:szCs w:val="18"/>
          <w:color w:val="auto"/>
        </w:rPr>
      </w:pPr>
    </w:p>
    <w:p>
      <w:pPr>
        <w:jc w:val="both"/>
        <w:ind w:left="503" w:hanging="503"/>
        <w:spacing w:after="0" w:line="255"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 our chemistry, manufacturing and controls expertise and relationships to scale commercialization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believe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approach will drive a high-yield manufacturing process capable of rapidly scaling to meet demand should cretostimogene receive FDA approval. We have established in-house chemistry, manufacturing and controls (CMC) expertise made up of individuals with oncolytic immunotherapy manufacturing experience, enhanced by an advisory board to help oversee our overall CMC strategic focus, while leveraging third parties for product manufacturing. Our world class CMC Advisory Board provides differentiated expertise in production and potential commercialization of cretostimogene. Our CMC Advisory Board represents former senior leadership from large pharmaceutical companies with deep experience in manufacturing at scale, as well as former FDA leadership. We believe our strategic CMC approach will potentially enable us to maintain an attractive cost of goods while rapidly achieving commercial scalability, if cretostimogene receives FDA approval.</w:t>
      </w:r>
    </w:p>
    <w:p>
      <w:pPr>
        <w:spacing w:after="0" w:line="200" w:lineRule="exact"/>
        <w:rPr>
          <w:sz w:val="20"/>
          <w:szCs w:val="20"/>
          <w:color w:val="auto"/>
        </w:rPr>
      </w:pPr>
    </w:p>
    <w:p>
      <w:pPr>
        <w:spacing w:after="0" w:line="20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8" w:name="page9"/>
    <w:bookmarkEnd w:id="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Bladder Cancer</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human bladder, which functions in the storage and elimination of urine, is a hollow muscular organ composed of multiple tissue layers. As shown below, the inner wall of the bladder is the urothelium, or transitional epithelium. The interior space where urine collects is known as the bladder lumen. The internal side of the urothelium is lined by a glycosaminoglycan (GAG) membrane, which acts as a protective barrier from urine as well as infectious agents. Between the thick, detrusor muscular portion of the bladder wall and the urothelium is the lamina propria, which consists of connective tissue, blood vessels and nerves. A fatty connective tissue layer makes up the organ’s exterior surface, facing the rest of the body.</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Anatomy of the Bladder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172720</wp:posOffset>
            </wp:positionV>
            <wp:extent cx="4517390" cy="2537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1739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American Cancer Society estimates that in 2025, approximately 85,000 people will be diagnosed with bladder cancer in the United States and that it will result in nearly 17,500 deaths. Notable is the disease prevalence with an estimated 730,044 people in the United States living with the disease. The relatively high prevalence rate is driven in part by chances of recurrence, which can be very high for NMIBC. It is estimated that approximately 15% to 61% of patients with high-risk NMIBC will develop recurrence within one year following treatment and approximately 31% to 78% of people with NMIBC will develop recurrence or a secondary bladder cancer within five years following treatment, depending on risk-factors. Bladder cancer is the sixth most common form of cancer in the United States, and men account for three-quarters of newly diagnosed cases. Patients with bladder cancer are generally from high-risk populations, with 74% of patients over 65 years old and a median age of 73 years old. The global bladder cancer treatment market has been forecast to be approximately $9.9 billion by 2028, according to Evaluate Pharma.</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Bladder cancer is a heterogeneous disease and involves a number of different cancer sub-types. In the United States, the vast majority of patients with bladder cancer, accounting for approximately 90% of all diagnoses, have urothelial carcinoma (UC). UC is further segmented into two subtypes, papillary and non-papillary. Papillary UC involves tumors configured as finger-like projections extending from the transitional epithelium into the bladder lumen. Non-papillary, or flat, UC, also known as CIS, which means the cancer is confined to the transitional epithelium, is generally difficult to treat via resection. The 5% of bladder cancer that is not UC includes variant histology such as squamous cell carcinomas, adenocarcinomas, sarcomas and small cell carcinomas.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NMIBC is often used to describe earlier stage disease that has not reached the muscle wall. NMIBC accounts for approximately 75% of newly diagnosed patients, and includes three stages: CIS-containing tumors, Ta and T1. Ta and T1 are papillary UCs which have not spread beyond the lamina propria. T2 through T4 stage make up MIBC, indicative of more aggressive locally advanced and metastatic disease. Bladder cancer has metastasized in an estimated 5% of patients with newly diagnosed disease. The graphic presented below illustrates the differences in disease progression represented by these stages.</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Bladder Cancer is Classified as either NMIBC or MIBC.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172720</wp:posOffset>
            </wp:positionV>
            <wp:extent cx="3411855" cy="2468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1185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NMIBC may be further differentiated by the risk of progression to MIBC. NMIBC with high-grade Ta or T1 stage cancer, any cancer containing CIS (which can occur in any grade of NMIBC or MIBC), and large volume or recurrent Ta stage tumors are considered to be high-risk tumors. Approximately 40% of patients with NMIBC have high-risk disease. Intermediate-risk NMIBC includes mostly low-grade Ta tumors that recur within 12 months, solitary low-grade Ta tumors greater than three centimeters, multifocal low-grade Ta tumors, or high-grade Ta tumors less than or equal to three centimeters. Intermediate-risk NMIBC accounts for an estimated 30% of patients with NMIBC. Low-risk NMIBC consists of low-grade solitary Ta stage tumors and makes up the remaining 30% of NMIBC cases.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Treatment for NMIBC and its Limitations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Regardless of risk stratification, treatment of NMIBC generally involves TURBT, a surgical procedure involving an instrument inserted through the urethra enabling the visual inspection and biopsy of the lesion along with removal of the cancerous cells allowing a patient with NMIBC to retain normal bladder function. Use of TURBT alone is associated with a five-year estimated recurrence rate of approximately 44% to 63% and remains a backbone of early NMIBC treatment regimen. CIS-containing tumors cannot be resected using TURBT. Progression to a more advanced stage or grade subsequent to initial diagnosis is also commonly encountered. As such, in both high-risk and intermediate-risk NMIBC, surgical removal of NMIBC tumors through TURBT is often accompanied by the delivery of adjuvant BCG therapy or chemotherapy, through IVE delivery.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BCG therapy involves the use of a live, attenuated mycobacterium to induce a non-specific anti-tumor immune response in the bladder mucosa and provides meaningful therapeutic utility in the treatment of NMIBC. The use of BCG therapy following TURBT has exhibited sustained anti-tumor activity, with nearly 70% of patients experiencing a CR after an initial induction course of therapy. Despite BCG’s effectiveness, there is a significant global shortage of BCG as described below. In addition, approximately 50% of these patients will experience a recurrence of the tumor and few treatment options are available for patients whose disease becomes unresponsive to BCG treatment.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Classification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NMIBC is a heterogeneous disease with significant variation in individual risk of recurrence and progression to MIBC. Within NMIBC, tumors are stratified as low, intermediate or high-risk based on several factors including tumor stage, grade, tumor size, multifocality, recurrence and presence of other high-risk pathological features. Numerous iterations of disease classification guidelines have evolved over time, primarily from medical professional societies such as the AUA.</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key recommendation from the AUA is that patients with high-risk disease should receive intravesical BCG treatment. Thus, within the high-risk stratification, NMIBC falls on a spectrum extending from BCG-naïve NMIBC (never treated or treated &gt;24 months ago, as defined by the International Bladder Cancer Group (IBCG) Consensus Statement) to BCG-unresponsive NMIBC.</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2018, the FDA published draft guidance titled “BCG-Unresponsive Non muscle Invasive Bladder Cancer: Developing Drugs and Biologics for Treatment,” in order to assist sponsors in the development of drugs, including biologics, for the treatment of BCG-unresponsive NMIBC. This guidance, which was revised in August 2024, provides disease-state definitions and advice on patient selection, risk stratification, and clinical trial design in BCG-unresponsive NMIBC.</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 to the 2018 and the 2024 draft revised FDA guidance, BCG-unresponsive NMIBC is defined as being at least one of the following: (1) persistent or recurrent CIS alone or with recurrent Ta/T1 disease within 12 months of completion of adequate BCG therapy; (2) recurrent high-grade Ta/T1 disease within six months of completion of adequate BCG therapy; or (3) T1 high-grade disease at the first evaluation following an induction BCG course.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this context, adequate BCG therapy is defined as at least one of the following: (1) at least five of six doses of an initial induction course plus at least two of three doses of maintenance therapy, or (2) at least five of six doses of an initial induction course plus at least two of six doses of a second induction course.</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between BCG-naïve and BCG-unresponsive NMIBC lies a disease state where patients do not meet the criteria for either definition called BCG-exposed, which describes a combination of disease states related to prior BCG treatment that are neither BCG-naïve nor BCG-unresponsive. Specifically, NMIBC will be classified as BCG-exposed in many cases including: (1) persistent or recurrent high-grade Ta or CIS-containing disease at the first evaluation following completion of an induction course of BCG therapy; (2) any high-risk recurrence after completion of adequate BCG therapy outside of the BCG-unresponsive window; or (3) any high-risk recurrence after completion of inadequate BCG therapy within a 24-month window.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chart below shows the various treatment pathways leading to classification as BCG-naïve, BCG-exposed, or BCG-unresponsive NMIBC.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171450</wp:posOffset>
            </wp:positionV>
            <wp:extent cx="5349240" cy="2366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Treatment Options for Patients with High-Risk BCG-unresponsive NMIBC</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BCG has been the standard adjuvant therapy for high-risk NMIBC after TURBT, BCG is not without its limitations; it is estimated that approximately 50% of patients eventually develop tumor recurrence. While a subset of these patients will respond to a second round of BCG induction therapy, few treatment options are available to those who are BCG-unresponsive. IVE-delivery of chemotherapy has demonstrated limited benefit. The CR rate reported for valrubicin, the only approved chemotherapy for BCG-refractory NMIBC, is 18% at six months. CIS-containing tumors are typically not considered resectable, further limiting treatment options for patients with BCG-unresponsive NMIBC. Failure to achieve a CR is associated with an increased risk of death or a disease-worsening event. As such, the use of valrubicin in this setting has not been widely adopted.</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2020, pembrolizumab, sold by Merck, was approved by the FDA to treat high-risk BCG-unresponsive NMIBC as monotherapy based on the results of the KEYNOTE-057 Phase 2 clinical trial. In the cohort of participants with CIS-stage tumors, with or without papillary tumors, 39 of 96 patients, or 41%, had a CR at 3 months, with the median DoR being 16.2 months. The percentage of trial participants with a CR declined to 19% at 12 months. Among the trial cohort involving high-risk BCG-unresponsive non-CIS papillary tumors the 12-month disease free survival (DFS) rate was 43.5% with a median DFS of 7.7 months. Patients in KEYNOTE-057 were administered systemic pembrolizumab by a medical oncologist by infusion every 3 weeks for up to 24 months or until disease persistence, recurrence, progression, unacceptable toxic effects, or withdrawal of consent. Across both trial cohorts, Grade 3 or 4 toxicities were observed in 13% of participants, of which the most common were hyponatremia and arthralgia. Serious treatment-related adverse events were noted in 8% of patients, including but not limited to colitis, autoimmune nephritis, hyperthyroidism, lymphocyte count decrease, pulmonary embolism, and syncope. Seven percent of patients discontinued due to TRAEs (cholestatic hepatitis, hyponatremia, nephritis, and type 1 diabetes mellitus).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Nadofaragene firadenovec, a non-replicating adenoviral-based gene therapy produced by Ferring that activates interferon a2b, was approved by the FDA in December 2022 to treat high-risk BCG-unresponsive NMIBC with CIS, with or without papillary tumors. In a Phase 3 clinical trial evaluating nadofaragene for the treatment BCG-unresponsive NMIBC, 51% of patients achieved a CR and 24% of patients maintained a CR at 12 months. Grade 3 or 4 treatment-related adverse events occurred in 4% of patients, including micturition urgency, bladder spasms, urinary incontinence, syncope, and hypertension. Serious treatment-related adverse events were reported in 2% of patients (syncope, sepsis, and hematuria).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2024, nogapendekin alfa inbakicept (nogapendekin), an IL-15 agonist produced by ImmunityBio, in combination with BCG, was approved by the FDA to treat high-risk BCG-unresponsive NMIBC with CIS, with or without papillary tumors. The approval was based on a Phase 2/3 clinical trial showing 62% of BCG-unresponsive NMIBC achieved a CR and 36% of patients maintained a CR at 12 months following treatment with nogapendekin. While Grade 3 or 4 treatment-related adverse events were not reported, serious TRAEs occurred in 16% of patients and 7% of patients had treatment-related discontinuation.</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in part on a retrospective analysis of patients with high-risk NMIBC, combination chemotherapy of gemcitabine and docetaxel are used in practice, although these drugs have not received FDA approval for this indication.</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Given the significant unmet medical need, several additional potential treatments for different stages NMIBC are in various stages of clinical development and regulatory approval. There are multiple companies that have reported drug candidates in clinical development, including Urogen Pharma, Inc.’s UGN-102, an IVE-delivered DNA synthesis inhibitor, mitomycin, in reverse thermal gel formulation for treatment of low-grade intermediate-risk NMIBC, Janssen Pharmaceuticals, Inc.’s TAR-200, a drug delivery system administered via cystoscopic procedure every three weeks for the first 24 weeks (administered by a urologist in a procedure room under local anesthesia) with a continuous controlled-release dose of gemcitabine over a one-week period, enGene, Inc.’s EG-70, an IVE-delivered IL-2 and RIG-I dual-agonist, and Protara Therapeutics, Inc.’s TARA-002, an IVE-delivered cell therapy that elicits a TH1 pro-inflammatory cytokine response.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Aversion to Complete Removal of the Bladder as well as Underlying Mortality Risk</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Radical cystectomy, or the complete removal of the bladder, remains the standard of care for high-risk BCG-unresponsive NMIBC, but commonly requires an ostomy appliance for urinary diversion. Despite being the current guideline recommended option, only approximately 6% of patients with high-risk BCG-unresponsive NMIBC elect to have a radical cystectomy. This hesitancy is associated with significant social, functional and emotional burden. Cystectomy and the radical change in daily routine required often results in diminished body image perception. While the physical and functional trauma may subside, the psychological and emotional burden associated with the consequences of the surgery, which may extend to a patient’s caregivers and healthcare providers, remain. In addition, the procedure is associated with high degrees of morbidity and mortality. Approximately 64% of patients undergoing a radical cystectomy experience complication, with approximately 26% of patients requiring readmission for surgery-related complications and an overall readmission rate estimated to be between 20% and 29%. Moreover, the mortality rate within 90 days of the procedure is between 2% and 5%, likely associated with the more advanced age of many patients with bladder cancer.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Chronic Short Supply of BCG is Expected to Persist for Years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key current issue with BCG is that continual production shortages have left many urological practices in need of an effective and readily available alternative first-line treatment. The production of BCG therapy involves a lengthy and complex manufacturing process and is produced for both the United States and most international markets by a single manufacturer, Merck. In 2017, Sanofi discontinued production of Connaught BCG after a history in challenges producing the product, including a shutdown following a 2011 FDA inspection of documented nonconformances including isolation of mold within the BCG aseptic processing areas, which further exacerbated the overall availability of BCG in the United States. While there are other options globally for BCG, none of the options are available in the United States, except for the TICE BCG strain manufactured by Merck. A randomized controlled, head-to-head trial may be needed to fully examine the impact of different BCG strains on clinical outcomes for patients with bladder cancer.</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BCG has been in short supply for over ten years as demand has outpaced available production capacity. In light of these supply constraints, the use of BCG therapy as induction therapy has been restricted to BCG-naïve, high-grade T1 or CIS-containing NMIBC only, with maintenance therapy limited to 12 months. The NCCN and AUC/SUO guidelines no longer recommend BCG therapy for intermediate-risk NMIBC, instead indicating that BCG should be prioritized for high-risk NMIBC only. Moreover, even among BCG-eligible patients, drug shortages have in some cases necessitated a reduction from a full-dose course of treatment.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2020, Merck announced plans to build an additional BCG manufacturing site and has stated that construction is underway, and the new facility is on track to be completed between late 2025 and late 2026. The current market is only producing 69% of the estimated BCG need based on 2018 baseline volume; even with additional supply, the annual supply gap could be significant. We believe that disease recurrence after BCG therapy, together with current and anticipated ongoing supply shortages, highlights a significant unmet medical need for alternative NMIBC therapeutics which are both safe and efficacious, particularly in the intermediate- and high-risk NMIBC patient populations for whom BCG therapy is not available.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Barriers Exist in Development and Adoption of New Treatments for NMIBC</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Treatments that require administrative methods differing from BCG, such as requirements for operating/procedure room time under anesthesia or intravenous (IV) administration, may limit physician adoption, particularly in community urology practices. Further, we believe any treatment seeking to replace or compete with TURBT in intermediate-risk NMIBC will face slow adoption given TURBT’s place as a cornerstone treatment for urology practices, driving a significant portion of providers’ economics. In addition, treatments leveraging chemotherapies have demonstrated tolerability challenges and adverse events that limit their potential to be combined with other therapeutic agents to further enhance the efficacy profile. Cretostimogene’s administration, which is similar to BCG, could offer convenience for urology practice adoption that will potentially allow cretostimogene to become a primary and backbone therapy across several bladder cancer indications, if successfully developed and approved.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Cretostimogene: Our Product Candidate for Intermediate- and High-Risk NMIBC</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Cretostimogene is an investigational oncolytic immunotherapy with a dual mechanism of action designed both to eliminate cancer cells directly by selective replication and indirectly activating an anti-tumor immune response. Our ongoing open-label Phase 3 clinical trial, BOND-003, is designed to assess the safety and efficacy of cretostimogene in high-risk BCG-unresponsive NMIBC when administered as a monotherapy. We have completed enrolling patients with high-risk NMIBC with CIS and with or without Ta/T1 disease who are unresponsive to BCG in the BOND-003 Cohort C trial and reported topline data in December 2024, which was updated in March 2025. We believe that this trial could serve as the basis for a BLA submission to the FDA, which we expect to initiate in the second half of 2025. We have also completed CORE-001, our open-label Phase 2 clinical trial evaluating the safety and efficacy of cretostimogene when used in combination with pembrolizumab in this same patient population. We believe the clinical trial results observed to date reflect the differentiated therapeutic potential of cretostimogene.</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Cretostimogene, as both a monotherapy and in combination with other therapies, has shown a potential best-in-class target product profile. Topline data from the Phase 3 BOND-003 Cohort C trial that was presented as a late-breaking abstract at the 2024 SUO Annual Meeting showed that cretostimogene, as a single agent, achieved a 74.5% CR at any time in high-risk BCG-unresponsive NMIBC. As of the data cutoff of September 30, 2024, by Kaplan-Meier estimate, 63.5% and 56.6% of patients remained in response at 12 months or greater and at 24 months or greater, respectively, while the median DoR was not reached and exceeds 27 months. There were no Grade 3 or greater treatment-related adverse events (TRAEs) or deaths reported. The most common TRAEs (≥10%) were bladder spasm, pollakiuria, micturition urgency, dysuria, and hematuria. No treatment-related discontinuation of cretostimogene was observed, and 97.3% of patients completed all expected treatments, demonstrating favorable patient adherence and compliance. The study was updated in a late-breaking abstract at the 40th Annual EAU Congress, showing CR rate at any time improved to 75.5%, with median DoR not reached but exceeds 28 months as of the data cutoff of January 20, 2025.</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evaluating the tolerability and efficacy of cretostimogene monotherapy in high-risk BCG-unresponsive NMIBC with only Ta/T1 disease in BOND-003 Cohort P, and have initiated CORE-008 Cohort A, our Phase 2 clinical trial in high-risk NMIBC which are naïve to BCG treatment, including patients with CIS and with or without Ta/T1 disease and patients with only Ta/T1 disease. We recently expanded CORE-008 into the BCG-exposed population (Cohort B), evaluating cretostimogene as a monotherapy and intend to add a third cohort (Cohort CX) in a combination approach. In intermediate-risk NMIBC, we initiated PIVOT-006 in November 2023, which is a randomized Phase 3 clinical trial designed to assess the safety and efficacy of adjuvant cretostimogene in NMIBC following TURBT.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ongoing and planned clinical trials and the specific NMIBC patient population to be evaluated are presented in the following chart.</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Clinical Trials are Ongoing or Planned to Evaluate Cretostimogene in a Range of NMIBC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172720</wp:posOffset>
            </wp:positionV>
            <wp:extent cx="5349240" cy="2494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patients with NMIBC with BCG-unresponsive disease are unlikely to benefit from further BCG therapy. Additionally, given the patient burden and mortality associated with cystectomy, bladder preservation through the avoidance or delay of cystectomy is an intended outcome of new therapeutic product candidates for bladder cancer. We believe our approach is supported by the February 2018 draft FDA guidance, revised in August 2024, regarding clinical trial design targeting BCG-unresponsive, CIS-containing NMIBC that stated that a single-arm trial with CR rate as the primary endpoint, taking DoR into account, may be appropriate for full approval. As of December 31, 2024, there were three products that have received full FDA approval based on data from single-arm clinical trials following the issuance of the guidance.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Grenadenorepvec</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Cretostimogene is an investigational oncolytic immunotherapy that has been designed to selectively replicate in retinoblastoma (Rb)-E2F gene pathway-altered cells present in the majority of UCs and trigger an anti-tumor immune response. Cretostimogene enters the tumor by binding to Coxsackievirus and Adenovirus Receptors (CAR) present in specialized intracellular junctions and tight junctions of polarized epithelial cells.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are two modifications made to cretostimogene for tumor selectivity and potency. The first modification is the insertion of an E2F-1 promoter in cretostimogene which acts as a safety mechanism to selectively replicate and lyse Rb-E2F altered tumor cells rather than healthy cells which have intact Rb pathways. The second modification is the insertion of the gene for the cytokine granulocyte-macrophage colony stimulation factor (GM-CSF). GM-CSF is widely recognized as a potent stimulator of longer-term anti-tumor activity, and we believe its addition to the viral construct may both prime the immune system and induce tumor-specific immunity. Replication and lysis of Rb-E2F altered tumor cells by cretostimogene may trigger an immunogenic cell death that stimulates an anti-tumor immune response.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Comparison of Wild-Type Adenovirus and Our Cretostimogene Constructs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172720</wp:posOffset>
            </wp:positionV>
            <wp:extent cx="4526280" cy="1851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2628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Overview of Cretostimogene’s Replication Selectivity in Healthy Versus Cancerous Cells with Defective Rb-Pathway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172720</wp:posOffset>
            </wp:positionV>
            <wp:extent cx="4526280" cy="254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2628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Administration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Prior to the administration of cretostimogene, patients undergo a saline wash and are then pretreated with n-Dodecyl-ß-D-maltoside (DDM) through IVE delivery. DDM is an excipient used to attenuate the GAG lining of the transitional epithelium and enhance transduction efficiency of adenovirus by urothelial cells. Following DDM wash/dwell and GAG layer attenuation, cretostimogene is IVE-delivered via a catheter. We have now streamlined this process and eliminated the saline and DDM wash steps. This administration process does not require operating room time nor placement of the patient under anesthesia. Furthermore, this is a similar route of administration as standard-of-care BCG therapy, which urology practices perform regularly and, thus, we believe will require limited provider re-training versus other NMIBC treatment approaches.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Overview of Cretostimogene’s IVE Administration into the Bladder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172720</wp:posOffset>
            </wp:positionV>
            <wp:extent cx="5349240" cy="3000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Clinical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Monotherapy for High-risk CIS-containing NMIBC after BCG Failure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BOND-002 Trial Design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BOND-002 trial was a Phase 2, open-label, single-arm clinical trial of cretostimogene in patients with high-risk NMIBC after BCG failure. Cretostimogene was administered intravesically at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viral particles (VPs) per milliliter to patients who had refused radical cystectomy and with high-risk CIS-containing NMIBC, with or without Ta/T1 tumors, and a cohort of Ta/T1 only tumors, that had failed BCG therapy. The trial included a heterogenous mixture of BCG-exposed and BCG-unresponsive NMIBC.</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total of 65 patients were enrolled, which included 46 CIS patients, with or without Ta/T1 disease, and 19 patients with Ta/T1 disease. Patients received an initial induction course of six weekly administrations. Patients who achieved a CR at month six received six weekly maintenance doses of cretostimogene using the same concentration. Patients whose disease did not respond to the first induction course received accelerated maintenance at month three to four, which involved early administration of the maintenance normally provided at six months. Six weekly follow up doses were then administered at months 12 and 18. In this trial, CR rates were evaluated at various timepoints throughout the study.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Response Data in BOND-002 Trial</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Among the 40 (61.5%) patients achieving a CR at any timepoint, the median DoR had yet to be reached after 18 months, with 21 patients (52.5%) without disease progression at 18 months. In most patients, responses occurred early in the treatment course. Specifically in the 46 patients with high-risk CIS-containing NMIBC, 30 (65.2%; 95% CI, 49.7-78.2%) patients displayed a CR at any time subsequent to administration of cretostimogene. Four out of 10 (40.0%) patients who did not achieve CR at three months, and who were subsequently re-dosed with cretostimogene at three months demonstrated CR at six months.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results of BOND-002 are summarized below.</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CR Data from BOND-002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172720</wp:posOffset>
            </wp:positionV>
            <wp:extent cx="4526280" cy="788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262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Safety Data in BOND-002 Trial</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Safety and Tolerability Data from BOND-002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172720</wp:posOffset>
            </wp:positionV>
            <wp:extent cx="4526280" cy="1543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2628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65 patients enrolled per the trial protocol, the safety results above included three additional patients, two who were dosed with cretostimogene for compassionate, single-use patient INDs and one more determined not to have baseline NMIBC retrospectively. Cretostimogene was generally well-tolerated and most TRAEs were limited to Grade 1 to 2, only two Grade 3 TRAEs involving dysuria and hypotension (both of which were resolved), and no Grade 4 or 5 TRAEs. Furthermore, eight SAEs were reported but were determined not related to cretostimogene. Adverse events are generally classified as SAEs if they are fatal or life-threatening, result in inpatient hospitalization or prolongation of an existing hospitalization, or result in persistent or significant disability or incapacity, as well as other medically significant events that may jeopardize the patient or require medical or surgical intervention. Regardless of grade, a TRAE can be classified as an SAE if it meets the aforementioned criteria.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BOND-003 Trial Design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BOND-003 is a global, open-label, single-arm Phase 3 clinical trial designed to evaluate the safety and efficacy of cretostimogene as monotherapy in the treatment of patients that have received adequate BCG therapy with high-risk BCG-unresponsive, CIS-containing NMIBC and BCG-unresponsive Ta or T1 papillary tumors. We designed this trial in light of the 2018 FDA guidance, and the revised draft guidance in August 2024, which defines BCG-unresponsive disease states and says that single-arm trials that assess CR rate as the primary endpoint, taking DoR into account, may be appropriate for full approval.</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initial induction course of therapy is six weekly doses of cretostimogene containing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VPs per milliliter. Patients who achieve a CR at month three receive maintenance treatments, involving three weekly cretostimogene doses administered at the same concentration every three months for the first 12 months and every six months for the next 24 months. Patients who do not achieve a CR after the first induction course may receive a second induction course of six weekly cretostimogene treatments at month 3, rather than the maintenance course involving three weekly treatments. The primary endpoint of the BOND-003 trial is CR at any time subsequent to induction. We have completed enrollment for this trial and reported topline data in December 2024, which was updated in March 2025.</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Enrollment of Additional Cohort in BOND-003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added a cohort of up to 75 patients to evaluate the safety and efficacy of cretostimogene as a monotherapy in the treatment of patients with high-risk BCG-unresponsive NMIBC, Ta or T1 without CIS that have received adequate BCG therapy. The primary endpoint of this cohort is overall event-free survival, with secondary endpoints including safety, high-grade recurrence-free survival (RFS), low-grade RFS, PFS, cystectomy-free survival, and bladder cancer specific survival. We expect to report topline data in the second half of 2025.</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Topline Data from BOND-003 Cohort C Trial</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Topline data from the Phase 3 BOND-003 Cohort C that was presented as a late-breaking abstract at the 2024 SUO Annual Meeting showed that cretostimogene, as a single agent, achieved a 74.5% complete response (CR) at any time in high-risk BCG-unresponsive NMIBC. As of the data cutoff of September 30, 2024, by Kaplan-Meier estimate, 63.5% and 56.6% of patients remained in response at 12 months or greater and at 24 months or greater, respectively, while the median DoR was not reached but exceeds 27 months. The study was updated in a late-breaking abstract at the 40th Annual EAU Congress, showing CR rate at any time improved to 75.5%, with 63.7% and 58.7% of patients remaining in response at 12 months or greater and at 24 months or greater, respectively, while median DoR was not reached but exceeds 28 months as of the data cutoff of January 20, 2025. The chart below shows a sustained DoR observed in patients enrolled in the BOND-003 Cohort C trial as of the January 20, 2025 data cutoff.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Duration of Response Results from BOND-003 Cohort C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172720</wp:posOffset>
            </wp:positionV>
            <wp:extent cx="5349240" cy="2520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Interim Safety Data from BOND-003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Cretostimogene was generally well-tolerated in this trial as of the January 20, 2025 safety data cutoff, with mostly Grade 1 or Grade 2 adverse events reported and no Grade 3 or higher TRAEs or deaths reported. The median time to TRAE resolution was one day. There were no treatment discontinuations due to TRAEs, and 97.3% of patients completed all expected treatments, demonstrating favorable patient adherence and compliance. Two patients (1.8%) had SAEs, including Grade 2 noninfective cystitis, and Grade 2 clot retention, both of which resolved.</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Translational Data from BOND-003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Translational data shared at the EAU Congress showed the level of cretostimogene peaked immediately after instillation, which was sustained locally for 4-5 days. Furthermore, intravesical delivery of cretostimogene reduces anti-drug antibody neutralization, thereby preserving therapeutic efficacy. There was no systemic exposure, with cretostimogene levels remaining below the limit of detection, providing evidence that post cretostimogene treatment close contact precautions are not needed. This information supports the current dosing schedule.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 of Cretostimogene Plus Pembrolizumab for High-Risk BCG-unresponsive CIS-containing NMIBC</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CORE-001 Trial Design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CORE-001 was a Phase 2 single-arm, open-label clinical trial of cretostimogene administered in up to 35 patients with high-risk BCG-unresponsive NMIBC that have CIS-containing tumors, in combination with pembrolizumab, following disease resection. Patients that demonstrate a CR after an initial six-week induction phase of weekly cretostimogene administrations, dosed at a concentration of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VP per milliliter, who also receive two, 400 mg doses of pembrolizumab over three months, are given a maintenance course of three weekly doses of cretostimogene at an equivalent VP concentration, along with two doses of pembrolizumab for three months. Trial participants that do not respond to an initial induction course are eligible to receive a second induction course of six weekly administrations over the following three-month period. During the following six months, patients are provided three weekly doses of cretostimogene every three months for six months, in addition to pembrolizumab every six weeks, with longer-term follow up administration of three weekly doses every six months for 12 months, along with pembrolizumab every 6 weeks. The primary endpoint of the CORE-001 trial is CR at 12 months, with secondary endpoints including CR at any time, DoR and PFS. We entered into a clinical trial collaboration and supply agreement with Merck providing at no-cost supply of pembrolizumab for use in CORE-001 (which agreement also provides for the joint ownership of clinical trial data but has no additional financial obligations and terminates upon conclusion of the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dosing schedule of intravesical cretostimogene in CORE-001 is similar to BOND-003, while pembrolizumab is administered pursuant to its approved dosing schedule.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Final Clinical Results in Our Ongoing CORE-001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Final results from the CORE-001 demonstrated that, as of the May 17, 2024 data cutoff, 29 of the 35 (82.9%; 95% CI, 70.4-95.3%) evaluable patients displayed a CR at any time subsequent to completion of induction therapy. Moreover, administration of cretostimogene has also resulted in durable responses, with 81.8% (n=27/33) of the evaluable patients maintaining a CR at six months and 68.0% (n=17/25) of evaluable patients maintaining a CR at 12 months, each as of the cutoff date. Presented in the chart below is a summary of the interim results observed in patients enrolled in the CORE-001 trial.</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Final Results from CORE-001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172720</wp:posOffset>
            </wp:positionV>
            <wp:extent cx="4526280" cy="1714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2628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Final data have been published in Nature Medicine online in June 2024.</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Safety Data from the CORE-001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the May 17, 2024 data cutoff, 29 of the 35 (82.9%; 95% CI, 70.4-95.3%) patients achieved a CR at any time, with 57.1% (n=20/35, 95% CI, 39.5-73.2%) of patients maintaining a CR at 12 months, and 54.3% (n=19/35, 95% CI, 36.9-70.8%) of patients maintaining a CR at 24 months, indicating that 95.1% of patients in CR at 12 months remain in CR at 24 months. The safety profile was favorable, with no overlapping or synergistic toxicity observed. Adverse events attributed to cretostimogene were Grade 1 or Grade 2 and self-limited.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Ongoing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Monotherapy for Intermediate-Risk NMIBC following TURBT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3 PIVOT-006 Clinical Trial</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initiated PIVOT-006 in November 2023, which is a randomized Phase 3 trial intended to assess the safety and efficacy of adjuvant cretostimogene when administered as monotherapy to patients with intermediate-risk NMIBC (IR-NMIBC) following TURBT. This is a two-arm trial enrolling up to 364 patients with IR-NMIBC, one arm to be administered cretostimogene following the standard of care TURBT with the second arm receiving the standard of care TURBT only. If IR-NMIBC recurrence is noted in the surveillance arm, patients will be eligible to receive intravesical cretostimogene. The initial induction course is six weekly doses of cretostimogene containing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VPs per milliliter. We expect that patients who are recurrence-free at month three will receive a maintenance course involving three weekly cretostimogene doses administered at the same concentration, in months 3 and 6, followed by single weekly doses in months 9 and 12. The primary endpoint of this trial is overall RFS, with secondary endpoints including RFS at 12 and 24 months and PFS. RFS is based on time to last cystoscopic evaluation or time to disease relapse where relapse is defined as any grade bladder cancer recurrence. The first patient was dosed in February 2024. We expect to complete enrollment for this trial in the first half of 2026.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Monotherapy for High-Risk NMIBC</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2 CORE-008 Clinical Trial</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study is an open-label multi-cohort Phase 2 trial intended to assess the safety and clinical outcomes of cretostimogene in treating patients with high-risk NMIBC including BCG-exposed and BCG-naïve NMIBC. Each cohort is expected to enroll at least 60 patients. BCG-exposed patients are classified as those with NMIBC with persistent, recurrent or progressive disease after BCG treatment but do not meet the specific disease classification criteria to be designated BCG-unresponsive. BCG-naïve patients are classified as those patients with NMIBC who have not received any prior BCG therapy. After an induction course of therapy of six weekly doses of cretostimogene containing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VPs per milliliter, we expect that patients who achieve a CR will receive a maintenance course at the same concentration every three months until disease recurrence. We expect that patients who do not achieve a CR after the initial induction course will receive a second induction course at the same concentration followed by the same maintenance course if they achieve a CR. The targeted efficacy endpoints of this trial are expected to include CR at any time following induction, CR at 12 months, DoR and PFS. We initiated Cohort A in BCG-naïve patients in the second half of 2024, with topline data expected in the second half of 2025. We also initiated Cohort B in BCG-exposed patients in the first half of 2025. Topline data from Cohort B is expected to be available in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Clinical Trial Evaluations in MIBC</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MIBC is associated with significantly higher mortality than NMIBC, the five-year mortality rate for patients with MIBC ranging from approximately 66% to 95% depending on disease stage. As such, the delay of disease progression is of particular significance to the estimated 20% to 25% of newly diagnosed bladder cancer patients with MIBC as well as those patients with high-risk NMIBC that progresses to MIBC. Moreover, the annual cost of care for patients with MIBC is estimated to be approximately 2.5 times the annual cost of care for patients with NMIBC.</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Systemic administration of cisplatin is often used as neoadjuvant chemotherapy in the treatment of MIBC. However, as many as 50% of patients are ineligible to receive cisplatin because of existing co-morbidities such as decreased renal function or neuropathy in which case CPIs are the default standard of care. We evaluated the use of intravesical cretostimogene in combination with the CPI nivolumab as a treatment for MIBC, including by our support of CORE-002, a single-arm exploratory investigator-sponsored clinical trial of 21 cisplatin-ineligible patients with no evidence of distant metastases prior to radical cystectomy. Intravesical cretostimogene induction therapy is accompanied by IV nivolumab dosed week 2 and week 6 followed by TURBT or cystectomy. The primary endpoint in this trial is safety; secondary endpoints include evaluations of pathological CR (pCR), RFS and changes in inflammatory status of tumors after combination therapy.</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Among the 21 evaluable patients, the combination of cretostimogene and nivolumab had produced a pathologic complete response (pCR) in 42.1% (n=19/21; 95% CI, 20-64%). Cretostimogene was well-tolerated among trial participants. There were no dose limiting toxicities or Grade 3 or higher treatment related or immune related adverse events. Additionally, 95% of participants completed all study treatments. There was no delay in time to radical cystectomy and no unexpected surgical complications from treatment. Importantly, investigators found that treatment response was not correlated with pre-treatment PD-L1 levels, and that the majority of PD-L1 negative patients had CRs. Additionally, the formation and maturation of tertiary lymphoid structure (TLS) in responders were observed, suggesting the mechanistic onset of anti-tumor humoral memory. TLS are special structures that form in areas of chronic inflammation and assist the immune system to fight cancer. These final clinical and translational results were published in Nature Medicine online in November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leverage third-party manufacturers to support the manufacturing of cretostimogene for clinical trials and, if we receive regulatory approval, we intend to rely on such third parties for commercial manufacture. We do not own or operate, and currently have no plans to establish, any manufacturing facilities. We believe this strategy will enable us to maintain a nimble, efficient and effective working model without making significant internal capital investments. We are currently focused on developing high-yield and scalable processes and analytical methods for the manufacture of cretostimogene. We believe our current manufacturing scale could support commercial demand for cretostimogene to treat patients with high-risk BCG-unresponsive NMIBC, if approved. We work with a third-party manufacturer for the production of cretostimogene and a third-party manufacturer for the production of DDM. We currently obtain our supplies from these manufacturers on a purchase order basis and do not have any long-term supply agreements in place. In order to de-risk our supply chain, and as we advance toward potential commercialization, we intend to enter into long-term supply agreements as well as evaluate additional product manufacturing sources.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established strong in-house CMC capabilities consisting of expertise in process and analytical development and manufacturing, spanning across different modalities including viruses. To complement our in-house CMC capabilities, we have established a CMC Advisory Board, consisting of some of the most respected names in the industry. This advisory group is chaired by Dr. Richard Rutter, Ph.D., formerly Executive Vice President of Biotherapeutics Pharmaceuticals Sciences at Pfizer, and includes Dr. Daniel Takefman, Ph.D., formerly chief of the gene therapy branch at the FDA; Dr. Richard Peluso, Ph.D., formerly Vice President, Biologics and Vaccines, Bioprocess R&amp;D at Merck; and Dr. Victoria Sluzky, Ph.D., formerly Senior Vice President, Technical Development for BioMarin Pharmaceuticals. In combination with the CMC Advisory Board’s experience and strong internal capabilities, we strive to build a sustainable and effective CMC organization.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face substantial competition from multiple sources, including large and specialty pharmaceutical and biotechnology companies, academic research institutions and governmental agencies and public and private research institutions. In addition, many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technologies, and data emerge within the field of oncology and, furthermore, within the treatment of bladder cancer.</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continue to face competition from current standard of care treatments, including BCG. To the extent Merck or another manufacturer increases the supply of BCG, there may be less demand for alternative treatments such as cretostimogene in BCG-naïve or BCG-exposed patients. In addition, there are numerous companies that have commercialized or are developing treatments for NMIBC, including Bristol Meyers Squibb, enGene Inc., Gilead Sciences, Inc., Hoffman-La Roche AG (Roche), ImmunityBio Inc., Johnson &amp; Johnson Inc., Merck, Protara Therapeutics, Inc., Pfizer, Inc., and UroGen Pharma, Inc.</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regulatory processes, and marketing than we do. Mergers and acquisitions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one or more of our competitors successfully develop and commercialize products that are safer, more effective, better-tolerated,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As we prepare for potential FDA approval of cretostimogene for high-risk NMIBC patients unresponsive to BCG, we believe we have established a seasoned executive leadership team and commercial leadership organization with a proven track record for successfully bringing urology and bladder cancer products to market. Additionally, we continue to build our commercial capabilities and commercial infrastructure to ensure market development and commercial launch readiness.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 License and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and as amended September 2022, we entered into a license and collaboration agreement (the Kissei Agreement) with Kissei Pharmaceutical Co., Ltd.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we and Kissei agreed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we are responsible for the costs of developing the Licensed Product outside the Kissei Territory, provided that Kissei is responsible for a low-double digit percentage and we are responsible for a high-double digit percentage of the cost of development activities that cannot be attributed solely to the Kissei Territory or outside the Kissei Territory. We are obligated to supply and Kissei will exclusively purchase its clinical and commercial requirements of Licensed Product from us.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we are prohibited from commercializing certain competing products worldwide and Kissei is prohibited from researching, developing or commercializing certain competing products worldwide.</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Kissei paid to us a one-time upfront payment of $10.0 million and, in connection with the entry into the Kissei Agreement, purchased $30.0 million worth of shares of our Series D redeemable convertible preferred stock as part of our Series D financing. Kissei is obligated to make development, regulatory and commercial milestone payments of up to $100.0 million. We have also agreed to pay Kissei a royalty on net sales of Licensed Product outside the Kissei Territory and outside the Lepu Territory (as described below), including on any U.S. sales, in a low-single digit percentage, subject to certain reductions. We are entitled to receive a royalty on net sales of Licensed Product in the Kissei Territory in the mid-twenties percentage, subject to certain capped reductions. Also, Kissei has the right to offset the royalty payments due to us with respect to the cost for the supply of Licensed Product sold by us to Kissei, and to indefinitely carry forward credits for any excess supply amounts paid over royalty amounts owed in a given quarter. We are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we shall receive no royalties on the net sales of such Licensed Product in such country and such quarter. Kissei’s and our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we granted to Kissei will become non-exclusive, fully-paid royalty-free and irrevocable and Kissei will have the right to negotiate directly with our product suppliers for the direct supply of Licensed Product to Kissei. The Kissei Agreement may be terminated either by Kissei or by us in the event of an uncured material breach by the other party or in the event the other party becomes subject to specified bankruptcy, insolvency or similar circumstances. In addition, we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we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our discretion, continue.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 Development and License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2019, we entered into a development and license agreement (the Lepu Agreement) with Lepu Biotech Co., Ltd. (Lepu), under which we granted an exclusive license to Lepu to develop, manufacture and commercialize cretostimogene and/or DDM to treat and/or prevent cancer in mainland China, including Hong Kong and Macau (the Lepu Territory). Under the Lepu Agreement, Lepu is responsible for using commercially reasonable efforts to develop cretostimogene and DDM in the Lepu Territory, including by performing clinical development activities pursuant to an agreed development plan, and we are obligated to provide Lepu with reasonably requested information, know-how and assistance at Lepu’s cost and expense. Additionally, Lepu is obligated to meet a certain clinical diligence milestones, and we are also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Lepu is obligated to use commercially reasonable efforts to commercialize at least one of cretostimogene and/or DDM and achieve the first commercial sale of such product in the Lepu Territory within specified time periods after receipt of marketing authorization approval therefor.</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Lepu’s royalty obligations will expire upon termination of the Lepu Agreement. Lepu may terminate the Lepu Agreement for any reason upon specified prior written notice. The agreement may be terminated either by Lepu or by us in the event of an uncured material breach by the other party. In addition, we have the right to terminate the agreement in the event that Lepu commences or requests a legal action challenging the validity, enforceability or scope of any licensed patents. Upon termination of the agreement for any reason, all rights and licenses granted to Lepu to develop and commercialize cretostimogene and DDM under the agreement will terminate, and Lepu will be obligated to provide to us all data and results pertaining to cretostimogene and DDM products and assign and transfer to us all regulatory filings, manufacturing documentation and marketing authorization approvals for cretostimogene and DDM. In the event that Lepu has any ongoing clinical trials with respect to cretostimogene and/or DDM as of the effective date of termination, at our request, Lepu is obligated to either promptly transition such clinical trials to us or continue to conduct and complete such clinical trials, at our expense.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proprietary nature of, and protection for, our product candidates and their methods of use are an important part of our strategy to develop and commercialize novel medicines, as described in more detail below. We have obtained patents and filed patent applications in the United States and other countries relating to certain of our proprietary technology, inventions, improvements, and product candidates, and are pursuing additional patent protection for them. We endeavor to protect the proprietary technologies that we believe are important to our business, including pursuing and maintaining patent protection intended to cover cretostimogene, its methods of use, related technologies, and other inventions that are important to our business. In addition to patent protection, we also rely on trade secrets to protect aspects of our business that are not amenable to, or that we do not consider appropriate for, patent protection, including our proprietary method of manufacturing cretostimogene. We will also seek to rely on regulatory protection afforded through inclusion in expedited development and review, data exclusivity, market exclusivity and patent term extensions where available. For example, under the Biologics Price Competition and Innovation Act of 2009 (BPCIA), we believe that cretostimogene or any future product candidates we may develop, if approved as a biological product under a BLA, should qualify for the 12-year period of reference product exclusivity.</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27, 2025, we own seven patent families comprising four issued U.S. patents, nine issued foreign patents in Australia, China, Europe (Unitary Patent), Japan, Singapore, Spain, and the United Kingdom, two pending U.S. non-provisional patent applications, three pending U.S. provisional patent applications, and twelve pending patent applications in jurisdictions outside of the United States.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With regard to cretostimogene, we own four issued U.S. patents and nine issued patents in Australia, China, Europe (Unitary Patent), Japan, Singapore, Spain and the United Kingdom with claims covering methods of use using cretostimogene, including claims covering treatment schedules and combination therapy. These issued patents are expected to expire between 2036 and 2038, without accounting for potentially available patent term adjustments or extensions. We also own two pending U.S. applications and eleven related pending applications with claims covering methods of use using cretostimogene (including claims covering treatment schedules and combination therapy) in Australia, New Zealand, Japan, South Korea, China, Singapore, Hong Kong, and before the European Patent Office, and three pending U.S. provisional patent applications, and any patents that issue from these applications are expected to expire between 2036 and 2045, without accounting for potentially available patent term adjustments or extensions.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product candidates as well as new platform and core technologies.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of cretostimogene, our future product candidates, and their methods of use, as well as successfully defending any such patents against third-party challenges, preserving the confidentiality of our trade secrets,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another patent of ours. In the United States, the term of a patent that covers an FDA-approved drug may also be eligible for extension, which permits patent term restoration as compensation for a portion of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Japan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actual protection afforded by a patent varies on a claim by claim and country by country basis and depends upon many factors, including the type of patent, the scope of its coverage, the availability of any patent term extensions or adjustments, the availability of legal remedies in a particular country and the validity and enforceability of the patent.</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 protection for our proprietary information that is not amenable to, or that we do not consider appropriate for, patent protection, including, for example, aspects of our manufacturing processes for cretostimogene. However, trade secrets can be difficult to protect. Although we take steps to protect our proprietary information, including restriction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risks related to our intellectual property, please see the section titled “Risk Factors—Risks Related to Our Intellectual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applicable federal, state, local and foreign statutes and regulations require the expenditure of substantial time and financial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Biologics Development Process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the Public Health Service Act, and other federal, state, local and foreign statutes and regulations. The process required by the FDA before biologic product candidates may be marketed in the United States generally involves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Good Laboratory Practice regulations (GLPs), and other applicable regulations;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(EC) at each clinical site before each trial may be initiated;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regulations (GCPs), to evaluate the safety, purity and potency of the product candidate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after completion of all pivotal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biologic is produced to assess compliance with current Good Manufacturing Practice requirements (cGMPs), to assure that the facilities, methods and controls are adequate to preserve the biologic’s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 of selected clinical investigation sites to assess compliance with GCPs;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authorization from the FDA to administer an investigational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IND on a clinical hold. In such a case, the IND sponsor and the FDA must resolve any outstanding concerns before the clinical trial can begin. Clinical holds also may be imposed by the FDA at any time before or during clinical trials due to safety concerns or non-compliance with FDA requirements, in which case clinical trials may not begin or continue until the FDA notifies the sponsor that the hold has been lifted.</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and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or biologics, findings from animal or in vitro testing suggesting a significant risk to humans, and any clinically important increased incidence of a serious suspected adverse reaction compared to that listed in the protocol or investigator brochure.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an independent IRB or EC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3" w:lineRule="exact"/>
        <w:rPr>
          <w:sz w:val="20"/>
          <w:szCs w:val="20"/>
          <w:color w:val="auto"/>
        </w:rPr>
      </w:pPr>
    </w:p>
    <w:p>
      <w:pPr>
        <w:ind w:left="102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and tested for safety, dosage tolerance, absorption,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metabolism, distribution and excretion and, if possible, to gain an early indication of its effectiveness.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product candidate is administered to a limited patient population with a specified disease or condition to identify possible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effects and safety risks, to preliminarily evaluate the efficacy of the product candidate for specific targeted diseases and to determine dosage tolerance and appropriate dosage.</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The product candidate is administered to an expanded patient population to further evaluate dosage, to provide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BLA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BLA Review and Approval Process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applicable regulatory requirements, the results of product development, including among other things, results, from nonclinical studies and clinical trials, are submitted to the FDA as part of a BLA requesting approval to market the product candidate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or from a number of alternative sources, such as studies initiated by investigators or other third parties. The submission of a BLA requires payment of a substantial user fee to FDA, and the sponsor of an approved BLA is also subject to an annual program fee. A waiver of user fees may be obtained under certain limited circumstances.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BLAs within the first 60 days after submission, before accepting them for filing, to determine whether they are sufficiently complete to permit substantive review. The FDA may refuse to file any BLA that it deems incomplete or not properly reviewable at the time of submission and may request additional information. In this event, the BLA must be resubmitted with the additional information before FDA will review the application. Once filed, the FDA reviews a BLA to determine, among other things, whether the biologic is safe, pure and potent and the facility in which it is manufactured, processed, packed, or held meets standards designed to assure the product’s continued safety, purity and potency. Under the Prescription Drug User Fee Act (PDUFA), guidelines that are currently in effect, the FDA has a goal of ten months from the date of “filing” of an original BLA to review and act on the submission. This review typically takes twelve months from the date the BLA is submitted to the FDA because the FDA has approximately two months to make a “filing” decision.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Additionally, before approving a BLA, the FDA may inspect one or more clinical trial sites to assure compliance with GCPs. After the FDA evaluates a BLA and conducts inspections of manufacturing facilities where the investigational product and/or its substance will be produced, the FDA may issue an approval letter or a Complete Response Letter (CRL). An approval letter authorizes commercial marketing of the biologic with prescribing information for specific indications. A CRL indicates that the review cycle for the application is complete, and the application will not be approved in its present form. A CRL usually describes the specific deficiencies in the BLA identified by the FDA and may include requirements to conduct additional clinical trials, or other significant and time-consuming requirements related to clinical data,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product receives regulatory approval, referred to as “licensure” by the FDA, such approval may be significantly limited to specific diseases and dosages, or the indications for use may otherwise be limited, which could restrict the commercial value of the product. In addition, the FDA may require a sponsor of an approved BLA to conduct post-marketing clinical trials designed to further assess a biologic’s safety, purity or potency, and may also require testing and surveillance programs to monitor the safety of the product, once commercialized, and may limit further marketing of the product based on the results of these post-marketing studies. The FDA may also place other conditions on BLA approval. Including the requirement for a risk evaluation and mitigation strategy (REMS) to assure the safe use of the product. If the FDA concludes a REMS is needed, the sponsor of the BLA must submit a proposed REMS in connection with the application.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commercial products.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biologics, as well as for new indications, new dosage forms, new dosing regimens or new route of administrations. Under PREA, original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pure and potent. The sponsor or FDA may request a deferral of pediatric clinical trials for some or all of the pediatric subpopulations. A deferral may be granted for several reasons, including a finding that the biologic is ready for approval for use in adults before pediatric clinical trials are complete or that additional data need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Designation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biologic intended to treat a rare disease or condition, which is a disease or condition that affects fewer than 200,000 individuals in the United States or where, if the disease or condition affects more than 200,000 individuals in the United States, there is no reasonable expectation that the cost of developing and making the product available in the United States for this type of disease or condition will be recovered from sales of the product.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biologic for the same disease or condition for seven years, except in limited circumstances, such as a showing of clinical superiority to the product with orphan exclusivity or inability to manufacture the product in sufficient quantities. The designation of such biologic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a the biologic is determined to be contained within the competitor’s product for the same disease or condition. In addition, if an orphan-designated product receives approval for a disease or condition broader than covered in the orphan designation, the product may not be entitled to orphan exclusivity.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biologic. For example, the fast track designation program is intended to expedite or facilitate the process for developing and reviewing product candidates that meet certain criteria. Specifically, investigational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 BLA is submitted, the application may be eligible for priority review. With regard to a fast track product candidate,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 BLA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original BLAs under its current PDUFA review goals.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A biological product candidate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biologic receiving accelerated approval perform adequate and well-controlled confirmatory clinical trials, and may require that such confirmatory trials be underway prior to granting accelerated approval. Biologics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ongoing or planned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FDA closely regulates the marketing, labeling, advertising and promotion of biological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Patient Protection and Affordable Care Act (ACA), signed into law in 2010, includes a subtitle called the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Successful sales of our drug candidates in the U.S. market, if approved, will depend, in part, on the extent to which our drugs will be covered by third-party payors, such as government health programs or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example, in March 2010, the ACA, was enacted in the United States and substantially changed the way healthcare is financed by both the government and private insurers.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and amendments have been proposed and adopted since the ACA was enacted. On March 11, 2021, the American Rescue Plan Act of 2021 was signed into law, which eliminated the statutory Medicaid drug rebate cap, for single source and innovator multiple source drugs, effective January 1, 2024. The rebate was previously capped at 100% of a drug’s average manufacturer price. 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Most recently, on August 16, 2022, the Inflation Reduction Act of 2022 (IRA) was signed into law. Among other things, the IRA requires manufacturers of certain high-expenditure, single-source biologics that have been on the market for at least 11 years to engage in price negotiations with Medicare (beginning in 2026), with prices that can be negotiated subject to a cap (the “Medicare Drug Price Negotiation Program”);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Existing healthcare reform measures, as well as the implementation of additional cost containment measures or other reforms may prevent us from being able to generate revenue, attain profitability or commercialize our product candidates, if approved.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113 employees, all of whom were full-time and 42 of whom were engaged in research and development activities. Twenty-eight of our employees held advanced medical degrees. None of our employees are represented by a labor union or covered under a collective bargaining agreement. We consider our relationship with our employees to be good.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incorporated in Delaware in November 2017. Our corporate headquarters are located at 400 Spectrum Center Drive, Suite 2040, Irvine, California 92618, and our telephone number is (949) 409-3700. Our internet address is https://cgoncology.com/. Our investor relations website is located at https://ir.cgoncology.com/. We make available free of charge on our investor relations website under “SEC Filings” our annual reports on Form 10-K, quarterly reports on Form 10-Q, current reports on Form 8-K, our directors’ and officers’ Section 16 reports and any amendments to those reports as soon as reasonably practicable after filing or furnishing such materials to the SEC. They are also available for free on the SEC’s website at www.sec.gov.</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investor relations website. The information in or accessible through the SEC and our website are not incorporated into, and are not considered part of, this filing. Further, our references to website URLs are intended to be inactive textual references only.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the other information contained in this Annual Report, including our consolidated financial statements and the related notes and “Management’s Discussion and Analysis of Financial Condition and Results of Operations,” before making an investment decision regarding our securities.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In this section, we first provide a summary of the principal risks and uncertainties we face and then provide a full set of risk factors and discuss them in greater detail.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337" w:lineRule="exact"/>
        <w:rPr>
          <w:sz w:val="20"/>
          <w:szCs w:val="20"/>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Cretostimogene is based on a novel approach to the treatment of cancer, which makes it difficult to predict the time and cost of product candidate development and subsequently obtaining regulatory approval, if at all.</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preclinical drug development involves a lengthy and expensive process with uncertain timelines and outcomes, and the results of preclinical studies and early clinical trials are not necessarily predictive of future results. Cretostimogene or any future product candidates may not achieve favorable results in clinical trials or preclinical studies or receive regulatory approval on a timely basis, if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cretostimogene or any future product candidates could be associated with adverse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Breakthrough Therapy designation from the FDA may not lead to a faster development or regulatory review or approval process for cretostimogene and it does not increase the likelihood that cretostimogene or any future product candidates will receive FDA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preclinical studies. If these third parties do not successfully carry out their contractual duties, comply with applicable regulatory requirements, or meet expected deadlines, cretostimogene or any future product candidate and our ability to seek or obtain regulatory approval for or commercialize cretostimogene or any future product candidates may be delayed.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for the manufacture and shipping of cretostimogene for clinical development and if approved by the FDA, will rely on third parties for the manufacture, supply and shipping of cretostimogene for commercialization, and expect to continue to do so for the foreseeable future. This reliance on third parties increases the risk that we will not have sufficient quantities of cretostimogene or future product candidates or such quantities at an acceptable cost, which could delay, prevent, or impair our development or commercialization efforts.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cretostimogene is an investigational product candidate and has not received FDA approval, our third party contract manufacturers have not produced cretostimogene at commercial levels and have not yet successfully passed the necessary regulatory inspections to produce cretostimogene for commercial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Cretostimogene and any Future Product Candidates</w:t>
      </w:r>
    </w:p>
    <w:p>
      <w:pPr>
        <w:spacing w:after="0" w:line="121" w:lineRule="exact"/>
        <w:rPr>
          <w:sz w:val="20"/>
          <w:szCs w:val="20"/>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product candidates are more effective, safer, or less expensive than cretostimogene or any future product candidates we develop, our business and our ability to develop and successfully commercialize products may be adversely affected.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building our internal marketing and sales organization and have no experience as a company in commercializing products, and we will need to invest significant resources to develop these capabilities. If we are unable to establish marketing and sales capabilities or enter into agreements with third parties to market, sell and distribute our products, we may not be able to generate any product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jc w:val="both"/>
        <w:ind w:left="10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currently only have one product candidate, cretostimogene, which is in Phase 3 clinical development. Our business presently depends entirely on our ability to successfully develop, obtain regulatory approval for, and commercialize cretostimogene in a timely manner. This may make an investment in our company riskier than similar companies that have multiple product candidates in active development and may be able to better sustain the delay or failure of a lead product candidate. The success of cretostimogene will depend on several factors, including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enrollment of clinical trials and completion of clinical trials with favorable results, including the full data readouts from the ongoing Phase 3 clinical trials for cretostimogene;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regulatory submissions by the U.S. FDA or comparable foreign regulatory authorities for the conduct of clinical trials of cretostimogene and of our proposed designs of planned clinical trials of cretostimogene;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observed in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contract research organizations (CROs) and clinical sites for the clinical development of cretostimogene, and ability of such CROs and clinical sites to comply with clinical trial protocols, GCPs and other applicable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purity and potency (or efficacy) of cretostimogene to the satisfaction of applicable regulatory authorities, including by establishing a safety database of a size satisfactory to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regulatory approvals from applicable regulatory authorities, including approvals of BLAs from the FDA;</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our third-party manufacturers and their ability to comply with current Good Manufacturing Practices (cGMPs) as well as timely making arrangements with our third-party manufacturers for, or establishing our own, commercial manufacturing capabilities at a cost and scale sufficient to support commercialization;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cretostimogene,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and enforcing patent and any potential trade secret protection or regulatory exclusivity for cretostimogene;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cretostimogene following regulatory approval,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cretostimogene;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approved, by patients, the medical community and third-party payors.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develop, obtain regulatory approval for, or if approved, successfully manufacture and commercialize cretostimogene, or if we experience delays as a result of any of the above factors or otherwise, our business would be materially harmed.</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Cretostimogene is based on a novel approach to the treatment of cancer, which makes it difficult to predict the time and cost of product candidate development and subsequently obtaining regulatory approval, if at all.</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cretostimogene, and our future success largely depends on the successful development of the oncolytic approach underlying this product candidate. In particular, cretostimogene is an engineered adenovirus designed to replicate and eliminate cancer cells while also stimulating an anti-tumor immune response. To our knowledge, there are no FDA-approved products for the treatment of cancer that utilize a replication-competent adenovirus.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the novel nature of cretostimogene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cretostimogene.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cretostimogene is a live, gene-modified virus for which the FDA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18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drug development involves a lengthy and expensive process with uncertain timelines and outcomes, and the results of preclinical studies and early clinical trials are not necessarily predictive of future results. Cretostimogene or any future product candidates may not achieve favorable results in clinical trials or preclinical studies or receive regulatory approval on a timely basis, if at all.</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Drug development is expensive and can take many years to complete, and its outcome is inherently uncertain. We cannot guarantee that any clinical trials or preclinical studies will be conducted as planned, including whether we are able to meet expected timeframes for data readouts, or completed on schedule, if at all, and failure can occur at any time during the trial or study process, including due to factors that are beyond our control. Despite promising preclinical or clinical results, cretostimogene or any other future product candidate can unexpectedly fail at any stage of clinical or preclinical development. The historical failure rate for product candidates in our industry is high.</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from preclinical studies or clinical trials of cretostimogene, any future product candidate, or a competitor’s product candidate in the same class may not predict the results of later clinical trials of cretostimogene or any future product candidate, and interim, topline or preliminary results of a clinical trial are not necessarily indicative of final results. Cretostimogene or any future product candidate in later stages of clinical trials may fail to show the desired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have previously published. As a result, topline and preliminary data should be viewed with caution until the final data are available.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safety, purity or potency (or efficacy)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Adverse differences between interim, topline or preliminary data and final data could significantly harm our business prospects. Based upon negative or inconclusive results, we or any current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 Further, disclosure of interim data by us or by our competitors could result in volatility in the price of our common stock.</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we cannot be certain that our ongoing and planned clinical trials or preclinical studies will be successful. Any safety concerns observed in any one of our clinical trials in our targeted indications could limit the prospects for regulatory approval of cretostimogene in those and other indications, which could have a material adverse effect on our business, financial condition, results of operations and prospects.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Before obtaining approval from regulatory authorities for the sale of cretostimogene or any future product candidates, we must conduct extensive clinical trials to demonstrate the safety, purity and potency (or efficacy) of the product candidates in humans. In addition, before we can initiate clinical development for any future preclinical product candidates, we must submit the results of preclinical studies to the FDA or comparable foreign regulatory authorities along with other information, including information about product candidate CMC and our proposed clinical trial protocol, as part of an Investigational New Drug application (IND) or similar regulatory submission, and we are also required to submit comparable applications to foreign regulatory authorities for clinical trials outside of the United States. The FDA or comparable foreign regulatory authorities may require us to conduct additional preclinical studies for any future product candidates before it allows us to initiate clinical trials under any IND or similar regulatory submission, which may lead to delays or increase the costs of developing future product candidates.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Moreover, issues may arise that could cause regulatory authorities to suspend or terminate our ongoing or planned clinical trials. Any such delays in the commencement or completion, or the termination or suspension, of our ongoing and planned clinical trials or preclinical studies could significantly affect our product development timelines and product development costs.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or preclinical studies will begin on time or if our ongoing or future trials or studies will be completed on schedule, if at all. The commencement, data readouts and completion of clinical trials and preclinical studies can be delayed for a number of reasons, including delays related to:</w:t>
      </w:r>
    </w:p>
    <w:p>
      <w:pPr>
        <w:spacing w:after="0" w:line="68"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animals or materials to initiate and generate sufficient preclinical, toxicology, or other in vivo or in vitro data to support the initiation or continuation of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from regulatory authorities to commence a trial or reaching a consensus with regulatory authorities on trial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IRBs or ECs at clinical trial sites;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IRBs/ECs refusing to approve, suspending, or terminating the trial at an investigational site, precluding enrollment of additional patients, or withdrawing their approval of the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requirements or guidelines in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cretostimogene or any future product candidates and related raw materials and DDM or obtaining sufficient quantities of combination therapies or other materials needed for use in clinical trials and preclinical studies;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enroll or remain in our trials at the rate we expect, or failing to return for post-treatment follow-up, including patients failing to remain in our trials due to movement restrictions, health reasons or otherwise resulting from any future public health concerns;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alternative treatments for the indications for which we are developing cretostimogene or any future product candidates, or participating in competing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trials or preclinical studies or costs being greater than we anticipate;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experiencing severe or serious unexpected drug-related adverse effects;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cretostimogene or any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third-party manufacturers, delays or failure by our third-party manufacturers or us to make any necessary changes to such manufacturing process, or failure of such third-party manufacturers to produce clinical trial materials in accordance with cGMP regulations or other applicable requirements;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including a clinical hold, or termination due to a number of factors, including, among other reasons,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we and our collaborators are currently conducting, and we, our collaborators and any future collaborators may in the future conduct, clinical trials in foreign countries, which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have served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cretostimogene or any future product candidates.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make formulation or manufacturing changes to cretostimogene or any future product candidate, in which case we may need to conduct additional preclinical studies or clinical trials to bridge our current version of cretostimogene or future product candidate to earlier versions. If we are unable to conduct such studies or trials, or if we otherwise fail to adequately bridge the current versions of our product candidates to earlier versions, then we may be unable to utilize any data we have gathered from studies or trials that evaluated such earlier versions in our planned regulatory submissions, which could delay our programs. For example, in our ongoing studies of cretostimogene we are utilizing materials produced by a different third-party manufacturer than the third-party manufacturer that produced cretostimogene during the initial clinical trials for cretostimogene, and we are unable to demonstrate full comparability between lots produced previously and those produced by our current manufacturer. As a result, we may be required to gather additional data utilizing material produced by our current third-party manufacturer before we are able to submit a BLA for cretostimogene, if ever.</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of the factors that cause, or lead to, the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cretostimogene or our future product candidates. In such cases, our competitors may be able to bring products to market before we do, and the commercial viability of cretostimogene or our future product candidates could be significantly reduced. Any of these occurrences may harm our business, financial condition, results of operations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Cretostimogene, as both a monotherapy and in combination with other therapies, has shown a potential best-in-class target product profile. Topline data from the Phase 3 BOND-003 Cohort C trial that was presented as a late-breaking abstract at the 2024 SUO Annual Meeting showed that cretostimogene, as a single agent, achieved a 74.5% complete response (CR) at any time in high-risk BCG-unresponsive NMIBC, which was updated at the 2025 Annual EAU Congress to 75.5%. As of the data cutoff of September 30, 2024, by Kaplan-Meier estimate, 63.5% and 56.6% of patients remained in response at 12 months or greater and at 24 months or greater, respectively, while the median DoR was not reached but exceeds 27 months. There were no Grade 3 or greater treatment-related adverse events (TRAEs) or deaths reported. The most common TRAEs (≥10%) were bladder spasm, pollakiuria, micturition urgency, dysuria, and hematuria. No treatment-related discontinuation of cretostimogene was observed, and 97.3% of patients completed all expected treatments, demonstrating favorable patient adherence and compliance. While we believe these data from our Phase 3 BOND-003 trial will support our BLA submission for cretostimogene, the FDA may determine that our Phase 3 BOND-003 data is insufficient to accept for filing such BLA or for BLA approval and may impose requirements for BLA resubmission, and even if filed by the FDA they may impose requirements to conduct additional clinical trials, or other significant and time-consuming requirements related to clinical data, nonclinical studies or manufacturing, or may issue a complete response letter (CRL). A CRL indicates that the review cycle for the application is complete, and the application will not be approved in its present form. A CRL usually describes the specific deficiencies in the BLA identified by the FDA and may include requirements to conduct additional clinical trials, or other significant and time-consuming requirements related to clinical data,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 which would harm our business, financial condition, results of operations and prospects.</w:t>
      </w:r>
    </w:p>
    <w:p>
      <w:pPr>
        <w:spacing w:after="0" w:line="2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encounter difficulties or delays enrolling patients in our clinical trials, our clinical development activities could be delayed or otherwise adversely affected.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identify and enroll a specified number of patients for each of our clinical trials. We may not be able to initiate or continue certain clinical trials for cretostimogene or any future product candidates if we are unable to identify and enroll a sufficient number of eligible patients to participate in these trials as required by the FDA or similar regulatory authorities outside the 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product candidates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other pharmaceutical companies targeting bladder cancer are recruiting clinical trial patients from these patient populations, which may make it more difficult to fully enroll our clinical trials. The timing of our clinical trials depends, in part, on the speed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cretostimogene or any future product candidates may be delayed. Our inability to enroll a sufficient number of patients for any of our future clinical trials would result in significant delays or may require us to abandon one or more clinical trials altogether.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rely on, and will continue to rely on, CROs and clinical trial sites to ensure proper and timely conduct of our clinical trials and preclinical studies.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w:t>
      </w:r>
    </w:p>
    <w:p>
      <w:pPr>
        <w:spacing w:after="0" w:line="2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cretostimogene or any future product candidates could be associated with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oncology drugs generally, it is likely that there may be side effects and adverse events associated with use of cretostimogene or any future product candidates’ use. Results of our, our collaborators’ or any future collaborators’ clinical trials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results of operations and prospects significantly.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if cretostimogene or any future product candidates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such product candidate if approved. Unacceptable enhancement of certain toxicities may be seen when cretostimogene or any future product candidates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It is possible that as we, our collaborators or any future collaborators test cretostimogene or any future product candidates in larger, longer and more extensive clinical trials, including with different dosing regimens, or as the use of these product candidates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results of operations and prospects significantly.</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are studying cretostimogene in combination with other therapies and may do so for future product candidates, which may exacerbate adverse events associated with such product candidate. Patients treated with cretostimogene or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our collaborators’ or any future collaborators’ clinical trials may result in deaths or other adverse medical events due to other therapies or medications that such patients may be using or due to the severity of such patients’ illnesses. For example, we expect that some of the patients enrolled in our, our collaborators’ or any future collaborators’ clinical trials will die or experience major clinical events either during the course of such clinical trials or after participating in such trials.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if cretostimogene or any future product candidate receives regulatory approval, and we or others later identify undesirable side effects caused by such product, a number of potentially significant negative consequences could result, including:</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 or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or the product could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and/or physician adoption of the particular product candidate, if approved, and could significantly harm our business, financial condition, results of operations and prospects.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completed a Phase 2 clinical trial for cretostimogene and have reported topline data from the Phase 3 BOND-003 Cohort C trial for cretostimogene, we have not as an organization completed the pivotal clinical trials for cretostimogene or submitted a BLA, and we may be unable to do so for cretostimogene or any future product candidates.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will need to successfully complete later-stage and pivotal clinical trials in order to obtain FDA or comparable foreign regulatory approval to market cretostimogene or any future product candidates. Carrying out later-stage clinical trials and the submission of a successful BLA or other comparable foreign regulatory submission is a complicated process. As an organization, we have completed two Phase 2 clinical trials of cretostimogene, and are conducting and plan to conduct additional Phase 3 clinical trials for cretostimogene. We also plan to conduct a number of additional clinical trials of cretostimogene in parallel over the next several years, which may be a difficult process to manage with our limited resources and which may divert attention of management. We have not yet completed any later-stage or pivotal clinical trials for cretostimogene or any other product candidate. We also have limited experience as a company in preparing and submitting marketing applications and have not previously submitted a BLA or other comparable foreign regulatory submission for any product candidate. In addition, while we have had interactions with the FDA regarding our planned BLA submission for cretostimogene, we cannot be certain that our Phase 3 BOND-003 Cohort C trial for cretostimogene will be sufficient to support a BLA submission, even if we believe the results are sufficiently positive, or whether additional clinical trials of cretostimogene or any future product candidate will be required or how such additional trials should be designed. Consequently, we may be unable to successfully and efficiently execute and complete necessary clinical trials in a way that leads to submission of a BLA and regulatory approval of any of our product candidates. We may require more time and incur greater costs than our competitors and may not succeed in obtaining regulatory approvals of product candidates that we develop. Failure to commence or complete, or delays in, our ongoing or planned clinical trials could prevent us from or delay us in submitting BLAs or other comparable foreign regulatory submissions for and commercializing our product candidates.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cretostimogene and future product candidates in combination with other therapies, which exposes us to additional risks.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intend to develop cretostimogene and any future product candidates for use in combination with one or more currently approved cancer therapies. Even if cretostimogene or any future product candidate we develop was to receive regulatory approval or be commercialized for use in combination with other existing therapies, we would continue to bear the risks that the FDA or similar foreign regulatory authorities could revoke approval of the therapy used in combination with cretostimogene or a future product candidate or that safety, efficacy, manufacturing or supply issues could arise with these existing therapies. The known side effect profile of approved drugs, such as the checkpoint inhibitors we use in combination with cretostimogene, may otherwise negatively affect the results of our trials and could limit the number of patients and physicians who choose to adopt cretostimogene, if approved for use as combination therapy with such drugs. Combination therapies are commonly used for the treatment of cancer, and we would be subject to similar risks if we develop cretostimogene or any future product candidate for use in combination with other drugs or biologics. Developing combination therapies using approved therapeutics, as we plan to do for cretostimogene and our future product candidates, also exposes us to additional clinical risks, such as the requirement that we demonstrate the safety, purity and potency (or efficacy) of each active component of any combination regimen we may develop.</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foreign regulatory authorities revoke the approval of combination agents, or if safety, efficacy, manufacturing, or supply issues arise with the drugs we choose to evaluate in combination with cretostimogene or any future product candidate, we may be unable to obtain approval of or market cretostimogene or any future product candidate for combination therapy regimens.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cretostimogene or any future product candidate are unable to produce sufficient quantities for clinical trials or for commercialization of cretostimogene or any future product candidate, or if the cost of combination therapies are prohibitive, our development and commercialization efforts would be impaired, which would have an adverse effect on our business, financial condition, results of operations and prospects.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in the field of immuno-oncology and, in particular, viral immunotherapy, could damage public perception of any cretostimogene or any future oncolytic product candidates and negatively affect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commercial success of cretostimogene and any future adenovirus-based product candidates will depend in part on public acceptance of the use of immuno-oncology, and, in particular, viral immunotherapy. Adverse events in clinical trials of cretostimogene or any other adenovirus-based product candidates which we may develop, or in clinical trials of other biopharmaceutical companies developing similar products and the resulting publicity, as well as any other negative developments in the field of immuno-oncology that may occur in the future, including in connection with competitor therapies, could result in a decrease in demand for cretostimogene or any other adenovirus-based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our collaborators’ or any future collaborators’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As a result, we may not be able to continue or may be delayed in conducting our development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Adverse developments in clinical trials of other immunotherapy products based on viruses, like oncolytic viruses, may result in a disproportionately negative effect for cretostimogene or any future product candidates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cretostimogene or any future product candidates. Any increased scrutiny could delay or increase the costs of obtaining marketing approval for our product candidates.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investigate cretostimogene in additional indications. We may expend our limited resources to pursue a new product candidate or a particular indication for cretostimogene and fail to capitalize on product candidates or indications that may be more profitable or for which there is a greater likelihood of success.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the development of cretostimogene for specific indications. We may fail to generate additional clinical development opportunities for cretostimogene for a number of reasons, including that cretostimogene may, in indications we are seeking or may seek in the future, be shown to have harmful side effects, limited to no efficacy or other characteristics that suggest it is unlikely to receive marketing approval and/or achieve market acceptance in such potential indications. Our resource allocation and other decisions may cause us to fail to identify and capitalize on viable potential product candidates or additional indications for cretostimogene. Our spending on current and future research and development programs for new product candidates or additional indications for cretostimogene may not yield any commercially viable product candidates or indications. If we do not accurately evaluate the commercial potential or target market for a particular indication or product candidate, we may fail to develop such product candidate or indication, or relinquish valuable rights to that product candidate through collaborations, license agreements and other similar arrangements in cases where it would have been more advantageous for us to retain sole development and commercialization rights to such indication or product candidate, or negotiate less advantageous terms for any such arrangements than is optimal.</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may in the future conduct certain of our clinical trials for cretostimogene or any future product candidate outside of the United States. However, the FDA and other foreign equivalents may not accept data from such trials, in which case our development plans will be delayed, which could materially harm our business.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currently conducting, and we or our current or any future collaborators may in the future conduct, one or more of our clinical trials for cretostimogene or any future product candidate outside the United States. The acceptance of study data from clinical trials conducted outside the United States or another jurisdiction by the FDA or comparable foreign regulatory authority may be subject to certain conditions or may not be accepted at all. For example, in cases where data from foreign clinical trials are intended to serve as the sole basis for regulatory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applicable jurisdiction. If the FDA or any comparable foreign regulatory authority does not accept such data from our clinical trials of cretostimogene or any future product candidate, it would likely result in the need for additional clinical trials, which would be costly and time-consuming and delay or permanently halt our development of such product candidate.</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standards for reporting and evaluating clinical data and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or political instability, civil unrest, war or similar events that may jeopardize our ability to commence, conduct or complete a clinical trial and evaluate resulting data.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For example, topline data from the Phase 3 BOND-003 Cohort C trial that was presented as a late-breaking abstract at the 2024 SUO Annual Meeting showed that cretostimogene, as a single agent, achieved a 74.5% CR at any time in high-risk BCG-unresponsive NMIBC, which was updated to 75.5% at the 2025 Annual EAU Congress.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including with respect to the topline data from the Phase 3 BOND-003 Cohort C trial.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interim data by us or by our competitors could result in volatility in the price of our common stock.</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including with respect to the topline data we reported from the Phase 3 BOND-003 Cohort C trial, or if others, including regulatory authorities, disagree with the conclusions reached, our ability to obtain approval for, and commercialize cretostimogene and any future product candidates may be harmed, which could harm our business, financial condition, results of operations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the manufacturing or formulation of cretostimogene or any future product candidates may result in additional costs or delay.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cretostimogene and any future product candidates progress through clinical trials to regulatory approval and commercialization, it is common that various aspects of the development program, such as manufacturing methods and formulation, are altered along the way in an effort to optimize safety, efficacy, yield and manufacturing batch size, minimize costs and achieve consistent quality and results. There can be no assurance that any future manufacturing or formulation changes we may make will achieve their intended objectives, and such changes may also cause cretostimogene or any future product candidates to perform differently and affect the results of future clinical trials conducted with the altered materials. Such changes or related unfavorable clinical trial results or changes in the CMOs we use to manufacture cretostimogene or any future product candidates could delay initiation or completion of clinical trials, require the conduct of bridging studies or additional clinical trials or the repetition of one or more studies or clinical trials, increase development costs, delay or prevent potential regulatory approval and jeopardize our ability to commercialize cretostimogene or any future product candidates, if approved, and generate revenue.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from the FDA may not lead to a faster development or regulatory review or approval process, and does not increase the likelihood that cretostimogene or any future product candidates will receive FDA approval.</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obtained Breakthrough Therapy designation from the FDA for cretostimogene for the treatment of BCG-unresponsive, high-risk NMIBC with carcinoma in-situ with or without Ta or T1 tumors to improve CR and for cretostimogene in combination with pembrolizumab for the treatment of NMIBC unresponsive to BCG, and we may seek additional Breakthrough Therapy designations for cretostimogene or for any future product candidates where we believe the clinical data support such a designation.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Biologics designated as Breakthrough Therapies also receive the same benefits associated with fast track designation, including eligibility for rolling review of a submitted BLA, if the relevant criteria are met.</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cretostimogene or any future product candidate may not result in a faster development process, review or approval compared to biologics considered for approval under standard FDA review procedures and does not ensure ultimate approval by the FDA. In addition, though cretostimogene currently qualifies as a Breakthrough Therapy for the treatment of NMIBC unresponsive BGC, the FDA may later decide that cretostimogene no longer meets the conditions for qualification and rescind the designation.</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designation by the FDA for cretostimogene may not lead to a faster development or regulatory review or approval process, and does not increase the likelihood that cretostimogene or any future product candidate which may receive fast track designation will receive regulatory approval.</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FDA has granted a fast track designation for cretostimogene for the treatment of BCG-unresponsive, high-risk NMIBC with carcinoma in-situ with or without Ta or T1 tumors to improve CR, and we may seek fast track designations for other indications or future product candidates. The fast track program is intended to expedite or facilitate the process for reviewing product candidates that meet certain criteria. Specifically,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Even if we believe a particular product candidate or development program is eligible for this designation, we cannot assure you that the FDA would decide to grant it. Although we have received fast track designation for cretostimogene for the treatment of BCG-unresponsive, high-risk NMIBC with carcinoma in-situ with or without Ta or T1 tumors to improve CR, and even if we receive additional fast track designations for other indications or any future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cretostimogene or any future product candidate that may be granted fast track designation will receive marketing approval in the United States. Many product candidates that have received fast track designation have ultimately failed to obtain approval.</w:t>
      </w:r>
    </w:p>
    <w:p>
      <w:pPr>
        <w:spacing w:after="0" w:line="2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in the future seek an accelerated approval for cretostimogene or our future product candidates. Under the accelerated approval program, the FDA may grant accelerated approval to a product candidate designed to treat a serious or life-threatening condition that provides meaningful therapeutic benefit over available therapies upon a determination that such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the FDA may, among other things, require a sponsor of a product seeking accelerated approval to have a confirmatory trial underway prior to such approval being granted.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Prior to seeking approval for cretostimogene or any future product candidate we intend to seek feedback from the FDA and will otherwise evaluate our ability to seek and receive accelerated approval. There can be no assurance that after our evaluation of the feedback and other factors we will decide to pursue or submit a BLA for accelerated approval or obtain any other form of expedited development, review, or approval. Furthermore, if we decide to submit an application for accelerated approval for cretostimogene or any future product candidate, there can be no assurance that such submission or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cretostimogene or any future product candidate would result in a longer time period to commercialization of such product candidate, if any, could increase the cost of development of such product candidate, and could harm our competitive position in the marketplace.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and sufficient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be approved or licensed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or administrative delays. If any future prolonged government shutdown occurs, there are personnel shortages at the FDA or other regulatory agencies,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preclinical studies. If these third parties do not successfully carry out their contractual duties, comply with applicable regulatory requirements, or meet expected deadlines, cretostimogene or any future product candidate and our ability to seek or obtain regulatory approval for or commercialize cretostimogene or any future product candidates may be delayed.</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dependent on third parties to conduct our clinical trials and preclinical studies. Specifically, we rely on, and intend to continue to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GLP requirements for certain preclinical studies, as well as GCP requirements, which are regulations and guidelines enforced by the FDA and comparable foreign regulatory authorities for cretostimogene and any future product candidates in clinical development. Regulatory authorities enforce these GCPs through periodic inspections of trial sponsors, principal investigators and trial sites. If we or any of our CROs or trial sites fail to comply with applicable GLP or GCP or other requirements, the clinical data generated in our preclinical studies or clinical trials may be deemed unreliable, and the FDA or comparable foreign regulatory authorities may require us to perform additional preclinical studies or clinical trials before approving our marketing applications, if ever. Further, our clinical trials must be conducted with products produced in accordance with cGMP regulations. Failure to comply with these regulations may require us to repeat clinical trials, which would delay the regulatory approval process.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have served and may in the future serve as scientific advisors or consultants to us from time to time and may receive cash or equity compensation in connection with such services. If these relationships and any related compensation result in perceived or actual conflicts of interest, or the FDA or comparable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comparable foreign regulatory authorities of any BLA we submit or any comparable submission. Any such delay or rejection could prevent us from receiving regulatory approval for, or commercializing cretostimogene and any future product candidates.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results of operations and prospects.</w:t>
      </w:r>
    </w:p>
    <w:p>
      <w:pPr>
        <w:spacing w:after="0" w:line="29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and shipping of cretostimogene for clinical development and expect to continue to do so for the foreseeable future. This reliance on third parties increases the risk that we will not have sufficient quantities of cretostimogene or future product candidates or such quantities at an acceptable cost, which could delay, prevent, or impair our development or commercialization efforts.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develop our own clinical or commercial-scale manufacturing capabilities. We rely on a third-party manufacturer for the production of cretostimogene and a third-party manufacturer for the production of DDM, and expect to continue to rely on third-party manufacturers for commercial manufacture if cretostimogene or any future product candidates receive regulatory approval. The facilities used by third-party manufacturers to manufacture cretostimogene or any future product candidate must be approved for the manufacture of such product candidate by the FDA and any comparable foreign regulatory authority pursuant to inspections that will be conducted after we submit a BLA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cretostimogene or any future product candidates or if it withdraws any such approval in the future, we may need to find alternative manufacturing facilities, which would significantly impact our ability to develop, obtain regulatory approval for or market cretostimogene or any future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cretostimogene or any future product candidates, operating restrictions and criminal prosecutions, any of which could significantly and adversely affect supplies of cretostimogene or any future product candidates.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in a timely manner and in compliance with cGMP or other regulatory requirements could adversely affect our business in a number of ways, including:</w:t>
      </w:r>
    </w:p>
    <w:p>
      <w:pPr>
        <w:spacing w:after="0" w:line="54" w:lineRule="exact"/>
        <w:rPr>
          <w:sz w:val="20"/>
          <w:szCs w:val="20"/>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cretostimogene or any future product candidates, or a hold on clinical trials of cretostimogene or any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cretostimogene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cretostimogene or any future product candidates;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cretostimogene or any future product candidates, an inability to meet commercial demands for cretostimogene or any future product candidates.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example, our IND for cretostimogene was previously placed on partial clinical hold by the FDA that was lifted in March 2020, primarily due to CMC-related issues attributable to product supplied by our prior third-party manufacturer, who was purchased by another third-party supplier, resulting in clinical development delays. In addition, while we are in the process of establishing long-term commitment or supply agreements for the commercial supply of cretostimogene, we do not currently have any such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cretostimogene or such quantities at an acceptable cost. Even if we are able to establish agreements with third-party manufacturers, reliance on third-party manufacturers entails additional risks, including:</w:t>
      </w:r>
    </w:p>
    <w:p>
      <w:pPr>
        <w:spacing w:after="0" w:line="81"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specifications;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raw materials and other materials required for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devote appropriate resources to manufacture our product, or manufacture our product according to our schedule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scale up manufacturing capacity, if required;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Despite our efforts, we may encounter unforeseen challenges and risks that could impact the effectiveness of our supply chain enhancements. These challenges may include, but are not limited to, regulatory hurdles, supply chain disruptions, and potential delays in the manufacturing and distribution processes. As a result, our ability to ensure a reliable and efficient supply chain for cretostimogene may be compromised, which could adversely affect our business operations and financial performance.</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Further, cretostimogene and any future product candidates that we may develop may compete with other product candidates and products for access to manufacturing facilities.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rely on a third party to store and transport cretostimogene at temperatures within a certain range, which is known as “strict cold chain” storage and transportation. Any failure by this third party to store or transport cretostimogene at the appropriate temperature could impair the quality of cretostimogene or cause cretostimogene to become unsuitable for use, which could result in lost inventories, increased costs or delays in clinical development.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suppliers or vendors could delay clinical development or regulatory approval, and any related remedial measures may be costly or time consuming to implement. We do not currently have arrangements in place for redundant manufacturing of cretostimogene and DDM. In addition, there are a limited number of manufacturers capable of manufacturing viral therapies such as cretostimogene, and therefore any need to switch third-party manufacturers may result in development and commercialization delays and increase our operating costs. If our existing or future third-party manufacturers and suppliers cannot perform as agreed or cannot fulfill our commercial supply requirements, we may be required to replace such manufacturers or suppliers and we may be unable to replace them on a timely basis or at all. If we later switch third-party manufacturers, we may be unable to demonstrate comparability between lots produced previously and those produced by such new third-party manufacturers, in which case we may be required to gather additional data utilizing material produced by such new third-party manufacturers before we are able to submit a BLA for cretostimogene, if ever.</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our current and anticipated future dependence upon others for the manufacture of cretostimogene or any future product candidates may adversely affect our future profit margins and our ability to commercialize any products that receive regulatory approval on a timely and competitive basis.</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or other third party will discover them or that our trade secrets will be misappropriated or disclosed.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currently rely on third parties to manufacture cretostimogene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 agreements and strategic alliances to maximize the potential of cretostimogene, and we may not realize the anticipated benefits of such collaborations or alliances. We may continue to form collaborations or alliances in the future with respect to cretostimogene or any future product candidates, but may be unable to do so or to realize the potential benefits of such transactions, which may cause us to alter or delay our development and commercialization plans.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entered into, and may in the future seek to enter into, collaborations, joint ventures, licenses and other similar arrangements for the development or, if approved, commercialization of cretostimogene and any future product candidates due to capital costs required to develop or commercialize such product candidates or otherwise. For example, we have entered into license and collaboration agreements with Lepu Biotech Co., Ltd. (Lepu) and Kissei Pharmaceutical Co., Ltd. (Kissei), pursuant to which we granted Lepu exclusive rights to develop and commercialize cretostimogene and/or DDM in Greater China, including Hong Kong and Macau (the Lepu Territory), and granted Kissei exclusive rights to develop and commercialize cretostimogene in combination with DDM in Japan and other Asian counties (excluding the Lepu territory). We may not be successful in our efforts to establish or maintain such collaborations because our research and development pipeline may be insufficient, future product candidates may be deemed to be at too early of a stage of development for collaborative effort or third parties may not view cretostimogene or any future product candidates as having the requisite potential to demonstrate safety, purity and potency (or efficacy), or significant commercial opportunity. In addition, we face significant competition in seeking appropriate strategic partners, and the negotiation process can be time-consuming and complex. Even if we are successful in our efforts to establish or maintain such collaborations, the terms that we agree upon may not be favorable to us. As a result, we may need to relinquish valuable rights to our future revenue streams, research programs, intellectual property, cretostimogene or any future product candidates, or grant licenses on terms that may not be favorable to us, as part of any such arrangement, and such arrangements may restrict us from entering into additional agreements with other potential collaborators. In addition, our current collaborations limit, and potential future collaborations may limit, our control over the amount and timing of resources that our collaborators will dedicate to the development or commercialization of cretostimogene or any future product candidates. Our ability to generate revenue from these arrangements will depend on any current or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product candidates for our pipeline. Furthermore, we may not be able to maintain such collaborations if, for example, the development or approval of cretostimogene or any future product candidate is delayed, the safety of any such product candidate is questioned, or the sales of cretostimogene, if approved, or an approved future product candidate, are unsatisfactory.</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our current collaborations are, and potential future collaborations may be, terminable by our strategic partners, and we may not be able to adequately protect our rights under these agreements. Furthermore, strategic partners may negotiate for certain rights to control decisions regarding the development and, if approved, commercialization of cretostimogene or any future product candidates, and may not conduct those activities in the same manner as we do. Any termination of collaborations we enter into in the future, or any delay in entering into collaborations related to cretostimogene or any future product candidates, could delay the development and, if approved, commercialization of such product candidates, and reduce their competitiveness if they reach the market, which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Cretostimogene and any Future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cretostimogene or any future product candidates, we will be subject to ongoing regulatory obligations and continued regulatory review, which may result in significant additional expense.</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regulatory approvals that we may receive for cretostimogene or any future product candidates will require the submission of reports to regulatory authorities, subject us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cretostimogene or any future product candidates, which could include requirements for a medication guide, physician communication plans or additional elements to ensure safe use, such as restricted distribution methods, patient registries and other risk minimization tools.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cretostimogene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w:t>
      </w:r>
    </w:p>
    <w:p>
      <w:pPr>
        <w:spacing w:after="0" w:line="84" w:lineRule="exact"/>
        <w:rPr>
          <w:sz w:val="20"/>
          <w:szCs w:val="20"/>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 warning letters, untitled letters, adverse publicity requirements or holds on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submitted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 the imposition of civil or criminal penalties.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cretostimogene or any future product candidates and generate revenue and could require us to expend significant time and resources in response and could generate negative publicity.</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marketing authorization of cretostimogene or any future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cretostimogene or any future product candidates, if approved. In particular, a product may not be promoted for uses that are not approved by the FDA or such other regulatory agencies as reflected in the product’s approved labeling. If we receive regulatory approval for cretostimogene or any future product candidates,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cretostimogene or any future product candidates, if approved, we could become subject to significant liability, which would materially adversely affect our business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ACA, signed into law on March 23, 2010,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(or efficacy) of its product.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any cretostimogene or any future product candidates, if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continue to develop.</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cretostimogene or any future product candidates will depend upon the degree of market acceptance of such product candidates by physicians, patients, healthcare payors, and others in the medical community.</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Cretostimogene and any future product candidates may not be commercially successful. Even if cretostimogene or any future product candidates receive regulatory approval, they may not gain market acceptance among physicians, patients, healthcare payors, or the medical community. The commercial success of cretostimogene or any future product candidates will depend significantly on the broad adoption and use of the resulting product by these individuals and organizations for approved indications. In particular, given a significant portion of large urology practices are concentrated in a relatively small number of urology physician groups, market adoption by such groups will be an important factor in potential commercial success. The degree of market acceptance of our products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including as compared to any more-established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cretostimogene or any future product candidates are approved,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availability, safety and efficacy of competitive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current or future collaborators’ sales and marketing strategies;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cretostimogene or any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cretostimogene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cretostimogene or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cretostimogene or any future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cretostimogene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See the section titled “Risk Factors—Risks Related to Our Business Operations and Industry— Current and future healthcare reform legislation or regulation may increase the difficulty and cost for us to obtain coverage for and commercialize cretostimogene or any future product candidates and may adversely affect the prices we may set” for additional related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product candidates are more effective, safer, or less expensive than cretostimogene or any future product candidates we develop, our business and our ability to develop and successfully commercialize products may be adversely affected.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cretostimogene. Cretostimogene and any future product candidates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are developing cretostimogene. In particular, there is intense competition in the oncology field. Our competitors include larger and better-funded pharmaceutical, biopharmaceutical, biotechnological and therapeutics companies. Moreover, we may also compete with universities and other research institutions that may be active in oncology research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future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9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cretostimogene or any future product candidates are approved, they will compete with surgery, radiation, and drug therapy, including chemotherapy, BCG, hormone therapy, biologic therapy, such as monoclonal and bispecific antibodies, antibody-drug conjugates, radiopharmaceuticals, immunotherapy, cell-based therapy, and targeted therapy, or a combination of any such methods,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cretostimogene and any future product candidates. To the extent Merck &amp; Co. (Merck) or another manufacturer increases the supply of BCG, there may be less demand for alternative treatments such as cretostimogene in BCG-naïve or BCG-exposed patients. There are numerous companies that have commercialized or are developing treatments for NMIBC that we will compete with, including Bristol Meyers Squibb, enGene Inc., Gilead Sciences, Inc., Hoffman-La Roche AG (Roche), ImmunityBio Inc., Johnson &amp; Johnson Inc., Merck, Protara Therapeutics, Inc., Pfizer, Inc. and UroGen Pharma, Inc. For example, on October 15, 2024, UroGen announced that the FDA accepted UroGen’s NDA for UGN-102 (intravesical mitomycin/sterile hydrogel) in LG-IR-NMIBC, and set a PDUFA action date of June 13, 2025. In addition, Johnson &amp; Johnson announced on January 15, 2025 that it initiated the submission of an NDA with the FDA for TAR-200 for the treatment of patients with BCG-unresponsive high-risk non-muscle-invasive bladder cancer (HR-NMIBC) with CIS, with or without papillary tumors. If UGN-102 or TAR-200 receives FDA approval and enter the bladder cancer market prior to the approval of cretostimogene, the market for cretostimogene may be adversely affected and our opportunity to generate revenue from the sale of cretostimogene, if approved, could be adversely affected.</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cretostimogene or any future product candidate, we will face competition based on many different factors, including the safety and effectiveness of our product candidates, the ease with which our product candidates can be administered, and the extent to which patients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cretostimogene or any future product candidates we develop obsolete or noncompetitive before we recover the expense of their development and commercialization. If we are unable to compete effectively, our opportunity to generate revenue from the sale of cretostimogene or any future product candidates we may develop, if approved,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cretostimogene or any future product candidates are smaller than we believe they are, our revenue may be adversely affected, and our business may suffer.</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cretostimogene or any future product candidate, even if approved, would be approved for second line or first line therapy. This could limit our potential market opportunity. In addition, we may have to conduct additional clinical trials prior to gaining approval for second line or first line therapy.</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later stage therapy and who have the potential to benefit from treatment with cretostimogene or any future product candidate,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business, financial condition, results of operations and prospects. Further, even if we obtain significant market share for cretostimogene or any future product candidate, because some of our potential target populations are very small, we may never achieve profitability despite obtaining such significant market share.</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 the early stages of building our marketing and sales organization and have no experience as a company in commercializing products, and we will need to invest significant resources to develop these capabilities. If we are unable to establish marketing and sales capabilities or enter into agreements with third parties to market, sell and distribute our products, we may not be able to generate product revenue.</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currently in the early stages of building our internal sales and marketing capabilities to prepare for the commercialization of cretostimogene, if approved, and we have never commercialized a product. If cretostimogene or any future product candidate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For example, if cretostimogene is approved, we will need to scale up a cost-effective and reliable cold chain distribution and logistics network, which we may be unable to accomplish and which will require us to rely on third-party distributors. Failure to scale up our cold chain supply logistics, by us or third parties, could in the future lead to additional manufacturing costs and delays in our ability to supply required quantities for commercial supply.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cretostimogene or any future product candidates in foreign markets. We are not permitted to market or promote cretostimogene or any future product candidate before we receive regulatory approval from applicable regulatory authorities in foreign markets, and we may never receive such regulatory approvals for cretostimogene or any future product candidates. To obtain separate regulatory approval in many other countries we must comply with numerous and varying regulatory requirements regarding safety and efficacy and governing, among other things, clinical trials, commercial sales, pricing and distribution of cretostimogene or any future product candidates. Approval procedures may be more onerous than those in the United States and may require that we conduct additional preclinical studies or clinical trials. If we obtain regulatory approval of cretostimogene or any future product candidates and ultimately commercialize our products in foreign markets, we would be subject to additional risks and uncertainties, including:</w:t>
      </w:r>
    </w:p>
    <w:p>
      <w:pPr>
        <w:spacing w:after="0" w:line="8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 and import laws and regulations and unexpected changes in tariffs, trade barriers and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public health pandemics or epidemics, or natural disasters including earthquakes, typhoons, floods and fires.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biopharmaceutical company with a relatively limited operating history upon which you can evaluate our business and prospects. We commenced operations in 2010, have no products approved for commercial sale and have not generated any revenue from the sale of our products. To date, we have focused primarily on organizing and staffing our company, business planning, raising capital, conducting research, preclinical studies and clinical trials for our product candidate, cretostimogene, establishing our intellectual property portfolio, establishing arrangements with third parties for the manufacture of cretostimogene and supply of related raw materials, and providing general and administrative support for these operations. We have not yet demonstrated the ability to successfully complete any clinical trial beyond Phase 2, obtain regulatory approvals, manufacture products at commercial scale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do not have any products approved for sale and have not generated any revenue from product sales. If we are unable to successfully develop, obtain requisite approval for and commercialize cretostimogene or any future product candidates, we may never generate revenue. Our net losses were $88.0 million and $48.6 million for the years ended December 31, 2024 and 2023, respectively. As of December 31, 2024, we had an accumulated deficit of $218.0 million. Substantially all of our losses have resulted from expenses incurred in connection with our research and development activities and from general and administrative costs associated with our operations. Cretostimogene and any future product candidates will require substantial additional development time and resources before we would be able to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cretostimogene and any future product candidates, as well as operate as a public company.</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of cretostimogene and any future product candidates, acquiring additional product candidates, obtaining regulatory approval for cretostimogene and any future product candidates, and manufacturing, marketing, and selling any products for which we may obtain regulatory approval. We are only in the preliminary stages of many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development and, if approved, commercialization efforts, diversify our product candidates, achieve our strategic objectives or even continue our operations. A decline in the value of our company could also cause you to lose all or part of your investment.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 candidates, including conducting preclinical studies and clinical trials, is a very time-consuming, capital-intensive and uncertain process. Our operations have consumed substantial amounts of cash since inception. We expect our expenses to substantially increase in connection with our ongoing activities, particularly as we conduct our ongoing and planned clinical trials of cretostimogene, potentially seek regulatory approval for cretostimogene and any future product candidates we may develop, and build out internal sales and marketing capabilities to prepare for the commercialization of cretostimogene, if approved. In addition, if we are able to progress cretostimogene through development and commercialization, we expect to be required to make milestone and royalty payments pursuant to various license or collaboration agreements with third parties. If we obtain regulatory approval for cretostimogene or any future product candidates, we also expect to incur significant commercialization expenses related to product manufacturing, marketing, sales, and distribution. Because the outcome of any clinical trial or preclinical study is highly uncertain, we cannot reliably estimate the actual amount of capital necessary to successfully complete the development and commercialization of cretostimogene or any future product candidates. Furthermore, we expect to incur additional costs associated with operating as a public company.</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believe, based on our current operating plan, that our existing cash, cash equivalents and marketable securities, will be sufficient to fund our operations into the first half of 2028.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Our existing capital may not be sufficient to complete development of cretostimogene, or any future product candidates, and we will require substantial capital in order to advance cretostimogene and any future product candidates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 financial markets in the United States and worldwide, and diminished liquidity and credit availability.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cretostimogene or any future product candidates.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cretostimogene or any future product candidate, including commercial manufacturing at sufficient scale, if any product candidate is approved, including as a result of inflation, any supply chain issues or component shortages;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meetings and reviews of cretostimogene or any future product candidates in any jurisdictions in which we or our current or any future collaborators may seek approval for cretostimogene or any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associated with hiring additional personnel and consultants as our business grows, including additional executive officers and clinical development, regulatory, chemistry, </w:t>
      </w:r>
      <w:r>
        <w:rPr>
          <w:rFonts w:ascii="Times New Roman" w:cs="Times New Roman" w:eastAsia="Times New Roman" w:hAnsi="Times New Roman"/>
          <w:sz w:val="18"/>
          <w:szCs w:val="18"/>
          <w:color w:val="231F20"/>
        </w:rPr>
        <w:t>manufacturing and control (CMC)</w:t>
      </w:r>
      <w:r>
        <w:rPr>
          <w:rFonts w:ascii="Times New Roman" w:cs="Times New Roman" w:eastAsia="Times New Roman" w:hAnsi="Times New Roman"/>
          <w:sz w:val="18"/>
          <w:szCs w:val="18"/>
          <w:color w:val="auto"/>
        </w:rPr>
        <w:t>, quality and commercial personnel;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Conducting clinical trials and preclinical studies and potentially identifying future product candidates is a time-consuming, expensive and uncertain process that takes years to complete, and we may never generate the necessary data or results required to obtain regulatory approval and commercialize cretostimogene or any future product candidates. If approved, cretostimogene and any future product candidates may not achieve commercial success.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cretostimogene or any future product candidates, which may change from time to time, including the need to conduct unanticipated clinical trials or trials that are larger or more complex than anticipated;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cretostimogene or any future product candidates or competing product candidates, or any other change in the competitive landscape of our industry, including consolidation among our competitors or partners;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cretostimogene or any future product candidates, if approved, and potential future drugs that compete with our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cretostimogene or any future product candidates, which may vary depending on the quantity of production and the terms of our agreements with third-party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in-license, develop, or commercialize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 and be difficult to predict;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cretostimogene or any future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payable by us or due to us under any collaboration, licensing or other similar agreement.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our ability to attract and retain highly qualified management and other clinical and scientific personnel.</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recruit,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regulatory approvals or the commercialization of cretostimogene or any future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 which could disrupt our operations.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113 full-time employees. As we continue development and pursue the potential commercialization of cretostimogene or any future product candidates, we will need to expand our financial,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cretostimogene and any future product candidates and to compete effectively will depend, in part, on our ability to manage any future growth effectively.</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54" w:lineRule="exact"/>
        <w:rPr>
          <w:sz w:val="20"/>
          <w:szCs w:val="20"/>
          <w:color w:val="auto"/>
        </w:rPr>
      </w:pPr>
    </w:p>
    <w:p>
      <w:pPr>
        <w:jc w:val="both"/>
        <w:ind w:left="1020" w:hanging="503"/>
        <w:spacing w:after="0" w:line="25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consulting agreements and advisory board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obtain coverage for and commercialize cretostimogene or any future product candidates and may adversely affect the prices we may set.</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cretostimogene or any future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example, in March 2010, the ACA, as amended by the Health Care and Education Reconciliation Act of 2010 was enacted in the United States, which substantially changed healthcare financing, access and delivery by both governmental and private insurers.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and amendments to certain aspects of the ACA.</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example, on August 16, 2022, the IRA was signed into law. Among other things, the IRA (i) directs HHS to negotiate the price of certain high-expenditure, single-source biologics that have been on the market for at least 11 years covered under Medicare (the “Medicare Drug Price Negotiation Program”) and (ii) imposes rebates under Medicare Part B and Medicare Part D to penalize price increases that outpace inflation. The IRA permits the Secretary of the HHS to implement many of these provisions through guidance, as opposed to regulation, for the initial years. HHS has and will continue to issue and update guidance as these programs are implemented.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the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 Biden administration executive order tasking the CMMI to consider new payment and healthcare models to limit drug spending and eliminating the Biden administration’s executive order that directed HHS to establishing an AI task force and developing a strategic plan. Additionally, in its June 2024 decision in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cretostimogene and any future product candidates, if approved, or put pressure on our product pricing, which could negatively affect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cretostimogene or any future product candidates, if approved.</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delay or cease commercialization of our products.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trials of cretostimogene and any future product candidates and will face an even greater risk if we commercialize cretostimogene or any future product candidates, if approved. For example, we may be sued if cretostimogene or any future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our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product recipients;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cretostimogene or any future product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currently hold approximately $10 million in product liability insurance coverage in the aggregate. We may need to increase our insurance coverage as we expand our clinical trials or if we commence commercialization of cretostimogene or any future product candidates. Insurance coverage is increasingly expensive. Our inability to obtain and retain sufficient product liability insurance at an acceptable cost to protect against potential product liability claims could prevent or inhibit the commercialization of cretostimogene or any 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business risks, which will leave us exposed to significant uninsured liabilities.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employee benefits liability, business automobile, workers’ compensation, products/clinical trial liability, cyber liability, clinical trials,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business, financial condition, results of operations and prospects.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of our current or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or any of our current or potential future collaborators are successful in commercializing cretostimogene or any future product candidates, the FDA and foreign regulatory authorities would require that we and such collaborators report certain information about adverse medical events if those products may have caused or contributed to those adverse events. The timing of our obligation to report would be triggered by the date we or such collaborators become aware of the adverse event as well as the nature of the event. We and any of our current or potential future collaborators or CROs may fail to report adverse events within the prescribed timeframe. If we or any of our current or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2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service providers are subject to a variety of stringent and evolving U.S. and foreign data protection, privacy and security obligations, including laws, regulations, standards and contractual provisions, which could increase compliance costs, and any actual or perceived failure by us or our service providers to comply with such laws and obligations could subject us to potentially significant liability, fines or penalties and otherwise harm our business.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our service providers maintain and will maintain a large quantity of sensitive information. In the ordinary course of business, we collect, receive, store, process, generate, use, transfer, disclose, make accessible, protect, secure, dispose of, transmit, and share (collectively, process) confidential business and patient health information, personal data and other sensitive information, including proprietary and confidential business data, trade secrets, intellectual property, data we collect about trial participants in connection with clinical trials, sensitive third-party data, business plans, transactions, financial information, and are subject to laws and regulations governing the privacy and security of such information. The global data protection landscape is rapidly evolving, and we and our service providers are and may be affected by or subject to existing, amended, or new laws and regulations in the future, including as our operations continue to expand or if we operate in foreign jurisdictions. These laws and regulations may be subject to differing interpretations, thus creating potentially complex compliance issues for us and our service providers, strategic partners and future customers.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providers. In addition, we obtain health information from third parties (including research institutions from which we obtain clinical trial data and CROs) that are subject to privacy and security requirements under HIPAA. Consequently, depending on the facts and circumstances, we could be subject to significant penalties if we knowingly receive individually identifiable health information from a HIPAA-covered healthcare provider, research institution, or CRO that has not satisfied HIPAA’s requirements for disclosure of individually identifiable health information.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(CCPA), which went into effect on January 1, 2020, gives California residents a number of individual privacy rights related to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often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adversely affect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with whom we work or our data, are or were compromised, we could experience adverse consequences resulting from such compromise, including but not limited to material disruption of our development programs, compromise of sensitive information related to our business, inability to access critical information, potentially exposing us to liability or otherwise adversely affecting our business.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collect, store and transmit confidential information (including but not limited to intellectual property, proprietary and confidential business information and personal information).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could be unable to anticipate these techniques or implement adequate preventative measures. Remote work has increased risks to our information technology systems and data, as more of our employees utilize network connections, computers and devices outside our premises or network, including working at home, while in transit and in public locations. Security incidents often remain undetected for an extended period and could affect our operations.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material system failure, accident or security breach to date, if any such event, whether actual or perceived, were to occur, it could impact our reputation 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a third party to manufacture cretostimogene, and similar events relating to their computer systems could also have a material adverse effect on our business.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personally identifiable information, or damage to, our confidential or proprietary data or applications, or inappropriate disclosure of confidential or proprietary information, we could incur liability, the further development and commercialization of cretostimogene or any future product candidates could be delayed, and we could be subject to significant fines, penalties or liabilities for any noncompliance to certain privacy and security laws.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also outsourced elements of our information technology infrastructure, and as a result a number of third-party vendors have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insurance, the costs related to significant security breaches or disruptions could be material and cause us to incur significant expenses.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arising from pandemics and epidemic diseases.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disease outbreaks could disrupt the supply chain and the manufacture or shipment of drug substances and finished drug products for cretostimogene or any future product candidates for use in our, our collaborators’ or any future collaborators’ clinical trials and research and preclinical studies and, delay, limit or prevent our employees and CROs from continuing research and development activities, impede our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results of operations and prospects. Any future pandemic or epidemic disease outbreak could also potentially further affect the business of the FDA, European Medicines Agency or other regulatory authorities, which could result in delays in meetings related to our planned clinical trials, as well have an adverse impact on global economic conditions which could have an adverse effect on our business and financial condition, including impairing our ability to raise capital when needed.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For example, on March 4, 2024, a complaint was filed in the Superior Court of the State of Delaware by ANI Pharmaceuticals, Inc. (ANI) naming us as defendant, seeking a declaratory judgement that a provision in an assignment and technology transfer agreement between us and ANI (formerly BioSante Pharmaceuticals, Inc.), dated November 15, 2010, obligates us to pay ANI 5% of worldwide net sales of cretostimogene. The court has most recently set a trial date of July 21, 2025. While we continue to believe the allegations are without merit and intend to vigorously defend this matter, such litigation could result in substantial costs and divert our management’s attention from other business concerns, cause us reputational damage, negatively affect our stock price and result in monetary damages and future royalty obligations, if and to the extent cretostimogene receives regulatory approval. An adverse outcome resulting from any legal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collaborators, principal investigators, CROs, consultants and vendors, may engage in misconduct or other improper activities, including noncompliance with regulatory standards and requirements.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collaborators,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w:t>
      </w:r>
    </w:p>
    <w:p>
      <w:pPr>
        <w:spacing w:after="0" w:line="3" w:lineRule="exact"/>
        <w:rPr>
          <w:sz w:val="20"/>
          <w:szCs w:val="20"/>
          <w:color w:val="auto"/>
        </w:rPr>
      </w:pPr>
    </w:p>
    <w:p>
      <w:pPr>
        <w:jc w:val="both"/>
        <w:ind w:firstLine="8"/>
        <w:spacing w:after="0" w:line="251" w:lineRule="auto"/>
        <w:tabs>
          <w:tab w:leader="none" w:pos="3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2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and collaborations,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financial condition, results of operations and prospects.</w:t>
      </w:r>
    </w:p>
    <w:p>
      <w:pPr>
        <w:spacing w:after="0" w:line="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Despite our efforts, we may encounter unforeseen challenges and risks that could impact the effectiveness of our supply chain enhancements. These challenges may include, but are not limited to, regulatory hurdles, supply chain disruptions, and potential delays in the manufacturing and distribution processes. As a result, our ability to ensure a reliable and efficient supply chain for cretostimogene may be compromised, which could adversely affect our business operations and financial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December 31, 2024, we had net operating loss (NOL) carryforwards, which may be available to offset our future taxable income, if any. Our NOL carryforwards and other tax attributes are subject to expiration, review and possible adjustment by the Internal Revenue Service (IRS) and state tax authorities. Under current law, NOLs incurred in taxable years beginning after December 31, 2017, can be carried forward indefinitely, but the deductibility of such U.S. federal NOLs in a taxable year is limited to 80% of taxable income in such year.</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Although we believe there have been one or more ownership changes resulting from past transactions, we have not determined the amount of the cumulative change in our ownership resulting from our initial public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and certain state tax credits in tax years beginning after 2023 and before 2027. Such limitations could result in increased future income tax liability to us and our future cash flows could be adversely affected.</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recorded a full valuation allowance related to our NOL carryforwards and other deferred tax assets due to the uncertainty of the ultimate realization of the future benefits of those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defend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and may in the future rely, upon a combination of patent, trade secrets and trademark protection for cretostimogene and any future product candidates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ownership or control, validity and enforceability of our intellectual property protection in the United States and other countries with respect to cretostimogene and any future product candidates and other proprietary technologies we may develop. We generally seek, and may in the future seek, to protect our proprietary position, in part, by filing patent applications in the United States and abroad relating to cretostimogene and any future product candidates and technology, manufacturing processes and methods of use. We may also seek to protect our proprietary position by acquiring or in-licensing relevant issued patents or pending patent applications from third parties. Currently, we do not have composition of matter patents covering cretostimogene. We will endeavor to seek additional patent protection to cover features of the oncolytic virus and formulations in the future. If we are unable to obtain, maintain, expand, enforce and defend the scope, ownership or control, validity and enforceability of our intellectual property protection, our business, financial condition, results of operations and prospects could be materially harmed.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 or not owned or controlled by us. The patent prosecution process is expensive, time-consuming, and complex, and we may not be able to file, prosecute, maintain, enforce, defend or license all necessary or desirable patent applications or patents at a reasonable cost or in a timely manner or in all jurisdictions.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licensees,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cretostimogene or any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the entity from which we purchased the intellectual property rights to cretostimogene were the first to invent the inventions claimed in any of our owned patents or pending patent applications, or that we or any future licensors were the first to file for patent protection of such other inventions. If a third party can establish that we were not the first to make or the first to file for patent protection of such other inventions, our patents and patent applications may not issue as patents and even if issued, may be challenged and invalidated or rendered unenforceable.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current and future patent applications may not result in patents being issued.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Any issued patents may not afford sufficient protection of cretostimogene or any future product candidates or their intended uses against competitors, nor can there be any assurance that the issued patents will not be infringed, designed around, invalidated by third parties, or effectively prevent others from commercializing competitive technologies, products or cretostimogene or any future product candidates. Further, even if these patents are granted, they may be difficult to enforce. Obtaining and maintaining our patent protection depends on compliance with various procedural, document submission, information disclosure,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own or may license in the future covering cretostimogene or any future product candidates could be narrowed or found invalid or unenforceable if challenged in court or before administrative bodies in the United States or other countries, including the U.S. Patent and Trademark Office (USPTO).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Grounds for an unenforceability assertion could be an allegation that someone connected with prosecution of the patent withheld information material to patentability from the USPTO, or made a misleading statement, during prosecution. Also, patent terms, including any extensions or adjustments that may or may not be available to us, may be inadequate to protect our competitive position on cretostimogene or any future product candidates for an adequate amount of time, and we may be subject to claims challenging the inventorship, ownership, validity, enforceability of our patents and/or other intellectual property. Changes in U.S. patent law, or laws in other countries, could diminish the value of patents in general, thereby impairing our ability to protect cretostimogene or any future product candidates. Further, if we encounter delays in our development and testing of cretostimogene or any future product candidates, clinical trials or regulatory review and approval of cretostimogene or any future product candidates, the period of time during which we could market cretostimogene or any future product candidates under patent protection may be reduced (i.e., patents protecting such product candidates might expire before or shortly after such product candidates are commercialized). Thus, our patents may not provide us with sufficient rights to exclude others from commercializing products similar or identical to ours or afford us any meaningful competitive advantage.</w:t>
      </w:r>
    </w:p>
    <w:p>
      <w:pPr>
        <w:spacing w:after="0" w:line="20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reduced before the corresponding patent is granted. Even if patent applications issue as patents, they may not issue in a form that will provide us with any meaningful protection, prevent competitors or other third parties from competing with us or otherwise provide us with any competitive advantage. Any patents issuing from our owned and any future in-licensed patent applications may be challenged, narrowed, circumvented or invalidated by third parties. Consequently, we do not know whether cretostimogene or any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(the Hatch-Waxman Amendments) to conduct research and clinical trials.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ownership, scope, validity, or enforceability and our patent rights may be challenged in the courts or patent offices in the United States and abroad. We may be subject to a post-grant proceeding at the USPTO challenging the validity of one or more claims of our patents or patents we may license in the future. Third-party submissions may also be made prior to a patent’s issuance, precluding the granting of a patent based on our pending patent application or patent application we may license in the future.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interference proceedings or other similar proceedings in the United States and/or foreign jurisdictions challenging our patent rights. An adverse determination in any such submission, proceeding or litigation could reduce the scope of, or invalidate or render unenforceable, our patent rights, and may allow third parties, including generic drug companies, to commercialize cretostimogene or any future product candidates and other proprietary technologies we may develop and compete directly with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some of our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on cretostimogene or any future product candidates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including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patents we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intellectual property and proprietary rights generally. In addition, some jurisdictions, such as Europe, Japan and China, may have a heightened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9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the United States or other jurisdictions could result in substantial costs and divert our efforts and attention from other aspects of our business, could put our patents and any patents we may license in the future at risk of being invalidated or interpreted narrowly, could put our patent applications and any patent applications we may license in the future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including governmental agencies.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Russia and Ukraine conflict) could increase the uncertainties and costs surrounding the prosecution or maintenance of our patent applications or those of any future licensors and the maintenance, enforcement or defense of our issued patents which could impair our competitive intellectual property position.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several procedural, documentary, fee payment and other similar provisions during the patent application process. In some circumstances, we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would also be dependent on any future licensors to take the necessary actions to comply with these requirements with respect to any intellectual property we may license in the future.</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cretostimogene and any future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laws or their interpretations could diminish the value of patents in general, thereby impairing our ability to protect our products.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cretostimogene or any future product candidates and other proprietary technologies we may develop or (ii) invent any of the inventions claimed in our patents or patent applications.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For example, the U.S. Supreme Court held in </w:t>
      </w:r>
      <w:r>
        <w:rPr>
          <w:rFonts w:ascii="Times New Roman" w:cs="Times New Roman" w:eastAsia="Times New Roman" w:hAnsi="Times New Roman"/>
          <w:sz w:val="18"/>
          <w:szCs w:val="18"/>
          <w:i w:val="1"/>
          <w:iCs w:val="1"/>
          <w:color w:val="auto"/>
        </w:rPr>
        <w:t>Amgen v. Sanofi (2023)</w:t>
      </w:r>
      <w:r>
        <w:rPr>
          <w:rFonts w:ascii="Times New Roman" w:cs="Times New Roman" w:eastAsia="Times New Roman" w:hAnsi="Times New Roman"/>
          <w:sz w:val="18"/>
          <w:szCs w:val="18"/>
          <w:color w:val="auto"/>
        </w:rPr>
        <w:t xml:space="preserve">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cretostimogene and any future product candidates due to increased competition and, resultantly, on our business, financial condition, results of operations and prospects. The UPC and Unitary Patent are significant changes in European patent practice. As the UPC is a new court system, there is no precedent for the court, increasing the uncertainty of any litigation in the UPC.</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cretostimogene or any future product candidates could be found invalid or unenforceable if challenged in court or before administrative bodies in the United States or abroad.</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future licensors are unsuccessful in any of these proceedings, such patents and patent applications may be narrowed, invalidated or held unenforceable. Any of the foregoing could have a material adverse effect on our business, financial condition, results of operations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we initiate legal proceedings against a third party to enforce a patent covering cretostimogene or any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shortening the term of or amendment to our patent rights or any patent rights we may obtain or license in the future in such a way that they no longer cover cretostimogene or any future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cretostimogene or any future product candidates. Such a loss of patent protection would have a material adverse impact on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cretostimogene or any future product candidates for an adequate amount of time.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cretostimogene or any future product candidates are obtained, once the patent has expired, we may be vulnerable to competition from competitive products, including generics. Given the amount of time required for the development, testing and regulatory review of cretostimogene or any future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equivalent extensions outside of the United States for cretostimogene or any future product candidates, our business may be materially harmed.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regulatory approval of cretostimogene or any future product candidates, one or more of our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afforded could be less than we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consultants, licensees, collaborators or other third parties have an interest in our patent rights, trade secrets, or other intellectual property as an inventor, co-inventor or owner of trade secrets. For example, we may have inventorship or ownership disputes arise from conflicting obligations of consultants or others who are involved in developing cretostimogene or any future product candidates and other proprietary technologies we may develop. Litigation may be necessary to defend against these and other claims challenging inventorship or ownership or our patent rights, trade secrets or other intellectual property. If we fail in defending any such claims, in addition to paying monetary damages, we may lose valuable intellectual property rights, such as ownership of, or the right to use intellectual property that is important to cretostimogene or any future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cretostimogene or any future product candidates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licensees,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w:t>
      </w:r>
    </w:p>
    <w:p>
      <w:pPr>
        <w:spacing w:after="0" w:line="1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cretostimogene or any future product candidates.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cretostimogene or any future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cretostimogene or any future product candidates.</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cretostimogene or any future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cretostimogene or any future product candidates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cretostimogene or any future product candidates are not covered by a third-party patent or may incorrectly predict whether a third party’s pending patent application will issue with claims of relevant scope. Alternatively, we may incorrectly determine that the Hatch-Waxman Amendments are a defense for a safe harbor to infringement of a patent we consider relevant to the research or clinical development of cretostimogene or any future product candidate.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cretostimogene or any future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cretostimogene or any future product candidates that are held to be infringing. We might, if possible, also be forced to redesign cretostimogene or any future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3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cretostimogene or any future product candidates.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Numerous U.S. and foreign-issued patents and pending patent applications owned by third parties exist in the fields in which we plan to commercialize our therapeutic programs and in which we are developing other proprietary technologies. As the biotechnology and pharmaceutical industries expand and more patents are issued, and as we gain greater visibility and market exposure as a public company, the risk increases that our therapeutic programs and commercializing activities may give rise to claims of infringement of the patent rights of others. We cannot guarantee that our therapeutic programs and other proprietary technologies we develop will not infringe existing or future patents owned by third parties. We may not be aware of patents that have already been issued for which a third party, such as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cretostimogene or any future product candidates.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cretostimogene or any future product candidates or the use of cretostimogene or any such product candidates.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a court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cretostimogene or any future product candidates.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Third parties, such as a competitor, may infringe our patent rights. In an infringement proceeding, a court may decide that a patent we own or a patent we may license in the future is invalid or unenforceable or may refuse to stop the other party from using the invention at issue. In addition, our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cretostimogene or any future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cretostimogene or any future product candidates or utilize similar technology but that are not covered by the claims of the patents that we own or may license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our current or future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our or their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and future patent applications that we own or may license will not lead to issued patents;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6" w:lineRule="exact"/>
        <w:rPr>
          <w:sz w:val="20"/>
          <w:szCs w:val="20"/>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 that we own or license in the future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potential patentable subject matter and/or may fail to file on 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 or disclose information resulting in a loss of protection for such trade secrets.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 foregoing occur, it could adversely affect our business, financial condition, results of operations and prospects.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intellectual property and proprietary rights. For example, cretostimogene or any future product candidates may require specific formulations to work effectively and efficiently, we may develop product candidates containing our compounds and pre-existing pharmaceutical compounds, we may develop combination therapies with our compounds and third-party compounds,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are able to obtain a license, it may be non-exclusive, and our competitors may also receive access to the same technologies licensed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cretostimogene or any future product candidates.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cretostimogene or any future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 to our initial public offering, there was no public market for our common stock. An active, liquid and orderly market for our common stock may not be sustained, or we may in the future fail to satisfy the continued listing requirements of Nasdaq.</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January 2024, there was no public market for our common stock and our common stock only began trading on the Nasdaq Global Select Market (Nasdaq) in January 2024. We can provide no assurance that we will be able to sustain an active trading market for our common stock. If an active market for our common stock is not sustained, it may be difficult for you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72" w:lineRule="exact"/>
        <w:rPr>
          <w:sz w:val="20"/>
          <w:szCs w:val="20"/>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preclinical studies, and the results of trials of our competitors or those of other companies in our market sector;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future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cretostimogene or any future product candidates or additional indications thereof, or limitations to specific label indications or patient populations for its use, or changes or delays in the regulatory review process;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8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develop, acquire, or license cretostimogene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clinical trial results, product approvals and other developments regarding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development timelines or those of companies that are perceived to be similar to us, including variations from expectations of securities analysts or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directors or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or our inability to enforce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and the incurrence of additional debt;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results of operations and prospects.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27, 2025, our executive officers, directors and greater than 5% stockholders, in the aggregate, own approximately 16.7% of our outstanding common stock. As a result, such persons acting together,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so any returns on your investment will be limited to the value of our common stock.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Holders of a significant number of shares of our outstanding common stock are entitled to rights with respect to the registration of their shares under the Securities Act, subject to vesting. Any sales of securities by these stockholders could have a material adverse effect on the trading price of our common stock.</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 of 2002 (Sarbanes-Oxley);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remove a director for cause, and the prohibition on removal of directors without cause;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new compliance initiatives.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 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results of operations and prospects.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spacing w:after="0" w:line="1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any of our third-party manufacturers or suppliers and our current or any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our manufacturers’ or our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the operations of our manufacturers, suppliers, collaborators, CROs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we are predominantly self-insured. We rely on third-party manufacturers or suppliers to produce cretostimogene or any future product candidates and its components and on CROs and clinical sites to conduct our clinical trials, and do not have a redundant source of supply for all components of cretostimogene or any future product candidates. Our ability to obtain clinical or, if approved, commercial, supplies of cretostimogene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In addition, our corporate headquarters is located in Irvine,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between Russia and Ukraine and in the Middle East, terrorism or other geopolitical events, including threatened or actual trade wars and tariffs.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limit, reduce or abandon product development or future commercialization efforts or grant rights to develop and market our product candidates even if we would otherwise prefer to develop and market such product candidates ourselves.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2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may materially adversely affect our financial condition, results of operations and cash flows, or adversely impact the value of an investment in our common stock.</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Changes in corporate tax rates, the realization of net deferred tax assets relating to our operations, the taxation of foreign earnings, and the deductibility of expenses or future reform legislation could have a material impact on the value of our deferred tax assets, could result in significant one-time charges, and could increase our future U.S. tax expense.</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When we lose our status as an “emerging growth company,” our independent registered public accounting firm will be required to attest to the effectiveness of our internal control over financial reporting. The rules governing the standards that our management are required to meet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Strategy</w:t>
      </w:r>
    </w:p>
    <w:p>
      <w:pPr>
        <w:spacing w:after="0" w:line="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and confidential information that is proprietary, strategic or competitive in nature.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developed our cybersecurity risk management program (“cybersecurity framework”), including a cybersecurity incident response plan, modeled after the National Institute of Standards and Technology Cybersecurity Framework’s (NIST CSF) principles: Identify, Protect, Detect, Respond, Recover, and Govern, and our cybersecurity framework is intended to address current vulnerabilities and anticipate future cybersecurity threats and risks to our Information Systems and Data. This does not imply that we meet any particular technical standards, specifications, or requirements, only that we use the NIST CSF as a guide to help us identify, assess, and manage cybersecurity risks relevant to our business.</w:t>
      </w:r>
    </w:p>
    <w:p>
      <w:pPr>
        <w:spacing w:after="0" w:line="29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cybersecurity framework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2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assessments designed to help identify material cybersecurity risks to our critical systems, information, products, services, and our broader enterprise IT environment;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tools to monitor, detect, and respond to threats in real-time;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to assess, test or otherwise assist with certain aspects of our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process that includes procedures for responding to cybersecurity incidents and is designed to escalate certain cybersecurity incidents to members of the management team, depending on the circumstances;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evaluation of the service providers, suppliers, and vendors of critical systems during contracting.</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There can be no assurance, however, that our cybersecurity risk management program and processes, including our policies, controls or procedures, will be fully implemented, complied with or effective in protecting our systems and information. For more information, see the section titled “Risk Factors—Risks Related to Our Business Operations and Industry—</w:t>
      </w:r>
      <w:r>
        <w:rPr>
          <w:rFonts w:ascii="Times New Roman" w:cs="Times New Roman" w:eastAsia="Times New Roman" w:hAnsi="Times New Roman"/>
          <w:sz w:val="18"/>
          <w:szCs w:val="18"/>
          <w:i w:val="1"/>
          <w:iCs w:val="1"/>
          <w:color w:val="auto"/>
        </w:rPr>
        <w:t>Our information technology systems, or those of any of our service providers, may fail or suffer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incidents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Committee oversees management’s implementation of our cybersecurity risk management program.</w:t>
      </w:r>
    </w:p>
    <w:p>
      <w:pPr>
        <w:spacing w:after="0" w:line="2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receives periodic reports from management on our cybersecurity risks. In addition, management updates the Audit Committee, as necessary, regarding any material cybersecurity incidents, as well as any incidents with lesser impact potential.</w:t>
      </w:r>
    </w:p>
    <w:p>
      <w:pPr>
        <w:spacing w:after="0" w:line="27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 risk management program. The Audit Committee members receive presentations on cybersecurity topics from our Director of Information Technology, or external experts as part of the Audit Committee’s continuing education on topics that impact public companies.</w:t>
      </w:r>
    </w:p>
    <w:p>
      <w:pPr>
        <w:spacing w:after="0" w:line="2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Director of Information Technology, has a combined 35 years of risk management experience and is responsible for assessing and managing our material risks from cybersecurity threats. The management team has primary responsibility for our overall cybersecurity risk management program and supervises both our internal cybersecurity personnel and our retained external cybersecurity consultants. The management team also has responsibility for approving budgets, helping prepare for cybersecurity incident responses, and approving cybersecurity processes. The experience of our management team encompasses leadership, development, and support of cybersecurity strategies, along with the implementation of policies and procedures. Furthermore, they possess a track record of proactively monitoring cybersecurity threats and promptly responding to and remediating cyber attacks. Their adeptness in executing security controls has consistently yielded clean audit observations, showcasing their effectiveness in safeguarding against potential risks.</w:t>
      </w:r>
    </w:p>
    <w:p>
      <w:pPr>
        <w:spacing w:after="0" w:line="30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in Irvine, California and consist of approximately 1,249 square feet of office space leased until August 2026. We also lease an additional office space in Emeryville, California under a lease which ends in August 2028. In January 2025, we also entered into a lease for additional office space in Branchburg, New Jersey which ends in January 2030. We believe that our existing facilities will be adequate for the foreseeable future and that suitable additional or substitute space will be available as and when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Regardless of outcome, litigation can have an adverse impact on us because of defense and settlement costs, diversion of management resources, and other factors.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4, 2024, a complaint was filed against us in the Superior Court of the State of Delaware by ANI Pharmaceuticals, Inc. seeking a declaratory judgement that an assignment and technology transfer agreement between us and ANI, dated November 15, 2010, obligates us to pay ANI a royalty on certain “net sales” of cretostimogene. The court has most recently set a trial date of July 21, 2025. We dispute the allegations and are vigorously defending this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Times New Roman" w:cs="Times New Roman" w:eastAsia="Times New Roman" w:hAnsi="Times New Roman"/>
          <w:sz w:val="18"/>
          <w:szCs w:val="18"/>
          <w:color w:val="auto"/>
        </w:rPr>
        <w:t>Our common stock is traded under the ticker symbol “CGON” on the Nasdaq Global Select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27, 2025, there were approximately 116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of our business and do not anticipate paying any cash dividends on our capital stock in the foreseeable future. Any future determination related to our dividend policy will be made at the discretion of our board of director after considering our financial condition, results of operations, current and anticipated capital requirements, business prospects and other factors our board of directors deems relevant, and subject to applicable laws and the restrictions contained in any future financing instruments</w:t>
      </w:r>
      <w:r>
        <w:rPr>
          <w:rFonts w:ascii="Times New Roman" w:cs="Times New Roman" w:eastAsia="Times New Roman" w:hAnsi="Times New Roman"/>
          <w:sz w:val="18"/>
          <w:szCs w:val="18"/>
          <w:color w:val="231F2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24, 2024, our registration statement on Form S-1 (File No. 333-276350) was declared effective by the SEC for our initial public offering (IPO). At the closing of our offering on January 29, 2024, we sold 23,000,000 shares of our common stock, which included the exercise in full by the underwriters of their option to purchase 3,000,000 additional shares, at an IPO price of $19.00 per share and received gross proceeds of $437.0 million, which resulted in net proceeds of approximately $399.6 million, after deducting underwriting discounts, commissions of approximately $30.6 million and offering-related transaction costs of approximately $6.8 million. No offering expenses were paid directly or indirectly to any of our directors or officers (or their associates) or persons owning 10% or more of any class of our equity securities or to any other affiliates. Morgan Stanley &amp; Co. LLC, Goldman Sachs &amp; Co. LLC and Cantor Fitzgerald &amp; Co. acted as joint-book running managers for the IPO.</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net proceeds from the IPO are held in cash and cash equivalents and marketable securities. Through December 31, 2024, approximately $113.7 million of the net proceeds from the IPO have been used, of which, (i) an estimated $80.5 million was used for research and development costs related to crestostimogene, and (ii) an estimated $33.2 million was used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There have been no updates to the planned use of proceeds information from our IPO as described in our final prospectus filed with the SEC pursuant to Rule 424(b)(4) on January 25, 2024. We intend to use the remaining net proceeds from the IPO, together with our existing cash, cash equivalents and marketable securities, to complete the ongoing BOND-003 and CORE-001 clinical trials, complete enrollment for the PIVOT-006 clinical trial, initiate and report topline data for our planned CORE-008 clinical trial, and fund our operations through the submission of a BLA to the FDA for cretostimogene and potentially through the initial commercialization of cretostimogene, if approved, as well as for working capital and other general corporate purposes. We may also use a portion of the net proceeds from the IPO to license, acquire or invest in complementary businesses, technologies, products or assets. However, we have no current commitments or obligations to do so.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that involve risks and uncertainties, including those described in the section titled “Special Note Regarding Forward Looking Statements and Market Data.” Our actual results and the timing of selected events could differ materially from those discussed below. Factors that could cause or contribute to such differences include, but are not limited to, those identified below and those set forth under the section titled “Risk factors” in this Annual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We are a late-stage clinical biopharmaceutical company focused on developing and commercializing a potential backbone bladder-sparing therapeutic for patients afflicted with bladder cancer. Our goal is to develop cretostimogene grenadenorepvec (cretostimogene), our product candidate, as an alternative to BCG in treating a broad range of bladder cancer indications. Cretostimogene, is in clinical development for the treatment of patients with high-risk NMIBC who are unresponsive to BCG therapy, the current standard-of-care for high-risk NMIBC. Given the limitations of currently approved therapies, the next course of treatment for these BCG-unresponsive patients is radical cystectomy, or the complete removal of the bladder, which is associated with significant social, functional and emotional burden. As such, there is a significant unmet need for effective treatments in these patients.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In anticipation of potential FDA approval, we are actively building our commercial operations, marketing, market access and patient access and field force capabilities. This includes pre-launch activities currently being executed, including scientific communication activities and engagements by our field medical organization. We are also implementing strategic initiatives to build seamless product distribution and patient support. Our efforts are focused on ensuring that we are fully prepared to launch and deliver cretostimogene to patients and healthcare providers, if approved. We are evaluating the safety and efficacy of cretostimogene, as a monotherapy, in BOND-003 Cohort C, our ongoing Phase 3 clinical trial in high-risk BCG-unresponsive NMIBC with CIS and with or without Ta/T1 disease. We have completed enrollment for this cohort and reported interim data at the American Urological Association’s 2024 Annual Meeting in May 2024, and topline data at the 2024 SUO Annual Meeting in in December 2024, which was updated at the 40th Annual EAU Congress. We believe that this trial could serve as the basis for a BLA submission to the U.S. FDA, which we expect to initiate in the second half of 2025. Cretostimogene has received both Fast Track and Breakthrough Therapy designations from the FDA for the treatment of High-Risk BCG-unresponsive NMIBC with CIS with or without Ta or T1 tumors.</w:t>
      </w:r>
    </w:p>
    <w:p>
      <w:pPr>
        <w:spacing w:after="0" w:line="200" w:lineRule="exact"/>
        <w:rPr>
          <w:sz w:val="20"/>
          <w:szCs w:val="20"/>
          <w:color w:val="auto"/>
        </w:rPr>
      </w:pPr>
    </w:p>
    <w:p>
      <w:pPr>
        <w:spacing w:after="0" w:line="21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In April 2024, we initiated BOND-003 Cohort P, an exploratory study evaluating cretostimogene monotherapy in high-risk BCG-unresponsive NMIBC with only Ta/T1 disease and expect to report topline data from this Cohort in the second half of 2025. In October 2024, we initiated CORE-008 Cohort A, our Phase 2 clinical trial in high-risk NMIBC patients who are naïve to BCG treatment, including patients with CIS and with or without Ta/T1 disease and patients with only Ta/T1 disease. In March 2025, we expanded CORE-008 into the high-risk BCG-exposed population (Cohort B). We intend to add a third Cohort to CORE-008, evaluating cretostimogene in a combination therapy in the high-risk BCG-exposed population. We have recently completed and published the results for CORE-001, our Phase 2 clinical trial of cretostimogene in combination with pembrolizumab in high-risk BCG-unresponsive NMIBC patients that have CIS. Additionally, in NMIBC that is not categorized as high-risk, we have launched our second Phase 3 clinical trial, PIVOT-006, evaluating adjuvant cretostimogene in intermediate-risk NMIBC following transurethral resection of the bladder tumor (TURBT). We believe cretostimogene, if approved in intermediate-risk NMIBC, has the potential to serve as backbone therapy, thereby alleviating the current need to prioritize treatment recipients and ration administration of BCG given its significant market shortage.</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We have incurred significant operating losses and negative cash flows from operations since our inception. Our net losses were $88.0 million and $48.6 million for the years ended December 31, 2024 and 2023, respectively. As of December 31, 2024, we had an accumulated deficit of $218.0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To date, we have primarily funded our operations with </w:t>
      </w:r>
      <w:r>
        <w:rPr>
          <w:rFonts w:ascii="Times New Roman" w:cs="Times New Roman" w:eastAsia="Times New Roman" w:hAnsi="Times New Roman"/>
          <w:sz w:val="18"/>
          <w:szCs w:val="18"/>
          <w:color w:val="000000"/>
        </w:rPr>
        <w:t>proceeds from the sale of shares of our common stock through public offerings and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redeemable convertible preferred stock, as well as through previously outstanding term debt. </w:t>
      </w:r>
      <w:r>
        <w:rPr>
          <w:rFonts w:ascii="Times New Roman" w:cs="Times New Roman" w:eastAsia="Times New Roman" w:hAnsi="Times New Roman"/>
          <w:sz w:val="18"/>
          <w:szCs w:val="18"/>
          <w:color w:val="231F20"/>
        </w:rPr>
        <w:t>In January 2024, we completed our initial public offering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23,000,000 common shares at a price of $19.00 per share, including the exercise in full by the underwriters of their option to purchase an additional 3,000,000 shares of common stock. We received net proceeds of $399.6 million, after deducting discounts, commissions and other offering expenses. In addition, as a result of our initial public offering, our convertible preferred stock converted into common stock concurrently with the initial public offering. In December 2024, we completed a follow-on offering of 8,500,000 common shares at a price of $28.00 per share, including the exercise in full by the underwriters of their option to purchase an additional 1,200,000 shares of common stock. We received net proceeds of $223.1 million, after deducting discounts, commissions and other offering expenses.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Through December 31, 2024, we have received aggregate gross proceeds of approximately $982.9 million from the </w:t>
      </w:r>
      <w:r>
        <w:rPr>
          <w:rFonts w:ascii="Times New Roman" w:cs="Times New Roman" w:eastAsia="Times New Roman" w:hAnsi="Times New Roman"/>
          <w:sz w:val="18"/>
          <w:szCs w:val="18"/>
          <w:color w:val="000000"/>
        </w:rPr>
        <w:t>sale of shares of our common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stock through public offerings and our redeemable convertible preferred stock</w:t>
      </w:r>
      <w:r>
        <w:rPr>
          <w:rFonts w:ascii="Times New Roman" w:cs="Times New Roman" w:eastAsia="Times New Roman" w:hAnsi="Times New Roman"/>
          <w:sz w:val="18"/>
          <w:szCs w:val="18"/>
          <w:color w:val="231F20"/>
        </w:rPr>
        <w:t>. In addition, through December 31, 2024, we have recognized $26.1 million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 license and collaboration revenue pursuant to our license and collaboration agreements. As of December 31, 2024, we had cash, cash equivalents and marketable securities of $742.0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believe, based on our current operating plan, that our existing cash, cash equivalents and marketable securities, will be sufficient to fund our operations into the first half of 2028.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will not generate revenue from product sales unless and until we successfully complete clinical development and obtain regulatory approval for cretostimogene or any future product candidates,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do not own or operate, and currently have no plans to establish, any manufacturing facilities. 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License and Collaboration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Below is a summary of the key terms for certain of our license and collaboration agreements. For a more detailed description of these agreements, see the section titled “Business—License and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Lepu License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In March 2019, we entered into a development and license agreement (the Lepu License Agreement) with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w:t>
      </w:r>
      <w:r>
        <w:rPr>
          <w:rFonts w:ascii="Times New Roman" w:cs="Times New Roman" w:eastAsia="Times New Roman" w:hAnsi="Times New Roman"/>
          <w:sz w:val="18"/>
          <w:szCs w:val="18"/>
          <w:color w:val="000000"/>
        </w:rPr>
        <w:t>In addition, in June 2024, the Company entered into an additional license agreement with Lepu, under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which we granted Lepu a non-exclusive, non-sublicensable, non-transferable license to validate and perform certain assays in the Lepu Territory for the sole purpose of analyzing clinical samples for patients treated with cretostimogene. Under the agreement, Lepu paid us a one-time license fee of $0.4 million. </w:t>
      </w:r>
      <w:r>
        <w:rPr>
          <w:rFonts w:ascii="Times New Roman" w:cs="Times New Roman" w:eastAsia="Times New Roman" w:hAnsi="Times New Roman"/>
          <w:sz w:val="18"/>
          <w:szCs w:val="18"/>
          <w:color w:val="231F20"/>
        </w:rPr>
        <w:t>During the years ended December 31, 2024 and 2023, $1.0 million and less than $0.1 million in license and collaboration revenue, respectively,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was recorded related to the Lepu License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Kissei License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In March 2020, and as amended September 2022, we entered into a license and collaboration agreement (the Kissei License Agreement) with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years ended December 31, 2024 and 2023, we recorded $0.2 million and $0.2 million, respectively in license and collaboration revenue related to the Kissei License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Our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Through December 31, 2024, we have recognized $26.1 million in license and collaboration revenue through our license and collaboration agreements. We have not generated any revenue from the sale of products, however, and do not expect to generate any revenue from the sale of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operating expenses consist of (i) research and development expenses and (ii)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Research and development (R&amp;D) expenses consist primarily of external and internal costs incurred in performing clinical and preclinical development activities.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R&amp;D expenses consist of:</w:t>
      </w:r>
    </w:p>
    <w:p>
      <w:pPr>
        <w:spacing w:after="0" w:line="117" w:lineRule="exact"/>
        <w:rPr>
          <w:sz w:val="20"/>
          <w:szCs w:val="20"/>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external costs incurred under agreements with CROs, contract manufacturers, consultants and other third parties to conduct and support our clinical trials and preclinical studies;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internal costs, including R&amp;D personnel-related expenses such as salaries, stock-based compensation and benefits, as well as allocated facilities costs and dues and subscriptions.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spacing w:after="0" w:line="80" w:lineRule="exact"/>
        <w:rPr>
          <w:sz w:val="20"/>
          <w:szCs w:val="20"/>
          <w:color w:val="auto"/>
        </w:rPr>
      </w:pPr>
    </w:p>
    <w:p>
      <w:pPr>
        <w:jc w:val="both"/>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 patient trial costs;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trials required for approval;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sites included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countries in which the trials are conducted;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length of time required to enroll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that participate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doses that patients receive;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drop-out or discontinuation rates of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additional safety monitoring requested by regulatory agencies;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duration of patient participation in the trials and follow-up;</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manufacturing cretostimogene and any future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6"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if any, of obtaining third-party drugs for use in our combination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of changes in government regulation and regulatory guidance;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profile of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receipt, and terms of any approvals from applicable regulatory authorities;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establish additional collaboration, license, or other arrangements.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General and administrative expenses consist primarily of personnel-related expenses such as salaries, stock- 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facilities-related costs not otherwise included in R&amp;D expenses and other costs such as insurance costs, marketing and travel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(Expense) Income, Net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Interest (Expense)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Interest income, net, consists of interest income related to interest earned on our invested cash and cash equivalents and marketable securities balances and expenses related to our previously outstanding term debt. We expect our interest income will increase as we invest the cash received from the net proceeds from our public offerings.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(Expense) Income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Other (expense) income consists of miscellaneous items, such as debt extinguishment due to early payoff of loan and other items not related to our core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(in thousands):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5"/>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(114,666 )</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(55,449 )</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(59,217 )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(62 )</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and comprehensive loss</w:t>
            </w:r>
          </w:p>
        </w:tc>
        <w:tc>
          <w:tcPr>
            <w:tcW w:w="32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(88,039</w:t>
            </w:r>
          </w:p>
        </w:tc>
        <w:tc>
          <w:tcPr>
            <w:tcW w:w="26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(48,607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(39,432 )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-1028065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-1028065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-1028065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-179070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License and collaboration revenue was $1.1 million for the year ended December 31, 2024 compared to $0.2 million for the year ended December 31, 2023. During the years ended December 31, 2024 and 2023, we recorded $1.0 million and less than $0.1 million, respectively, in license and collaboration revenue related to the Lepu License Agreement, as well as $0.2 million related to the Kissei License Agreement in both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years ended December 31, 2024 and 2023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58,052</w:t>
            </w:r>
          </w:p>
        </w:tc>
        <w:tc>
          <w:tcPr>
            <w:tcW w:w="12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82,102</w:t>
            </w:r>
          </w:p>
        </w:tc>
        <w:tc>
          <w:tcPr>
            <w:tcW w:w="12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R&amp;D expenses were $82.1 million for the year ended December 31, 2024 compared to $45.8 million for the year ended December 31, 2023. The increase of $36.4 million in R&amp;D expenses for the year ended December 31, 2024 was primarily due to an increase of $26.5 million in external clinical trial expenses related to higher CRO fees as patient enrollment increased and higher CMC, as well as an increase of $8.5 million in compensation costs due to increased headcount, and higher facilities, fees and other related costs of $1.3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2024 and 2023 (in thousands):</w:t>
      </w:r>
    </w:p>
    <w:p>
      <w:pPr>
        <w:spacing w:after="0" w:line="246"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12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9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12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-170815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$33.7 million for the year ended December 31, 2024 compared to $9.9 million for the year ended December 31, 2023. The increase of $23.8 million in general and administrative expenses for the year ended December 31, 2024 was primarily due to an increase in compensation costs of $14.9 million due to increased headcount, including a $6.9 million increase in stock-based compensation, as well as increased professional and consultant fees of $3.7 million related to legal, accounting and consulting fees, an increase in marketing-related costs of $2.3 million, and an increase in insurance costs of $1.4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income, net, for the year ended December 31, 2024 was a net income of $26.6 million compared to a net income of $6.8 million for the year ended December 31, 2023. For the years ended December 31, 2024 and 2023, other income, net, primarily consisted of $26.6 million and $6.9 million, respectively, in interest income related to marketable securities balances. Marketable securities are higher as of December 31, 2024 due to proceeds from public offerings during the year ended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3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through public offerings and our redeemable convertible preferred stock, as well as through previously outstanding term debt. Through December 31, 2024, we have received aggregate gross proceeds of $982.9 million from the sale of shares of our common stock through our public offerings and our redeemable convertible preferred stock. In addition, through December 31, 2024, we have recognized $26.1 million in license and collaboration revenue through our license and collaboration agreements. As of December 31, 2024, we had cash, cash equivalents and marketable securities of $742.0 million. On January 29, 2024, we closed our initial public offering (IPO) of common stock for aggregate net proceeds of $399.6 million, after deducting discounts and commissions and other offering expenses. In December 2024, we closed a follow-on public offering of common stock for aggregated net proceeds of $223.1 million, after deducting discounts and commissions and other offering expenses.</w:t>
      </w:r>
    </w:p>
    <w:p>
      <w:pPr>
        <w:spacing w:after="0" w:line="2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2021, we entered into a loan agreement with Silicon Valley Bank for a term loan in three tranches. As of December 31, 2024 and 2023, we repaid all outstanding principal and accrued and unpaid interest under the loan agreement and have no outstanding debt. See Note 13 to our consolidated financial statements included elsewhere in this Annual Report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Inflation could affect us by increasing our cost of labor and R&amp;D costs. We do not believe inflation has had a material effect on our business, financial condition or results of operations, or on our consolidated financial statements included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engage in potential strategic transactions, expand and protect our intellectual property, and incur additional costs associated with being a public company</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7" w:lineRule="exact"/>
        <w:rPr>
          <w:rFonts w:ascii="Times New Roman" w:cs="Times New Roman" w:eastAsia="Times New Roman" w:hAnsi="Times New Roman"/>
          <w:sz w:val="18"/>
          <w:szCs w:val="18"/>
          <w:color w:val="231F20"/>
        </w:rPr>
      </w:pPr>
    </w:p>
    <w:p>
      <w:pPr>
        <w:jc w:val="both"/>
        <w:ind w:left="1020" w:right="20" w:hanging="503"/>
        <w:spacing w:after="0" w:line="312" w:lineRule="auto"/>
        <w:tabs>
          <w:tab w:leader="none" w:pos="1020"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obtaining, maintaining, enforcing and protecting our patents and other intellectual property and proprietary rights;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associated with hiring additional personnel and consultants as our business grows, including additional executive officers and clinical development, regulatory, CMC quality and commercial personnel;</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achieve sufficient market acceptance, coverage, and adequate reimbursement from third- party payors and adequate market share and revenue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and strategic decision to develop future product candidates other than cretostimogene, and the timing of such development, if any;</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associated with any products or technologies or businesses that we may in-license or acquire.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cash equivalents and marketable securities, will be sufficient to fund our operations into the first half of 2028.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product candidates that we would otherwise prefer to develop and market ourselves, or even cease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for Known Contractual and Other Obligations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We have entered into various non-cancelable operating leases for our corporate office. The leases have varying terms expiring between 2026 and 2030. See Note 5 to our consolidated financial statements included elsewhere in this Annual Report for further details.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are continuing to invest in our cretostimogene clinical trials and have entered into contractual obligations with each clinical trial site. Each contract shall continue until the completion of the trial at that site. Our clinical trial costs are dependent on, among other things, the size, number and length of our clinical trials.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Capital Requirements and Additional Royalty Obligations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various vendors, which are generally cancellable upon notice. Payments due upon cancellation typically consist only of payments for services provided or expenses incurred, including non-cancellable obligations of service providers, up to the date of cancellation.</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obligation to make potential royalty payments under the Kissei License Agreement discussed above, we are also obligated to pay royalties and milestone payments to the initial supplier of a certain cell line we use to manufacture cretostimogene, in an amount less than 1% on the net sales of cretostimogene, worldwide. These royalty obligations last for as long as we use the certain cell line to manufacture cretostimogene. The timing of when our royalty payments will actually be made is uncertain as the payments are contingent upon future activities, including the successful development, regulatory approval and commercialization of cretostimogene.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2024 and 2023 (in thousands):</w:t>
      </w:r>
    </w:p>
    <w:p>
      <w:pPr>
        <w:spacing w:after="0" w:line="246"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(78,713 )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(45,679 )</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(300,764 )</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(121,195 )</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628,279</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248,802</w:t>
            </w:r>
          </w:p>
        </w:tc>
        <w:tc>
          <w:tcPr>
            <w:tcW w:w="200" w:type="dxa"/>
            <w:vAlign w:val="bottom"/>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(79,877 )</w:t>
            </w:r>
          </w:p>
        </w:tc>
        <w:tc>
          <w:tcPr>
            <w:tcW w:w="0" w:type="dxa"/>
            <w:vAlign w:val="bottom"/>
          </w:tcPr>
          <w:p>
            <w:pPr>
              <w:spacing w:after="0"/>
              <w:rPr>
                <w:sz w:val="1"/>
                <w:szCs w:val="1"/>
                <w:color w:val="auto"/>
              </w:rPr>
            </w:pPr>
          </w:p>
        </w:tc>
      </w:tr>
      <w:tr>
        <w:trPr>
          <w:trHeight w:val="194"/>
        </w:trPr>
        <w:tc>
          <w:tcPr>
            <w:tcW w:w="5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-282575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-282575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$78.7 million of cash, primarily resulting from our net loss of $88.0 million and accretion of the discount on short-term investments of $5.0 million, partially offset by non-cash stock-based compensation charges of $11.4 million and net cash used in changes in our operating assets and liabilities of $2.9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$45.7 million of cash, primarily resulting from our net loss of $48.6 million and accretion of the discount on short-term investments of $2.9 million, partially offset by net cash used in changes in our operating assets and liabilities of $3.4 million and non-cash stock-based compensation charges of $1.5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$300.8 million, primarily due to purchases of marketable securities and proceeds from sales and maturities of short-term investments.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net cash used in investing activities was $121.2 million, primarily due to purchases of marketable securities and proceeds from sales and maturities of short-term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 xml:space="preserve">During the year ended December 31, 2024, net cash provided by financing activities was $628.3 million, </w:t>
      </w:r>
      <w:r>
        <w:rPr>
          <w:rFonts w:ascii="Times New Roman" w:cs="Times New Roman" w:eastAsia="Times New Roman" w:hAnsi="Times New Roman"/>
          <w:sz w:val="18"/>
          <w:szCs w:val="18"/>
          <w:color w:val="000000"/>
        </w:rPr>
        <w:t>consisting primarily of net proceeds 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IPO and follow-on public offering of $403.0 million and $223.1 million, respectively, net of issuance costs and deferred offering costs.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$87.0 million, consisting of net proceeds from the issuance of Series F redeemable convertible preferred stock of $104.6 million and the exercise of common stock options of $2.1 million, partially offset by the payments of the term loan of $16.3 million and the deferred offering costs of $3.4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While our significant accounting policies are described in more detail in Note 2 to our consolidated financial statements included elsewhere in this Annual Report, we believe the following accounting policies are those most critical to the judgments and estimates used in the preparation of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R&amp;D Expenses and Related Prepaid and Accrued Expenses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As part of the process of preparing our consolidated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standards that may potentially impact our financial position, results of operations and cash flows is included in Note 2 to our consolidated financial statements included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permits an emerging growth company such as us to take advantage of an extended transition period to comply with new or revised accounting standards. We have elected to avail ourselves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We will continue to remain an emerging growth company until the earliest of the following: (1) the last day of the fiscal year following the fifth anniversary of the date of the completion of our IPO; (2) the last day of the fiscal year in which our total annual gross revenue is equal to or more than $1.235 billion; (3) the date on which we have issued more than $1.0 billion in nonconvertible debt during the previous three years; or (4) the date on which we are deemed to be a large accelerated filer under the rules of the SEC.</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required for a “smaller reporting company” as defined under Item 10(f)(1) of Regulation S-K of the Securities Act.</w:t>
      </w:r>
    </w:p>
    <w:p>
      <w:pPr>
        <w:spacing w:after="0" w:line="200" w:lineRule="exact"/>
        <w:rPr>
          <w:sz w:val="20"/>
          <w:szCs w:val="20"/>
          <w:color w:val="auto"/>
        </w:rPr>
      </w:pPr>
    </w:p>
    <w:p>
      <w:pPr>
        <w:spacing w:after="0" w:line="2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5"/>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CG ONCOLOGY, INC.</w:t>
            </w:r>
          </w:p>
        </w:tc>
        <w:tc>
          <w:tcPr>
            <w:tcW w:w="9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40" w:type="dxa"/>
            <w:vAlign w:val="bottom"/>
            <w:gridSpan w:val="6"/>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1"/>
        </w:trPr>
        <w:tc>
          <w:tcPr>
            <w:tcW w:w="20" w:type="dxa"/>
            <w:vAlign w:val="bottom"/>
          </w:tcPr>
          <w:p>
            <w:pPr>
              <w:spacing w:after="0"/>
              <w:rPr>
                <w:sz w:val="24"/>
                <w:szCs w:val="24"/>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117</w:t>
            </w:r>
          </w:p>
        </w:tc>
      </w:tr>
      <w:tr>
        <w:trPr>
          <w:trHeight w:val="196"/>
        </w:trPr>
        <w:tc>
          <w:tcPr>
            <w:tcW w:w="20" w:type="dxa"/>
            <w:vAlign w:val="bottom"/>
            <w:tcBorders>
              <w:top w:val="single" w:sz="8" w:color="0000EE"/>
              <w:bottom w:val="single" w:sz="8" w:color="0000EE"/>
            </w:tcBorders>
          </w:tcPr>
          <w:p>
            <w:pPr>
              <w:spacing w:after="0"/>
              <w:rPr>
                <w:sz w:val="17"/>
                <w:szCs w:val="17"/>
                <w:color w:val="auto"/>
              </w:rPr>
            </w:pPr>
          </w:p>
        </w:tc>
        <w:tc>
          <w:tcPr>
            <w:tcW w:w="36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Balance Sheets as of December 31, 2024 and 2023</w:t>
            </w:r>
          </w:p>
        </w:tc>
        <w:tc>
          <w:tcPr>
            <w:tcW w:w="20" w:type="dxa"/>
            <w:vAlign w:val="bottom"/>
            <w:tcBorders>
              <w:top w:val="single" w:sz="8" w:color="0000FF"/>
              <w:bottom w:val="single" w:sz="8" w:color="0000EE"/>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6100" w:type="dxa"/>
            <w:vAlign w:val="bottom"/>
            <w:gridSpan w:val="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118</w:t>
            </w:r>
          </w:p>
        </w:tc>
      </w:tr>
      <w:tr>
        <w:trPr>
          <w:trHeight w:val="196"/>
        </w:trPr>
        <w:tc>
          <w:tcPr>
            <w:tcW w:w="20" w:type="dxa"/>
            <w:vAlign w:val="bottom"/>
            <w:tcBorders>
              <w:bottom w:val="single" w:sz="8" w:color="0000EE"/>
            </w:tcBorders>
          </w:tcPr>
          <w:p>
            <w:pPr>
              <w:spacing w:after="0"/>
              <w:rPr>
                <w:sz w:val="17"/>
                <w:szCs w:val="17"/>
                <w:color w:val="auto"/>
              </w:rPr>
            </w:pPr>
          </w:p>
        </w:tc>
        <w:tc>
          <w:tcPr>
            <w:tcW w:w="72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Operations and Comprehensive Loss for the years ended December 31, 2024 and 2023</w:t>
            </w:r>
          </w:p>
        </w:tc>
        <w:tc>
          <w:tcPr>
            <w:tcW w:w="20" w:type="dxa"/>
            <w:vAlign w:val="bottom"/>
            <w:tcBorders>
              <w:bottom w:val="single" w:sz="8" w:color="0000EE"/>
            </w:tcBorders>
          </w:tcPr>
          <w:p>
            <w:pPr>
              <w:spacing w:after="0"/>
              <w:rPr>
                <w:sz w:val="17"/>
                <w:szCs w:val="17"/>
                <w:color w:val="auto"/>
              </w:rPr>
            </w:pPr>
          </w:p>
        </w:tc>
        <w:tc>
          <w:tcPr>
            <w:tcW w:w="302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119</w:t>
            </w:r>
          </w:p>
        </w:tc>
      </w:tr>
      <w:tr>
        <w:trPr>
          <w:trHeight w:val="196"/>
        </w:trPr>
        <w:tc>
          <w:tcPr>
            <w:tcW w:w="20" w:type="dxa"/>
            <w:vAlign w:val="bottom"/>
          </w:tcPr>
          <w:p>
            <w:pPr>
              <w:spacing w:after="0"/>
              <w:rPr>
                <w:sz w:val="17"/>
                <w:szCs w:val="17"/>
                <w:color w:val="auto"/>
              </w:rPr>
            </w:pPr>
          </w:p>
        </w:tc>
        <w:tc>
          <w:tcPr>
            <w:tcW w:w="103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Statements of Redeemable Convertible Preferred Stock and Stockholders’ Deficit for the years ended December 31, 2024 and 2023</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120</w:t>
            </w:r>
          </w:p>
        </w:tc>
      </w:tr>
      <w:tr>
        <w:trPr>
          <w:trHeight w:val="196"/>
        </w:trPr>
        <w:tc>
          <w:tcPr>
            <w:tcW w:w="20" w:type="dxa"/>
            <w:vAlign w:val="bottom"/>
            <w:tcBorders>
              <w:top w:val="single" w:sz="8" w:color="0000EE"/>
            </w:tcBorders>
          </w:tcPr>
          <w:p>
            <w:pPr>
              <w:spacing w:after="0"/>
              <w:rPr>
                <w:sz w:val="17"/>
                <w:szCs w:val="17"/>
                <w:color w:val="auto"/>
              </w:rPr>
            </w:pPr>
          </w:p>
        </w:tc>
        <w:tc>
          <w:tcPr>
            <w:tcW w:w="946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 for the years ended December 31, 2024 and 2023</w:t>
            </w:r>
          </w:p>
        </w:tc>
        <w:tc>
          <w:tcPr>
            <w:tcW w:w="8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121</w:t>
            </w:r>
          </w:p>
        </w:tc>
      </w:tr>
      <w:tr>
        <w:trPr>
          <w:trHeight w:val="196"/>
        </w:trPr>
        <w:tc>
          <w:tcPr>
            <w:tcW w:w="20" w:type="dxa"/>
            <w:vAlign w:val="bottom"/>
            <w:tcBorders>
              <w:top w:val="single" w:sz="8" w:color="0000EE"/>
            </w:tcBorders>
          </w:tcPr>
          <w:p>
            <w:pPr>
              <w:spacing w:after="0"/>
              <w:rPr>
                <w:sz w:val="17"/>
                <w:szCs w:val="17"/>
                <w:color w:val="auto"/>
              </w:rPr>
            </w:pPr>
          </w:p>
        </w:tc>
        <w:tc>
          <w:tcPr>
            <w:tcW w:w="21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Financial Statements</w:t>
            </w:r>
          </w:p>
        </w:tc>
        <w:tc>
          <w:tcPr>
            <w:tcW w:w="3300" w:type="dxa"/>
            <w:vAlign w:val="bottom"/>
            <w:tcBorders>
              <w:top w:val="single" w:sz="8" w:color="0000FF"/>
            </w:tcBorders>
            <w:gridSpan w:val="4"/>
          </w:tcPr>
          <w:p>
            <w:pPr>
              <w:spacing w:after="0"/>
              <w:rPr>
                <w:sz w:val="17"/>
                <w:szCs w:val="17"/>
                <w:color w:val="auto"/>
              </w:rPr>
            </w:pPr>
          </w:p>
        </w:tc>
        <w:tc>
          <w:tcPr>
            <w:tcW w:w="4860" w:type="dxa"/>
            <w:vAlign w:val="bottom"/>
            <w:gridSpan w:val="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122</w:t>
            </w:r>
          </w:p>
        </w:tc>
      </w:tr>
      <w:tr>
        <w:trPr>
          <w:trHeight w:val="884"/>
        </w:trPr>
        <w:tc>
          <w:tcPr>
            <w:tcW w:w="7300" w:type="dxa"/>
            <w:vAlign w:val="bottom"/>
            <w:gridSpan w:val="7"/>
          </w:tcPr>
          <w:p>
            <w:pPr>
              <w:jc w:val="center"/>
              <w:ind w:left="385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CG Oncology,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CG Oncology, Inc. (the Company) as of December 31, 2024 and 2023, the related consolidated statements of operations and comprehensive loss, redeemable convertible preferred stock and stockholders’ deficit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ind w:left="48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bl>
      <w:tblPr>
        <w:tblLayout w:type="fixed"/>
        <w:tblInd w:w="0" w:type="dxa"/>
        <w:tblCellMar>
          <w:top w:w="0" w:type="dxa"/>
          <w:left w:w="0" w:type="dxa"/>
          <w:bottom w:w="0" w:type="dxa"/>
          <w:right w:w="0" w:type="dxa"/>
        </w:tblCellMar>
      </w:tblPr>
      <w:tr>
        <w:trPr>
          <w:trHeight w:val="158"/>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88"/>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257,068</w:t>
            </w:r>
          </w:p>
        </w:tc>
        <w:tc>
          <w:tcPr>
            <w:tcW w:w="280" w:type="dxa"/>
            <w:vAlign w:val="bottom"/>
          </w:tcPr>
          <w:p>
            <w:pPr>
              <w:spacing w:after="0"/>
              <w:rPr>
                <w:sz w:val="12"/>
                <w:szCs w:val="12"/>
                <w:color w:val="auto"/>
              </w:rPr>
            </w:pPr>
          </w:p>
        </w:tc>
        <w:tc>
          <w:tcPr>
            <w:tcW w:w="46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484,930</w:t>
            </w: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11,431</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 other</w:t>
            </w:r>
          </w:p>
        </w:tc>
        <w:tc>
          <w:tcPr>
            <w:tcW w:w="3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781</w:t>
            </w:r>
          </w:p>
        </w:tc>
        <w:tc>
          <w:tcPr>
            <w:tcW w:w="2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754,210</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194,124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offering costs</w:t>
            </w:r>
          </w:p>
        </w:tc>
        <w:tc>
          <w:tcPr>
            <w:tcW w:w="360" w:type="dxa"/>
            <w:vAlign w:val="bottom"/>
          </w:tcPr>
          <w:p>
            <w:pPr>
              <w:spacing w:after="0"/>
              <w:rPr>
                <w:sz w:val="12"/>
                <w:szCs w:val="12"/>
                <w:color w:val="auto"/>
              </w:rPr>
            </w:pP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00" w:type="dxa"/>
            <w:vAlign w:val="bottom"/>
            <w:tcBorders>
              <w:top w:val="single" w:sz="8" w:color="CFF0FC"/>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Borders>
              <w:top w:val="single" w:sz="8" w:color="auto"/>
              <w:bottom w:val="single" w:sz="8" w:color="auto"/>
            </w:tcBorders>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754,797</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199,301</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7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 (Deficit)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6,517</w:t>
            </w:r>
          </w:p>
        </w:tc>
        <w:tc>
          <w:tcPr>
            <w:tcW w:w="280" w:type="dxa"/>
            <w:vAlign w:val="bottom"/>
          </w:tcPr>
          <w:p>
            <w:pPr>
              <w:spacing w:after="0"/>
              <w:rPr>
                <w:sz w:val="12"/>
                <w:szCs w:val="12"/>
                <w:color w:val="auto"/>
              </w:rPr>
            </w:pPr>
          </w:p>
        </w:tc>
        <w:tc>
          <w:tcPr>
            <w:tcW w:w="46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Success fee liability, current portion</w:t>
            </w:r>
          </w:p>
        </w:tc>
        <w:tc>
          <w:tcPr>
            <w:tcW w:w="3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3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14,665</w:t>
            </w:r>
          </w:p>
        </w:tc>
        <w:tc>
          <w:tcPr>
            <w:tcW w:w="28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21,368</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Success fee liability, non-current</w:t>
            </w:r>
          </w:p>
        </w:tc>
        <w:tc>
          <w:tcPr>
            <w:tcW w:w="3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Borders>
              <w:bottom w:val="single" w:sz="8" w:color="CFF0FC"/>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8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21,420</w:t>
            </w:r>
          </w:p>
        </w:tc>
        <w:tc>
          <w:tcPr>
            <w:tcW w:w="2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14,511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5)</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Redeemable convertible preferred stock:</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0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Series A-1 redeemable convertible preferred stock, $0.0001 par value per share; zero</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5,075,000 shares authorized, issued and outstanding as of December 31, 2024 and</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$3,570 as of</w:t>
            </w:r>
          </w:p>
        </w:tc>
        <w:tc>
          <w:tcPr>
            <w:tcW w:w="36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December 31, 2024 and December 31, 2023, respectively</w:t>
            </w:r>
          </w:p>
        </w:tc>
        <w:tc>
          <w:tcPr>
            <w:tcW w:w="3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Series B redeemable convertible preferred stock, $0.0001 par value per share; zero</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11,973,000 shares authorized, issued and outstanding as of December 31, 2024 and</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liquidation value of $0 and $10,000 as of December 31, 2024 and</w:t>
            </w:r>
          </w:p>
        </w:tc>
        <w:tc>
          <w:tcPr>
            <w:tcW w:w="36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360" w:type="dxa"/>
            <w:vAlign w:val="bottom"/>
            <w:shd w:val="clear" w:color="auto" w:fill="CFF0FC"/>
          </w:tcPr>
          <w:p>
            <w:pPr>
              <w:spacing w:after="0"/>
              <w:rPr>
                <w:sz w:val="14"/>
                <w:szCs w:val="14"/>
                <w:color w:val="auto"/>
              </w:rPr>
            </w:pPr>
          </w:p>
        </w:tc>
        <w:tc>
          <w:tcPr>
            <w:tcW w:w="1480" w:type="dxa"/>
            <w:vAlign w:val="bottom"/>
            <w:gridSpan w:val="2"/>
            <w:vMerge w:val="continue"/>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Series C redeemable convertible preferred stock, $0.0001 par value per share; zero</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73,598,283 shares authorized, issued and outstanding as of December 31, 2024 and</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$22,000 as of</w:t>
            </w:r>
          </w:p>
        </w:tc>
        <w:tc>
          <w:tcPr>
            <w:tcW w:w="36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December 31, 2024 and December 31, 2023, respectively</w:t>
            </w:r>
          </w:p>
        </w:tc>
        <w:tc>
          <w:tcPr>
            <w:tcW w:w="3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Series D redeemable convertible preferred stock, $0.0001 par value per share; zero</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53,271,754 shares authorized, issued and outstanding as of December 31, 2024 and</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$47,300 as of</w:t>
            </w:r>
          </w:p>
        </w:tc>
        <w:tc>
          <w:tcPr>
            <w:tcW w:w="36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December 31, 2024 and December 31, 2023, respectively</w:t>
            </w:r>
          </w:p>
        </w:tc>
        <w:tc>
          <w:tcPr>
            <w:tcW w:w="360" w:type="dxa"/>
            <w:vAlign w:val="bottom"/>
            <w:shd w:val="clear" w:color="auto" w:fill="CFF0FC"/>
          </w:tcPr>
          <w:p>
            <w:pPr>
              <w:spacing w:after="0"/>
              <w:rPr>
                <w:sz w:val="14"/>
                <w:szCs w:val="14"/>
                <w:color w:val="auto"/>
              </w:rPr>
            </w:pPr>
          </w:p>
        </w:tc>
        <w:tc>
          <w:tcPr>
            <w:tcW w:w="1480" w:type="dxa"/>
            <w:vAlign w:val="bottom"/>
            <w:gridSpan w:val="2"/>
            <w:vMerge w:val="continue"/>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Series E redeemable convertible preferred stock, $0.0001 par value per share; zero</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112,422,700 shares authorized, issued and outstanding as of December 31, 2024 and</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$120,000 as of</w:t>
            </w:r>
          </w:p>
        </w:tc>
        <w:tc>
          <w:tcPr>
            <w:tcW w:w="36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December 31, 2024 and December 31, 2023, respectively</w:t>
            </w:r>
          </w:p>
        </w:tc>
        <w:tc>
          <w:tcPr>
            <w:tcW w:w="3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Series F redeemable convertible preferred stock, $0.0001 par value per share; zero</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81,587,937 shares issued and outstanding as of December 31, 2024 and</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zero and $105,020 as of</w:t>
            </w:r>
          </w:p>
        </w:tc>
        <w:tc>
          <w:tcPr>
            <w:tcW w:w="36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December 31, 2024 and December 31, 2023, respectively</w:t>
            </w:r>
          </w:p>
        </w:tc>
        <w:tc>
          <w:tcPr>
            <w:tcW w:w="360" w:type="dxa"/>
            <w:vAlign w:val="bottom"/>
            <w:shd w:val="clear" w:color="auto" w:fill="CFF0FC"/>
          </w:tcPr>
          <w:p>
            <w:pPr>
              <w:spacing w:after="0"/>
              <w:rPr>
                <w:sz w:val="14"/>
                <w:szCs w:val="14"/>
                <w:color w:val="auto"/>
              </w:rPr>
            </w:pPr>
          </w:p>
        </w:tc>
        <w:tc>
          <w:tcPr>
            <w:tcW w:w="1480" w:type="dxa"/>
            <w:vAlign w:val="bottom"/>
            <w:gridSpan w:val="2"/>
            <w:vMerge w:val="continue"/>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0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$0.0001 par value per share; 700,000,000 and 493,530,000 shares</w:t>
            </w: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authorized as of December 31, 2024 and December 31, 2023, respectively; 76,154,783</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5,222,283 shares issued and outstanding as of December 31, 2024 and December 31, 2023,</w:t>
            </w:r>
          </w:p>
        </w:tc>
        <w:tc>
          <w:tcPr>
            <w:tcW w:w="360" w:type="dxa"/>
            <w:vAlign w:val="bottom"/>
            <w:shd w:val="clear" w:color="auto" w:fill="CFF0FC"/>
          </w:tcPr>
          <w:p>
            <w:pPr>
              <w:spacing w:after="0"/>
              <w:rPr>
                <w:sz w:val="12"/>
                <w:szCs w:val="12"/>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respectively</w:t>
            </w:r>
          </w:p>
        </w:tc>
        <w:tc>
          <w:tcPr>
            <w:tcW w:w="36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951,350</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3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(217,981 )</w:t>
            </w:r>
          </w:p>
        </w:tc>
        <w:tc>
          <w:tcPr>
            <w:tcW w:w="4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(129,942 )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3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733,377</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(123,100 )</w:t>
            </w:r>
          </w:p>
        </w:tc>
        <w:tc>
          <w:tcPr>
            <w:tcW w:w="0" w:type="dxa"/>
            <w:vAlign w:val="bottom"/>
          </w:tcPr>
          <w:p>
            <w:pPr>
              <w:spacing w:after="0"/>
              <w:rPr>
                <w:sz w:val="1"/>
                <w:szCs w:val="1"/>
                <w:color w:val="auto"/>
              </w:rPr>
            </w:pPr>
          </w:p>
        </w:tc>
      </w:tr>
      <w:tr>
        <w:trPr>
          <w:trHeight w:val="182"/>
        </w:trPr>
        <w:tc>
          <w:tcPr>
            <w:tcW w:w="770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 (deficit)</w:t>
            </w:r>
          </w:p>
        </w:tc>
        <w:tc>
          <w:tcPr>
            <w:tcW w:w="360" w:type="dxa"/>
            <w:vAlign w:val="bottom"/>
            <w:tcBorders>
              <w:top w:val="single" w:sz="8" w:color="auto"/>
              <w:bottom w:val="single" w:sz="8" w:color="auto"/>
            </w:tcBorders>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754,797</w:t>
            </w:r>
          </w:p>
        </w:tc>
        <w:tc>
          <w:tcPr>
            <w:tcW w:w="2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199,301</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-4928235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-4928235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-4345305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-4328160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-4448175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-4345305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-4328160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-4448175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-3766820</wp:posOffset>
            </wp:positionV>
            <wp:extent cx="9398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-3766820</wp:posOffset>
            </wp:positionV>
            <wp:extent cx="10287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-3466465</wp:posOffset>
            </wp:positionV>
            <wp:extent cx="9398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-3466465</wp:posOffset>
            </wp:positionV>
            <wp:extent cx="10287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-231140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-231140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ind w:left="48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00" w:type="dxa"/>
            <w:vAlign w:val="bottom"/>
          </w:tcPr>
          <w:p>
            <w:pPr>
              <w:spacing w:after="0"/>
              <w:rPr>
                <w:sz w:val="18"/>
                <w:szCs w:val="18"/>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82,102</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12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20" w:type="dxa"/>
            <w:vAlign w:val="bottom"/>
            <w:shd w:val="clear" w:color="auto" w:fill="CFF0FC"/>
          </w:tcPr>
          <w:p>
            <w:pPr>
              <w:spacing w:after="0"/>
              <w:rPr>
                <w:sz w:val="18"/>
                <w:szCs w:val="18"/>
                <w:color w:val="auto"/>
              </w:rPr>
            </w:pPr>
          </w:p>
        </w:tc>
      </w:tr>
      <w:tr>
        <w:trPr>
          <w:trHeight w:val="20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115,805</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120" w:type="dxa"/>
            <w:vAlign w:val="bottom"/>
          </w:tcPr>
          <w:p>
            <w:pPr>
              <w:spacing w:after="0"/>
              <w:rPr>
                <w:sz w:val="18"/>
                <w:szCs w:val="18"/>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(114,666 )</w:t>
            </w: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(55,449 )</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26,624</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r>
      <w:tr>
        <w:trPr>
          <w:trHeight w:val="209"/>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(88,039 )</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(48,607 )</w:t>
            </w: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54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Deemed dividend on redeemable convertible preferred stock issuances</w:t>
            </w:r>
          </w:p>
        </w:tc>
        <w:tc>
          <w:tcPr>
            <w:tcW w:w="3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(410 )</w:t>
            </w: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Cumulative redeemable convertible preferred stock dividends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(18,781 )</w:t>
            </w:r>
          </w:p>
        </w:tc>
      </w:tr>
      <w:tr>
        <w:trPr>
          <w:trHeight w:val="20"/>
        </w:trPr>
        <w:tc>
          <w:tcPr>
            <w:tcW w:w="7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(88,039 )</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(67,798 )</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(1.41 )</w:t>
            </w:r>
          </w:p>
        </w:tc>
        <w:tc>
          <w:tcPr>
            <w:tcW w:w="66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(15.65 )</w:t>
            </w: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75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3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62,496,725</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4,330,933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-1803400</wp:posOffset>
            </wp:positionV>
            <wp:extent cx="9398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-1803400</wp:posOffset>
            </wp:positionV>
            <wp:extent cx="10287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-942340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-350520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-334010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ind w:left="48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740" w:type="dxa"/>
            <w:vAlign w:val="bottom"/>
            <w:gridSpan w:val="3"/>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Series A-1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7"/>
              </w:rPr>
              <w:t>Series C</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Series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4"/>
              </w:rPr>
              <w:t>Series 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rPr>
              <w:t>Series 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1080" w:type="dxa"/>
            <w:vAlign w:val="bottom"/>
            <w:gridSpan w:val="5"/>
          </w:tcPr>
          <w:p>
            <w:pPr>
              <w:jc w:val="center"/>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080" w:type="dxa"/>
            <w:vAlign w:val="bottom"/>
            <w:gridSpan w:val="5"/>
          </w:tcPr>
          <w:p>
            <w:pPr>
              <w:jc w:val="right"/>
              <w:ind w:right="320"/>
              <w:spacing w:after="0" w:line="124"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1100" w:type="dxa"/>
            <w:vAlign w:val="bottom"/>
            <w:gridSpan w:val="5"/>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100" w:type="dxa"/>
            <w:vAlign w:val="bottom"/>
            <w:gridSpan w:val="5"/>
          </w:tcPr>
          <w:p>
            <w:pPr>
              <w:jc w:val="right"/>
              <w:ind w:right="340"/>
              <w:spacing w:after="0" w:line="124"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800" w:type="dxa"/>
            <w:vAlign w:val="bottom"/>
            <w:gridSpan w:val="3"/>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left="146"/>
              <w:spacing w:after="0" w:line="124"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7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6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Accumul</w:t>
            </w:r>
          </w:p>
        </w:tc>
        <w:tc>
          <w:tcPr>
            <w:tcW w:w="7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080" w:type="dxa"/>
            <w:vAlign w:val="bottom"/>
            <w:gridSpan w:val="5"/>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10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6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240" w:type="dxa"/>
            <w:vAlign w:val="bottom"/>
            <w:tcBorders>
              <w:right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00" w:type="dxa"/>
            <w:vAlign w:val="bottom"/>
          </w:tcPr>
          <w:p>
            <w:pPr>
              <w:spacing w:after="0"/>
              <w:rPr>
                <w:sz w:val="11"/>
                <w:szCs w:val="11"/>
                <w:color w:val="auto"/>
              </w:rPr>
            </w:pPr>
          </w:p>
        </w:tc>
        <w:tc>
          <w:tcPr>
            <w:tcW w:w="1000" w:type="dxa"/>
            <w:vAlign w:val="bottom"/>
            <w:gridSpan w:val="4"/>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ated</w:t>
            </w:r>
          </w:p>
        </w:tc>
        <w:tc>
          <w:tcPr>
            <w:tcW w:w="100" w:type="dxa"/>
            <w:vAlign w:val="bottom"/>
          </w:tcPr>
          <w:p>
            <w:pPr>
              <w:spacing w:after="0"/>
              <w:rPr>
                <w:sz w:val="11"/>
                <w:szCs w:val="11"/>
                <w:color w:val="auto"/>
              </w:rPr>
            </w:pPr>
          </w:p>
        </w:tc>
        <w:tc>
          <w:tcPr>
            <w:tcW w:w="54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70"/>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0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20" w:type="dxa"/>
            <w:vAlign w:val="bottom"/>
          </w:tcPr>
          <w:p>
            <w:pPr>
              <w:spacing w:after="0"/>
              <w:rPr>
                <w:sz w:val="8"/>
                <w:szCs w:val="8"/>
                <w:color w:val="auto"/>
              </w:rPr>
            </w:pPr>
          </w:p>
        </w:tc>
        <w:tc>
          <w:tcPr>
            <w:tcW w:w="70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20" w:type="dxa"/>
            <w:vAlign w:val="bottom"/>
            <w:tcBorders>
              <w:top w:val="single" w:sz="8" w:color="auto"/>
            </w:tcBorders>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60"/>
              <w:spacing w:after="0" w:line="100"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7"/>
        </w:trPr>
        <w:tc>
          <w:tcPr>
            <w:tcW w:w="108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87"/>
              </w:rPr>
              <w:t>unt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75"/>
              </w:rPr>
              <w:t>unt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1"/>
                <w:szCs w:val="1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87"/>
              </w:rPr>
              <w:t>unt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87"/>
              </w:rPr>
              <w:t>unt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nt</w:t>
            </w: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1"/>
                <w:szCs w:val="11"/>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99"/>
        </w:trPr>
        <w:tc>
          <w:tcPr>
            <w:tcW w:w="10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5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11,973,00</w:t>
            </w: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73,598,28</w:t>
            </w: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53,271,75</w:t>
            </w: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47,</w:t>
            </w: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112,422,7</w:t>
            </w: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120,</w:t>
            </w: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FF0FC"/>
          </w:tcPr>
          <w:p>
            <w:pPr>
              <w:spacing w:after="0"/>
              <w:rPr>
                <w:sz w:val="11"/>
                <w:szCs w:val="11"/>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3,842,694</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(81,335 )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(77,693 )</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Series F</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redeemable convertible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preferred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(inclusive of deemed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dividend of $410 to</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accrete to redemption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81,587,93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3"/>
              </w:rPr>
              <w:t>105,</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value)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(410 )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(410 )</w:t>
            </w:r>
          </w:p>
        </w:tc>
        <w:tc>
          <w:tcPr>
            <w:tcW w:w="0" w:type="dxa"/>
            <w:vAlign w:val="bottom"/>
          </w:tcPr>
          <w:p>
            <w:pPr>
              <w:spacing w:after="0"/>
              <w:rPr>
                <w:sz w:val="1"/>
                <w:szCs w:val="1"/>
                <w:color w:val="auto"/>
              </w:rPr>
            </w:pPr>
          </w:p>
        </w:tc>
      </w:tr>
      <w:tr>
        <w:trPr>
          <w:trHeight w:val="108"/>
        </w:trPr>
        <w:tc>
          <w:tcPr>
            <w:tcW w:w="10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4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1,379,589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4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(48,607 )</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(48,607 )</w:t>
            </w:r>
          </w:p>
        </w:tc>
        <w:tc>
          <w:tcPr>
            <w:tcW w:w="0" w:type="dxa"/>
            <w:vAlign w:val="bottom"/>
          </w:tcPr>
          <w:p>
            <w:pPr>
              <w:spacing w:after="0"/>
              <w:rPr>
                <w:sz w:val="1"/>
                <w:szCs w:val="1"/>
                <w:color w:val="auto"/>
              </w:rPr>
            </w:pPr>
          </w:p>
        </w:tc>
      </w:tr>
      <w:tr>
        <w:trPr>
          <w:trHeight w:val="99"/>
        </w:trPr>
        <w:tc>
          <w:tcPr>
            <w:tcW w:w="1080" w:type="dxa"/>
            <w:vAlign w:val="bottom"/>
            <w:tcBorders>
              <w:top w:val="single" w:sz="8" w:color="CFF0FC"/>
            </w:tcBorders>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11,973,00</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73,598,28</w:t>
            </w: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53,271,75</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47,</w:t>
            </w: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112,422,7</w:t>
            </w: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120,</w:t>
            </w: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81,587,93</w:t>
            </w: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w w:val="93"/>
              </w:rPr>
              <w:t>105,</w:t>
            </w:r>
          </w:p>
        </w:tc>
        <w:tc>
          <w:tcPr>
            <w:tcW w:w="220" w:type="dxa"/>
            <w:vAlign w:val="bottom"/>
            <w:tcBorders>
              <w:top w:val="single" w:sz="8" w:color="CFF0FC"/>
              <w:right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(129,94</w:t>
            </w: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5,222,283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(123,100 )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Conversion of</w:t>
            </w: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(47</w:t>
            </w: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redeemable convertible</w:t>
            </w: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(5,075,00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(11,973,0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(73,598,2</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(53,271,7</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(112,422,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5"/>
              </w:rPr>
              <w:t>(120,</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(81,587,9</w:t>
            </w: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89"/>
              </w:rPr>
              <w:t>(105</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38,413,90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preferred stock</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0 )</w:t>
            </w:r>
          </w:p>
        </w:tc>
        <w:tc>
          <w:tcPr>
            <w:tcW w:w="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570 )</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00 )</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83 )</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54 )</w:t>
            </w:r>
          </w:p>
        </w:tc>
        <w:tc>
          <w:tcPr>
            <w:tcW w:w="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700 )</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000 )</w:t>
            </w: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37 )</w:t>
            </w:r>
          </w:p>
        </w:tc>
        <w:tc>
          <w:tcPr>
            <w:tcW w:w="100" w:type="dxa"/>
            <w:vAlign w:val="bottom"/>
            <w:shd w:val="clear" w:color="auto" w:fill="CFF0FC"/>
          </w:tcPr>
          <w:p>
            <w:pPr>
              <w:spacing w:after="0"/>
              <w:rPr>
                <w:sz w:val="11"/>
                <w:szCs w:val="11"/>
                <w:color w:val="auto"/>
              </w:rPr>
            </w:pPr>
          </w:p>
        </w:tc>
        <w:tc>
          <w:tcPr>
            <w:tcW w:w="44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,020 )</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307,886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307,890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with an initial public</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23,000,00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issuance costs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399,562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399,565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with a public</w:t>
            </w: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issuance costs</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4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8,500,000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223,059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223,060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1,018,591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expense</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4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11,402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11,402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(88,039 )</w:t>
            </w: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(88,039 )</w:t>
            </w:r>
          </w:p>
        </w:tc>
        <w:tc>
          <w:tcPr>
            <w:tcW w:w="0" w:type="dxa"/>
            <w:vAlign w:val="bottom"/>
          </w:tcPr>
          <w:p>
            <w:pPr>
              <w:spacing w:after="0"/>
              <w:rPr>
                <w:sz w:val="1"/>
                <w:szCs w:val="1"/>
                <w:color w:val="auto"/>
              </w:rPr>
            </w:pPr>
          </w:p>
        </w:tc>
      </w:tr>
      <w:tr>
        <w:trPr>
          <w:trHeight w:val="99"/>
        </w:trPr>
        <w:tc>
          <w:tcPr>
            <w:tcW w:w="10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5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76,154,78</w:t>
            </w: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(217,98</w:t>
            </w: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951,350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1 )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733,377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-1868170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-1868170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-1868170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-1868170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-1868170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-1868170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-1868170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-1868170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-1868170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-1868170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-1868170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-1868170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-1868170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-1868170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-1868170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-1868170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ind w:left="48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58"/>
        </w:trPr>
        <w:tc>
          <w:tcPr>
            <w:tcW w:w="8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40" w:type="dxa"/>
            <w:vAlign w:val="bottom"/>
            <w:gridSpan w:val="5"/>
          </w:tcPr>
          <w:p>
            <w:pPr>
              <w:jc w:val="right"/>
              <w:ind w:right="741"/>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(88,039 )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(48,607 )</w:t>
            </w: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loan fees</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Final payment amortization and loss on debt extinguishment</w:t>
            </w:r>
          </w:p>
        </w:tc>
        <w:tc>
          <w:tcPr>
            <w:tcW w:w="32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Success fee amortization</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of discount on short-term investments</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(4,992 )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(2,875 )</w:t>
            </w:r>
          </w:p>
        </w:tc>
        <w:tc>
          <w:tcPr>
            <w:tcW w:w="0" w:type="dxa"/>
            <w:vAlign w:val="bottom"/>
          </w:tcPr>
          <w:p>
            <w:pPr>
              <w:spacing w:after="0"/>
              <w:rPr>
                <w:sz w:val="1"/>
                <w:szCs w:val="1"/>
                <w:color w:val="auto"/>
              </w:rPr>
            </w:pPr>
          </w:p>
        </w:tc>
      </w:tr>
      <w:tr>
        <w:trPr>
          <w:trHeight w:val="216"/>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(5,073 )</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(2,723 )</w:t>
            </w: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(689 )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bottom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(78,713</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745,412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(1,045,942 )</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(517,611 )</w:t>
            </w: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(234 )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(300,764</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initial public offering, net of issuance costs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406,410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follow-on public offering, net of issuance costs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Series F redeemable convertible preferred stock, net of issuance costs</w:t>
            </w:r>
          </w:p>
        </w:tc>
        <w:tc>
          <w:tcPr>
            <w:tcW w:w="32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Payments of success fee or long-term debt</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(365 )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(16,291 )</w:t>
            </w:r>
          </w:p>
        </w:tc>
        <w:tc>
          <w:tcPr>
            <w:tcW w:w="0" w:type="dxa"/>
            <w:vAlign w:val="bottom"/>
          </w:tcPr>
          <w:p>
            <w:pPr>
              <w:spacing w:after="0"/>
              <w:rPr>
                <w:sz w:val="1"/>
                <w:szCs w:val="1"/>
                <w:color w:val="auto"/>
              </w:rPr>
            </w:pPr>
          </w:p>
        </w:tc>
      </w:tr>
      <w:tr>
        <w:trPr>
          <w:trHeight w:val="198"/>
        </w:trPr>
        <w:tc>
          <w:tcPr>
            <w:tcW w:w="80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Proceeds from exercise of common stock options and issuance of common stock under the employee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purchase plan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offering costs</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(3,424 )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(3,421 )</w:t>
            </w:r>
          </w:p>
        </w:tc>
        <w:tc>
          <w:tcPr>
            <w:tcW w:w="0" w:type="dxa"/>
            <w:vAlign w:val="bottom"/>
          </w:tcPr>
          <w:p>
            <w:pPr>
              <w:spacing w:after="0"/>
              <w:rPr>
                <w:sz w:val="1"/>
                <w:szCs w:val="1"/>
                <w:color w:val="auto"/>
              </w:rPr>
            </w:pPr>
          </w:p>
        </w:tc>
      </w:tr>
      <w:tr>
        <w:trPr>
          <w:trHeight w:val="210"/>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628,279</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248,802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(79,877 )</w:t>
            </w:r>
          </w:p>
        </w:tc>
        <w:tc>
          <w:tcPr>
            <w:tcW w:w="0" w:type="dxa"/>
            <w:vAlign w:val="bottom"/>
          </w:tcPr>
          <w:p>
            <w:pPr>
              <w:spacing w:after="0"/>
              <w:rPr>
                <w:sz w:val="1"/>
                <w:szCs w:val="1"/>
                <w:color w:val="auto"/>
              </w:rPr>
            </w:pPr>
          </w:p>
        </w:tc>
      </w:tr>
      <w:tr>
        <w:trPr>
          <w:trHeight w:val="216"/>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257,068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Cash paid for taxes</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1"/>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Reclassification of 38,413,909 redeemable convertible preferred stock to 38,413,909 shares of common</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307,890</w:t>
            </w:r>
          </w:p>
        </w:tc>
        <w:tc>
          <w:tcPr>
            <w:tcW w:w="260" w:type="dxa"/>
            <w:vAlign w:val="bottom"/>
          </w:tcPr>
          <w:p>
            <w:pPr>
              <w:spacing w:after="0"/>
              <w:rPr>
                <w:sz w:val="17"/>
                <w:szCs w:val="17"/>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808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stock</w:t>
            </w:r>
          </w:p>
        </w:tc>
        <w:tc>
          <w:tcPr>
            <w:tcW w:w="3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Conversion of deferred offering costs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6,845</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Deferred offering costs, unpaid and accrued</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1"/>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8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Operating lease right-of-use asset obtained in exchange for lease liabilities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-3929380</wp:posOffset>
            </wp:positionV>
            <wp:extent cx="9398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-3929380</wp:posOffset>
            </wp:positionV>
            <wp:extent cx="93980" cy="1797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-3226435</wp:posOffset>
            </wp:positionV>
            <wp:extent cx="93980"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-3226435</wp:posOffset>
            </wp:positionV>
            <wp:extent cx="9398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-1974850</wp:posOffset>
            </wp:positionV>
            <wp:extent cx="9398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-1974850</wp:posOffset>
            </wp:positionV>
            <wp:extent cx="9398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-1388110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-1370965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-1087755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-1070610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-351155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-333375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FDA approves its product candidate, cretostimogene, and the Company is able to commercialize this product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consolidated financial statements, on a retrospective basis, to reflect the reverse stock split for all periods presented. The par value of the common stock and preferred stock was not adjusted as a result of the reverse stock split. The conversion ratios for each series of the Company's redeemable convertible preferred stock and the shares of common stock underlying outstanding stock options and other equity instruments were all proportionately adjusted, as needed.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29, 2024, the Company completed the closing of its IPO of 20,000,000 common shares at a price of $19.00 per share. Additionally, the underwriters exercised their option to purchase an additional 3,000,000 at a price of $19.00 per share. The common shares began trading on the Nasdaq Global Market on January 25, 2024, under the symbol “CGON”. The Company received net proceeds of $399.6 million, after deducting discounts and commissions and other offering expenses. In addition, as a result of its IPO, the Company’s redeemable convertible preferred stock converted into common stock concurrently with the IPO. In December 2024, we completed a follow-on offering of 8,500,000 common shares at a price of $28.00 per share, including the exercise in full by the underwriters of their option to purchase an additional 1,200,000 shares of common stock. We received net proceeds of $223.1 million, after deducting discounts, commissions and other offering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conformity with U.S. generally accepted accounting principles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approximately $742.0 million of cash, cash equivalents and marketable securities and working capital of approximately $732.8 million. The revenue and income potential of the Company’s business and market are unproven. The Company has experienced net losses and negative cash flows from operations since its inception and, as of December 31, 2024, the Company had an accumulated deficit of $218.0 million. During the year ended December 31, 2024, the Company incurred a net loss of $88.0 million and negative cash flows from operations of $78.7 million. The Company will continue to incur significant costs and expenses related to its ongoing operations until it successfully develops, obtains regulatory approval and gains market acceptance of cretostimogene and achieves a level of revenues adequate to support the Company’s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inception to December 31, 2024, the Company has funded its operations primarily with proceeds from the sale of common shares from its public offerings, redeemable convertible preferred stock, and previously outstanding term debt. The Company believes that its current capital resources, which consist of cash, cash equivalents and marketable securities, will be sufficient to fund operations through at least the next twelve months from the date the accompanying consolidated financial statements are issued based on its expected cash needs. As the Company continues to pursue its business plan, it expects to finance its operations through equity offerings, debt financings, or other capital sources, including current or potential future collaborations, licenses, and other similar arrangements. However, there can be no assurance that any additional financing or strategic arrangements will be available to the Company on acceptable terms, if at all. If events or circumstances occur such that the Company does not obtain additional funding, it may be necessary to significantly reduce its scope of operations to reduce the current rate of spending through actions such as reductions in staff and the need to delay, limit, reduce or terminate its product development or future commercialization efforts or grant rights to develop and market product candidates that it would otherwise prefer to develop and market itself, which could have a material adverse effect on the Company’s business, results of operations or financial condition.</w:t>
      </w:r>
    </w:p>
    <w:p>
      <w:pPr>
        <w:spacing w:after="0" w:line="296"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assumptions, and judgments that affect the reported amounts of assets, liabilities, expenses, and related disclosures in the accompanying notes. The Company bases its estimates, assumptions and judgments on historical experience when available and on various factors that it believes to be reasonable under the circumstances as of the date of the accompanying consolidated financial statements including stock-based compensation expense, accrued research and development expenses, lease accounting, and the recoverability of the Company’s net deferred tax assets and related valuation allowance. In addition, other factors may affect estimates, including the expected business and operational changes, the sensitivity and volatility associated with the assumptions used in developing estimates, and whether historical trends are expected to be representative of future trends. Actual results could differ materially from the estimates and assumptions used in the preparation of the accompanying consolidated financial statements under different assumptions or conditions.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and instruments with original maturities of 90 days or less that can be liquidated without prior notice or penalty to be cash equivalents. Cash equivalents consisted primarily of demand deposit accounts, insurance deposits and short-term U.S. Treasury money market funds as of December 31, 2024 and 2023. Marketable securities represent fixed income securities which consists of U.S. Treasury bills with maturities greater than 90 days.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significant concentrations of credit risk consist primarily of cash and cash equivalents. The Company deposits cash and cash equivalents with high credit quality financial institutions in the United States. These deposits are held in checking and money market accounts and may, from time to time, exceed the federally insured amounts. The Company has not experienced any losses in such accounts. The Company believes it is not exposed to any significant risk in its cash and cash equivalents. The primary objectives of the Company’s investment portfolio are the preservation of capital and maintenance of liquidity.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risks related to the successful development and commercialization of product candidates, fluctuations in operating results and financial risks, the ability to successfully raise additional funds when needed, protection of proprietary rights and patent risks, patent litigation, compliance with government regulations, dependence on key personnel and collaboration partners, and competition from competing products in the marketplace.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applies fair value measurements to record fair value adjustments to certain assets and liabilities and to determine fair value disclosures. The Company’s financial instruments consist principally of cash, cash equivalents, marketable securities, accounts payable and operating lease liabilities. Fair value is measured as the price that would be received to sell an asset or paid to transfer a liability in an orderly transaction between market participants at the measurement date. A fair value measurement assumes that the transaction to sell the asset or transfer the liability occurs in the principal market for the asset or liability or, in the absence of a principal market, the most advantageous market. A framework is used for measuring fair value utilizing a three-tier hierarchy that prioritizes the inputs to valuation techniques used to measure fair value. The hierarchy gives the highest priority to unadjusted quoted prices in active markets for identical assets or liabilities (Level 1) and the lowest priority to unobservable inputs (Level 3).</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3" w:lineRule="exact"/>
        <w:rPr>
          <w:sz w:val="20"/>
          <w:szCs w:val="20"/>
          <w:color w:val="auto"/>
        </w:rPr>
      </w:pPr>
    </w:p>
    <w:p>
      <w:pPr>
        <w:jc w:val="both"/>
        <w:ind w:lef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—Observable inputs such as unadjusted quoted prices in active markets that are accessible at the measurement date for identical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unrestricted assets or liabilities the Company has the ability to access;</w:t>
      </w:r>
    </w:p>
    <w:p>
      <w:pPr>
        <w:spacing w:after="0" w:line="47" w:lineRule="exact"/>
        <w:rPr>
          <w:sz w:val="20"/>
          <w:szCs w:val="20"/>
          <w:color w:val="auto"/>
        </w:rPr>
      </w:pPr>
    </w:p>
    <w:p>
      <w:pPr>
        <w:jc w:val="both"/>
        <w:ind w:left="9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the full term of the asset or liability. These include quoted prices for similar assets or liabilities in active markets and quoted prices for identical or similar assets or liabilities in markets that are not active; and</w:t>
      </w:r>
    </w:p>
    <w:p>
      <w:pPr>
        <w:spacing w:after="0" w:line="63" w:lineRule="exact"/>
        <w:rPr>
          <w:sz w:val="20"/>
          <w:szCs w:val="20"/>
          <w:color w:val="auto"/>
        </w:rPr>
      </w:pPr>
    </w:p>
    <w:p>
      <w:pPr>
        <w:jc w:val="both"/>
        <w:ind w:left="9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—Unobservable inputs that are significant to the fair value measurement and reflect the reporting entity’s use of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judgment and assumptions when there is little or no market data. Level 3 assets and liabilities include those whose fair value measurements are determined using pricing models, discounted cash flow methodologies or similar valuation techniques and significant management judgment or estimation.</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Financial instruments are categorized in their entirety based on the lowest level of input that is significant to the fair value measurement. The assessment of the significance of a particular input to the fair value measurement requires judgment and considers factors specific to the investment.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differences between net loss and comprehensive loss presented in the statements of operations for the years ended December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over five years, which equals the estimated useful lives of the respective assets.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initial cost of property and equipment consists of its purchase price and any directly attributable costs of bringing the asset to its working condition and location for its intended use. Expenditures incurred after the assets have been put into operation, such as repairs and maintenance, are charged to expense in the period in which the costs are incurred. Major replacements, improvements, and additions are capitalized in accordance with Company policy.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which consist of property and equipment and operating lease right-of-use assets, for impairment at least annually and whenever events or changes in circumstances indicate that the carrying value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the asset is considered to be impaired, the amount of any impairment is measured as the difference between the carrying value and the fair value of the impaired asset. The Company recognized no impairment losses for the years ended December 31, 2024 and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capitalizes as deferred offering costs all direct and incremental legal, professional, accounting and other third-party fees incurred in connection with the Company’s IPO. The deferred offering costs was offset against the IPO proceeds upon the consummation of an offering. As of December 31, 2024 and 2023, respectively, the Company had zero and $4.7 million in deferred offering costs, of which $0.2 million were in accounts payable and $1.0 million were in accrued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(the Commencement Date) based on the present value of lease payments over the lease term. At the inception of a contract, the Company determines whether the arrangement is or contains a lease based on the facts and circumstances present. The Company had no finance leases as of December 31, 2024 and 2023.</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The Company elects the practical expedient to exclude short-term agreements of less than 12 months from capitalization. The Company enters into various operating leases for office space. The leases expire at various dates, have various options to renew, and may contain escalation provisions.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Rent expense on 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balance sheets. Landlord improvement allowances and other such lease incentives are recorded as property and equipment and as a reduction of the right-of-use leased assets and are amortized on a straight-line basis as a reduction to operating lease costs. The key estimates for the Company’s leases include the incremental borrowing rate used to determine the present value of lease payments and the lease term. The Company’s leases generally do not include an implicit rate. Management determines the incremental borrowing rate based on the information available at lease commencement.</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lease right-of-use assets are initially measured at cost, which comprises the initial amount of the lease liability adjusted for lease payments made at or before the lease commencement date, plus any initial direct costs incurred less any lease incentives received. Operating lease right-of-use assets are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Operating lease liabilities are initially measured at the present value of the unpaid lease payments at the lease commencement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entered into development and license agreements with Lepu Biotech Co., Ltd. (Lepu) and Kissei Pharmaceutical Co., Ltd. (Kissei), collectively referred to as the License and Collaboration Agreements. See Note 6 for a description of the License and Collaboration Agreements.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throughout the life of the arrangement based on changes in the responsibilities of all parties in the arrangement. For collaboration arrangements within the scope of ASC 808 that contain multiple units of account, the Company first determines which components of the collaboration are deemed to be within the scope of ASC 808 and which components of the collaboration are more reflective of a vendor-customer relationship and therefore within the scope of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w:t>
      </w:r>
      <w:r>
        <w:rPr>
          <w:rFonts w:ascii="Times New Roman" w:cs="Times New Roman" w:eastAsia="Times New Roman" w:hAnsi="Times New Roman"/>
          <w:sz w:val="18"/>
          <w:szCs w:val="18"/>
          <w:color w:val="auto"/>
        </w:rPr>
        <w:t>n (ASC 606).</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units of account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units of account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performance obligations under the terms of these agreements include a license grant, research and development services or customer options, depending on the terms of the License and Collaboration Agreement. Payments to the Company include a non-refundable upfront payment, payments based upon the achievement of development and commercial milestones, and royalties on product sales under the License and Collaboration agreements.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Development milestones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License and Collaboration Agreements include milestone payments that are triggered by the achievement of development milestones. These milestone payments represent variable consideration that are not initially recognized within the transaction price. Revenue from milestones will be recognized at the time the specified milestone events have been achieved.</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Sales milestones and royalty payments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License and Collaboration Agreements also include certain sales-based milestone and royalty payments upon successful commercialization of a licensed product. In accordance with ASC 606, the Company recognizes revenue from sales-based milestone and royalty payments at the later of: (i) the occurrence of the subsequent sale; or (ii) the performance obligation to which some or all of the sales-based milestone or royalty payments has been allocated or has been satisfied. The Company anticipates recognizing these milestones and royalty payments if and when subsequent sales are generated.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(R&amp;D) expenses consist of costs incurred for R&amp;D of its product candidate and are recorded to operating expenses when incurred. The Company’s R&amp;D expenses consist primarily of costs incurred in performing R&amp;D activities, including personnel-related expenses such as salaries, stock-based compensation and benefits, as well as allocated facilities costs, dues and subscriptions and external costs of outside vendors engaged as contract research organization (CRO), contract manufacturers, consultants and other third parties to conduct and support our clinical trials and preclinical studies. The Company accrues expenses related to development activities performed by third parties based on an evaluation of services received and efforts expended pursuant to the terms of the contractual arrangements. Payments under some of these contracts depend on clinical trial milestones. There may be instances in which payments made to the Company’s vendors will exceed the level of services provided and result in a prepayment of expenses. In accruing service fees, the Company estimates the time period over which services will be performed and the level of effort to be expended in each period. If the actual timing of the performance of services or the level of effort varies from the estimate, the Company will adjust the accrual or prepaid expense accordingly. Costs to acquire technologies to be used in R&amp;D that have not reached technological feasibility and have no alternative future use are also expensed as incurred.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periodically grants equity-based payment awards in the form of stock options to employees, directors and non-employees and records stock-based compensation expenses for awards of stock-based payments based on their estimated fair value at the grant date. The Company recognizes stock-based compensation expense for all equity-based payments, including stock options. Stock-based compensation costs are calculated based on the estimated fair value of the underlying option using the Black-Scholes option pricing model on the date of grant for stock options and are recognized as expense in the accompanying statement of operations and comprehensive loss on a straight-line basis over the requisite service period, which is the vesting period. Determining the appropriate fair value model and related input assumptions requires judgment, including estimating the fair value of the Company’s common stock, stock price volatility, and expected term. For any performance-based awards, the Company assesses the probability of the likelihood of achievement and recognizes the related expense accordingly.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recognizes forfeitures related to stock-based compensation awards as they occur.</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the statement of operations in the same manner in which the award recipients’ payroll costs are classified or in which the award recipients’ service payments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ASC 740 requires the use of the asset and liability method of accounting for income taxes. The current or deferred tax consequences of a transaction are measured by applying the provisions of enacted tax laws to determine the amount of taxes payable currently or in future years. Deferred tax assets and liabilities are determined based on the difference between the financial statements and tax basis of assets and liabilities and expected future tax consequences of events that have been included in the consolidated financial statements or tax returns using enacted tax rates in effect for the year in which the differences are expected to reverse. Under this method, a valuation allowance is used to offset deferred tax assets if, based upon the available evidence, it is more likely than not that some or all of the deferred tax assets may not be realized. Management annually evaluates the recoverability of deferred taxes and the adequacy of the valuation allowance. See Note 12 for additional information.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follows the provisions of ASC 740 relative to accounting for uncertain tax positions. These provisions provide guidance on the recognition, de-recognition and measurement of potential tax benefits associated with tax positions. For those benefits to be recognized, a tax position must be more likely than not to be sustained upon examination by taxing authorities. As applicable, the Company recognizes accrued penalties and interest related to unrecognized tax benefits in the provision for income taxes.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required to file federal and state income tax returns in the U.S. The preparation of state tax returns requires the Company to interpret the applicable tax laws and regulations in effect in such jurisdictions, which could affect the amount of tax paid by the Company.</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IRS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follows the accounting guidance on accounting for uncertainty in income taxes. The guidance prescribes a recognition threshold and measurement attribute criteria for the financial statement recognition and measurement of tax positions taken or expected to be taken in a tax return.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Redeemable Convertible Preferred Stock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Classification of the Company’s Series A-1, B, C, D, E and F redeemable convertible preferred stock is being treated as mezzanine equity and not as part of stockholders’ deficit because the holders of such shares have liquidation rights in the event of a deemed liquidation that, in certain situations, are not solely within the control of the Company and would require the redemption of the then-outstanding redeemable convertible preferred stock. In addition, all of the Company’s redeemable convertible preferred stock are redeemable with the passage of time on or after July 28, 2028, by class and if requested by a requisite majority of each class. See Note 7 for additional information, including the conversion of all redeemable convertible preferred stock as of December 31, 2024.</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values of the Series A-1, B, C, D, E and F redeemable convertible preferred stock are reported at their respective redemption values.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all of its redeemable convertible preferred stock qualifies as participating securities, as defined in ASC 260, </w:t>
      </w:r>
      <w:r>
        <w:rPr>
          <w:rFonts w:ascii="Times New Roman" w:cs="Times New Roman" w:eastAsia="Times New Roman" w:hAnsi="Times New Roman"/>
          <w:sz w:val="18"/>
          <w:szCs w:val="18"/>
          <w:i w:val="1"/>
          <w:iCs w:val="1"/>
          <w:color w:val="auto"/>
        </w:rPr>
        <w:t>Earnings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 </w:t>
      </w:r>
      <w:r>
        <w:rPr>
          <w:rFonts w:ascii="Times New Roman" w:cs="Times New Roman" w:eastAsia="Times New Roman" w:hAnsi="Times New Roman"/>
          <w:sz w:val="18"/>
          <w:szCs w:val="18"/>
          <w:color w:val="auto"/>
        </w:rPr>
        <w:t>(ASC 260) earnings with common stock. In accordance with ASC 260, a company is required to use the two-class method when computing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(loss) per share when a company has securities that qualify as participating securities. The two-class method is an earnings allocation formula that determines net income (loss) per share for each class of common stock and participating security according to dividends declared (or accumulated) and participation rights in undistributed earnings. Under the two-class method, the net loss attributable to common stockholders is not allocated to the convertible preferred stock as the preferred stockholders do not have a contractual obligation to share in the Company’s losses.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operating decision maker is its Chief Executive Officer. The chief operating decision maker reviews consolidated operating results to make decisions about allocating resources and assessing performance for the entire company. The Company views its operations and manages its business as one operating segment. All of the Company’s assets are located in the United States. See Note 7 for additional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Accounting standards not listed below were assessed and determined not to be applicable or are expected to have minimal impact on the Company’s consolidated financial statements.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Segment Reporting (Topic 280): Improvements to Reportable Segment Disclosures (ASU 2023-07). The guidance includes the requirements that a public entity disclose, on an annual and interim basis, significant segment expenses that are regularly provided to the chief operating decision maker and included within each reported measure of segment profit or loss, the title and position of the chief operating decision maker, and an explanation of how the chief operating decision maker uses the reported measure(s) of segment profit or loss in assessing segment performance and deciding how to allocate resources. The guidance also requires that a public entity that has a single reportable segment provide all the disclosures required by the guidance and all existing segment disclosures in ASC 280, Segment Reporting. The guidance is effective for fiscal years beginning after December 15, 2023, and interim periods within fiscal years beginning after December 15, 2024. The Company adopted this standard for the year ended December 31, 2024 and applied the amendments retrospectively to all periods presented in the consolidated financial statements. See our segments disclosure in Note 7 for further detail.</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includes the requirement that public business entities, on an annual basis,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(national), state, and foreign. Lastly, the guidance eliminates the requirement for all entities to disclose the nature and estimate of the range of the reasonably possible change in the unrecognized tax benefits balance in the next 12 months or make a statement that an estimate of the range cannot be made. For public business entities, the guidance is effective for annual periods beginning after December 15, 2024. Early adoption is permitted for annual financial statements that have not yet been issued or made available for issuance. The guidance should be applied on a prospective basis. Retrospective application is permitted. The Company is currently evaluating the impact that this guidance may have on its consolidated financial statements.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Comprehensive Income - Expense Disaggregation Disclosures , which will improve the disclosures about a public business entity's expenses and address requests from investors for more detailed information about the types of expenses in commonly presented expense captions such as cost of sales, selling, general and administrative, and research and development. The amendments are effective for fiscal years beginning after December 15, 2026. Early adoption is permitted for annual financial statements that have not yet been issued or made available. The amendments should be applied on either (1) prospectively to financial statements issued for reporting periods after the effective date or</w:t>
      </w:r>
    </w:p>
    <w:p>
      <w:pPr>
        <w:spacing w:after="0" w:line="3" w:lineRule="exact"/>
        <w:rPr>
          <w:sz w:val="20"/>
          <w:szCs w:val="20"/>
          <w:color w:val="auto"/>
        </w:rPr>
      </w:pPr>
    </w:p>
    <w:p>
      <w:pPr>
        <w:ind w:firstLine="8"/>
        <w:spacing w:after="0" w:line="260" w:lineRule="auto"/>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to any or all prior periods presented in the financial statements. The Company is currently evaluating the provisions of the amendments and the effect on its future consolidated financial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98"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financial instruments carried at fair value on a recurring basis as of December 31, 2024 and 2023 in accordance with the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hierarchy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90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100" w:type="dxa"/>
            <w:vAlign w:val="bottom"/>
            <w:shd w:val="clear" w:color="auto" w:fill="CFF0FC"/>
          </w:tcPr>
          <w:p>
            <w:pPr>
              <w:spacing w:after="0"/>
              <w:rPr>
                <w:sz w:val="18"/>
                <w:szCs w:val="18"/>
                <w:color w:val="auto"/>
              </w:rPr>
            </w:pPr>
          </w:p>
        </w:tc>
      </w:tr>
      <w:tr>
        <w:trPr>
          <w:trHeight w:val="365"/>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90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179,408</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179,408</w:t>
            </w:r>
          </w:p>
        </w:tc>
        <w:tc>
          <w:tcPr>
            <w:tcW w:w="100" w:type="dxa"/>
            <w:vAlign w:val="bottom"/>
            <w:shd w:val="clear" w:color="auto" w:fill="CFF0FC"/>
          </w:tcPr>
          <w:p>
            <w:pPr>
              <w:spacing w:after="0"/>
              <w:rPr>
                <w:sz w:val="18"/>
                <w:szCs w:val="18"/>
                <w:color w:val="auto"/>
              </w:rPr>
            </w:pPr>
          </w:p>
        </w:tc>
      </w:tr>
      <w:tr>
        <w:trPr>
          <w:trHeight w:val="4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Success fee liability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success fee liability associated with the Loan and Security Agreement (the Loan Agreement) the Company entered into in January 2021 was classified as a Level 3 fair value measurement, due to the use of unobservable inputs. See Note 13 for additional information on the Loan Agreement and success fee.</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years ended December 31, 2024 and 2023, however, subsequent to December 31, 2024, the Company committed approximately $25 million of its cash equivalents to long-term use.</w:t>
      </w:r>
    </w:p>
    <w:p>
      <w:pPr>
        <w:spacing w:after="0" w:line="200" w:lineRule="exact"/>
        <w:rPr>
          <w:sz w:val="20"/>
          <w:szCs w:val="20"/>
          <w:color w:val="auto"/>
        </w:rPr>
      </w:pPr>
    </w:p>
    <w:p>
      <w:pPr>
        <w:spacing w:after="0" w:line="282"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accrued expenses and other current liabilities for the years ended December 31, 2024 and 2023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FF0FC"/>
            </w:tcBorders>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2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-1216660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-1216660</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82"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On January 1, 2019, 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of December 31, 2024 and 2023, the Company had two operating leases, in which the Company is the lessee for office space. As of December 31, 2024, the lease terms were through 2025 and 2026. The Company had no finance leases as of December 31, 2024 and 2023.</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2024 and 2023 were as follows (in thousands):</w:t>
      </w: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tcBorders>
              <w:bottom w:val="single" w:sz="8" w:color="auto"/>
            </w:tcBorders>
            <w:gridSpan w:val="2"/>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5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6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6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60" w:type="dxa"/>
            <w:vAlign w:val="bottom"/>
          </w:tcPr>
          <w:p>
            <w:pPr>
              <w:spacing w:after="0"/>
              <w:rPr>
                <w:sz w:val="18"/>
                <w:szCs w:val="18"/>
                <w:color w:val="auto"/>
              </w:rPr>
            </w:pP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640" w:type="dxa"/>
            <w:vAlign w:val="bottom"/>
            <w:tcBorders>
              <w:bottom w:val="single" w:sz="8" w:color="auto"/>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504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 obtained in exchange for new</w:t>
            </w:r>
          </w:p>
        </w:tc>
        <w:tc>
          <w:tcPr>
            <w:tcW w:w="6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5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included in operating cash flows</w:t>
            </w:r>
          </w:p>
        </w:tc>
        <w:tc>
          <w:tcPr>
            <w:tcW w:w="6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60" w:type="dxa"/>
            <w:vAlign w:val="bottom"/>
          </w:tcPr>
          <w:p>
            <w:pPr>
              <w:spacing w:after="0"/>
              <w:rPr>
                <w:sz w:val="20"/>
                <w:szCs w:val="20"/>
                <w:color w:val="auto"/>
              </w:rPr>
            </w:pP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6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1.63 %</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414"/>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2024 were as follows (in thousands):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80" w:type="dxa"/>
            <w:vAlign w:val="bottom"/>
            <w:gridSpan w:val="2"/>
            <w:vMerge w:val="restart"/>
          </w:tcPr>
          <w:p>
            <w:pPr>
              <w:spacing w:after="0"/>
              <w:rPr>
                <w:sz w:val="21"/>
                <w:szCs w:val="21"/>
                <w:color w:val="auto"/>
              </w:rPr>
            </w:pPr>
          </w:p>
        </w:tc>
        <w:tc>
          <w:tcPr>
            <w:tcW w:w="4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80" w:type="dxa"/>
            <w:vAlign w:val="bottom"/>
            <w:gridSpan w:val="2"/>
            <w:vMerge w:val="continue"/>
          </w:tcPr>
          <w:p>
            <w:pPr>
              <w:spacing w:after="0"/>
              <w:rPr>
                <w:sz w:val="18"/>
                <w:szCs w:val="18"/>
                <w:color w:val="auto"/>
              </w:rPr>
            </w:pPr>
          </w:p>
        </w:tc>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18"/>
                <w:szCs w:val="18"/>
                <w:color w:val="auto"/>
              </w:rPr>
            </w:pPr>
          </w:p>
        </w:tc>
        <w:tc>
          <w:tcPr>
            <w:tcW w:w="41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w:t>
            </w:r>
          </w:p>
        </w:tc>
        <w:tc>
          <w:tcPr>
            <w:tcW w:w="6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6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-2142490</wp:posOffset>
            </wp:positionV>
            <wp:extent cx="1200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-2125345</wp:posOffset>
            </wp:positionV>
            <wp:extent cx="1200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-2142490</wp:posOffset>
            </wp:positionV>
            <wp:extent cx="1200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-2125345</wp:posOffset>
            </wp:positionV>
            <wp:extent cx="1200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-453390</wp:posOffset>
            </wp:positionV>
            <wp:extent cx="596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liability for loss contingencies arising from claims, assessments, litigation, fines, penalties, and other sources is recorded in the consolidated financial statements if it is determined that it is probable that a loss has been incurred, and that the amount (or range) of the loss can be reasonably estimated.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4, 2024, a complaint was filed against the Company in the Superior Court of the State of Delaware by ANI Pharmaceuticals, Inc. seeking a declaratory judgement that an assignment and technology transfer agreement between the Company and ANI, dated November 15, 2010, obligates the Company to pay ANI a royalty on certain “net sales” of cretostimogene. The court set a trial date for July 21, 2025. The Company disputes the allegations and is vigorously defending the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the Board that will require the Company, among other things, to indemnify them against certain liabilities that may arise by reason of their status or service as directors or officers. As of December 31, 2024 and 2023, the Company had not experienced any losses related to these indemnification obligations, and no claims with respect thereto were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98"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assessed the Lepu License Agreement in accordance with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sales-based royalty fee is considered variable consideration and will be recognized as revenue as such sales occur. The sales-based royalty fee qualifies for the royalty constraint exception and does not require an estimate of the future transaction price.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2024 and 2023, $1.0 million and less than $0.1 million in collaboration and license fee revenue were recorded.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w:t>
      </w:r>
    </w:p>
    <w:p>
      <w:pPr>
        <w:spacing w:after="0" w:line="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We are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our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the Company’s discretion, continue.</w:t>
      </w:r>
    </w:p>
    <w:p>
      <w:pPr>
        <w:spacing w:after="0" w:line="19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Kissei Agreement to determine whether it is a collaborative arrangement in the scope of ASC 808. The Company concluded the Kissei Agreement is a collaborative agreement under ASC 808, as the Kissei Agreement involves a joint operating activity, each party is an active participant in the activities related to the Kissei Agreement, and both parties are exposed to significant risks and rewards dependent upon the commercial success of the activities related to the Kissei Agreement.</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the sale of $30.0 million of the Company’s Series D redeemable convertible preferred stock and the Kissei License Agreement were entered into concurrently and negotiated as a package with a single commercial objective, the Company accounted for the two agreements as a single arrangement for accounting purposes. The total upfront payments of $40.0 million were comprised of $30.0 million attributed to the Series D redeemable convertible preferred stock sold to Kissei and $10.0 million attributed to the functional intellectual property license granted to Kissei. The Company determined that the sale of the Series D redeemable convertible preferred stock of $30.0 million was at fair value and did not include a premium or discount. As a result, $10.0 million of the total upfront payments was allocated to the transaction price of the exclusive license.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purposes of ASC 606, the transaction price of the Kissei Agreement as of the outset of the arrangement was determined to be $10.0 million, which consisted of the one-time upfront payment. The other potential milestone payments the Company is eligible to receive were excluded from the transaction price, as all milestone amounts were fully constrained based on the probability of achievement. The Company satisfied the performance obligation upon delivery of the license and recognized the upfront payment of $10.0 million as revenue during the year ended December 31, 2020.</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milestone revenue of $10 million for cash consideration received associated with an achieved development milestone and $0.4 million in development income related to the Kissei License Agreement.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$0.2 million in development income related to the Kissei License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98"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Disclosures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(CODM) is its chief executive officer, who reviews financial information presented on a consolidated basis. The CODM uses consolidated net income (loss) to assess financial performance and allocate resources. The CODM does not review assets in evaluating the results of the single segment and therefore, such information is not presented.</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years ended December 31, 2024 and 2023:</w:t>
      </w:r>
    </w:p>
    <w:p>
      <w:pPr>
        <w:spacing w:after="0" w:line="37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Clinical and manufacturing</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35,966</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ind w:left="28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(1)</w:t>
            </w:r>
          </w:p>
        </w:tc>
        <w:tc>
          <w:tcPr>
            <w:tcW w:w="4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115,805</w:t>
            </w:r>
          </w:p>
        </w:tc>
        <w:tc>
          <w:tcPr>
            <w:tcW w:w="2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100" w:type="dxa"/>
            <w:vAlign w:val="bottom"/>
          </w:tcPr>
          <w:p>
            <w:pPr>
              <w:spacing w:after="0"/>
              <w:rPr>
                <w:sz w:val="18"/>
                <w:szCs w:val="18"/>
                <w:color w:val="auto"/>
              </w:rPr>
            </w:pP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(114,666 )</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(55,449 )</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2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18"/>
                <w:szCs w:val="18"/>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(88,039 )</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(48,607 )</w:t>
            </w: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-882015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-882015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-599440</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-599440</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2" w:lineRule="exact"/>
        <w:rPr>
          <w:sz w:val="20"/>
          <w:szCs w:val="20"/>
          <w:color w:val="auto"/>
        </w:rPr>
      </w:pPr>
    </w:p>
    <w:p>
      <w:pPr>
        <w:ind w:left="1700" w:right="2320" w:firstLine="9"/>
        <w:spacing w:after="0"/>
        <w:tabs>
          <w:tab w:leader="none" w:pos="1878"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research and development consists of indirect costs incurred for the benefit of the research and development efforts, including certain personnel, supply chain, and quality assurance.</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57" w:lineRule="exact"/>
        <w:rPr>
          <w:rFonts w:ascii="Times New Roman" w:cs="Times New Roman" w:eastAsia="Times New Roman" w:hAnsi="Times New Roman"/>
          <w:sz w:val="13"/>
          <w:szCs w:val="13"/>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Company has no outstanding redeemable convertible preferred stock as all redeemable convertible preferred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into common stock concurrently with the IPO in January 2024.</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Redeemable convertible preferred stock consisted of the following as of December 31, 2023 (in thousands, except share amounts):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Liquidation &amp;</w:t>
            </w:r>
          </w:p>
        </w:tc>
        <w:tc>
          <w:tcPr>
            <w:tcW w:w="100" w:type="dxa"/>
            <w:vAlign w:val="bottom"/>
          </w:tcPr>
          <w:p>
            <w:pPr>
              <w:spacing w:after="0"/>
              <w:rPr>
                <w:sz w:val="13"/>
                <w:szCs w:val="13"/>
                <w:color w:val="auto"/>
              </w:rPr>
            </w:pP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0" w:type="dxa"/>
            <w:vAlign w:val="bottom"/>
          </w:tcPr>
          <w:p>
            <w:pPr>
              <w:spacing w:after="0"/>
              <w:rPr>
                <w:sz w:val="1"/>
                <w:szCs w:val="1"/>
                <w:color w:val="auto"/>
              </w:rPr>
            </w:pPr>
          </w:p>
        </w:tc>
      </w:tr>
      <w:tr>
        <w:trPr>
          <w:trHeight w:val="14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0" w:type="dxa"/>
            <w:vAlign w:val="bottom"/>
          </w:tcPr>
          <w:p>
            <w:pPr>
              <w:spacing w:after="0"/>
              <w:rPr>
                <w:sz w:val="1"/>
                <w:szCs w:val="1"/>
                <w:color w:val="auto"/>
              </w:rPr>
            </w:pPr>
          </w:p>
        </w:tc>
      </w:tr>
      <w:tr>
        <w:trPr>
          <w:trHeight w:val="173"/>
        </w:trPr>
        <w:tc>
          <w:tcPr>
            <w:tcW w:w="4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142"/>
        </w:trPr>
        <w:tc>
          <w:tcPr>
            <w:tcW w:w="43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Series A-1</w:t>
            </w:r>
          </w:p>
        </w:tc>
        <w:tc>
          <w:tcPr>
            <w:tcW w:w="15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5,075,000</w:t>
            </w:r>
          </w:p>
        </w:tc>
        <w:tc>
          <w:tcPr>
            <w:tcW w:w="154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5,075,000</w:t>
            </w:r>
          </w:p>
        </w:tc>
        <w:tc>
          <w:tcPr>
            <w:tcW w:w="2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3,570</w:t>
            </w:r>
          </w:p>
        </w:tc>
        <w:tc>
          <w:tcPr>
            <w:tcW w:w="14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1,252,438</w:t>
            </w: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5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11,973,000</w:t>
            </w:r>
          </w:p>
        </w:tc>
        <w:tc>
          <w:tcPr>
            <w:tcW w:w="15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11,973,000</w:t>
            </w: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4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3,508,584</w:t>
            </w:r>
          </w:p>
        </w:tc>
        <w:tc>
          <w:tcPr>
            <w:tcW w:w="0" w:type="dxa"/>
            <w:vAlign w:val="bottom"/>
          </w:tcPr>
          <w:p>
            <w:pPr>
              <w:spacing w:after="0"/>
              <w:rPr>
                <w:sz w:val="1"/>
                <w:szCs w:val="1"/>
                <w:color w:val="auto"/>
              </w:rPr>
            </w:pPr>
          </w:p>
        </w:tc>
      </w:tr>
      <w:tr>
        <w:trPr>
          <w:trHeight w:val="149"/>
        </w:trPr>
        <w:tc>
          <w:tcPr>
            <w:tcW w:w="4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5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73,598,283</w:t>
            </w:r>
          </w:p>
        </w:tc>
        <w:tc>
          <w:tcPr>
            <w:tcW w:w="15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73,598,283</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22,000</w:t>
            </w:r>
          </w:p>
        </w:tc>
        <w:tc>
          <w:tcPr>
            <w:tcW w:w="14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7,718,740</w:t>
            </w: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15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53,271,754</w:t>
            </w:r>
          </w:p>
        </w:tc>
        <w:tc>
          <w:tcPr>
            <w:tcW w:w="15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53,271,754</w:t>
            </w: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47,300</w:t>
            </w:r>
          </w:p>
        </w:tc>
        <w:tc>
          <w:tcPr>
            <w:tcW w:w="14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5,586,959</w:t>
            </w: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Series E</w:t>
            </w:r>
          </w:p>
        </w:tc>
        <w:tc>
          <w:tcPr>
            <w:tcW w:w="15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112,422,700</w:t>
            </w:r>
          </w:p>
        </w:tc>
        <w:tc>
          <w:tcPr>
            <w:tcW w:w="15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112,422,700</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4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11,790,523</w:t>
            </w: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81,587,937</w:t>
            </w:r>
          </w:p>
        </w:tc>
        <w:tc>
          <w:tcPr>
            <w:tcW w:w="15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81,587,937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105,020</w:t>
            </w:r>
          </w:p>
        </w:tc>
        <w:tc>
          <w:tcPr>
            <w:tcW w:w="14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8,556,669</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F Redeemable Convertible Preferred Stock</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2023, the Company entered into a securities purchase agreement (Series F Agreement) with certain investors to sell shares of Series F redeemable convertible preferred stock (Series F) at $1.2872 per share. In July 2023, the Company issued 81,587,937 shares of Series F redeemable convertible preferred stock to existing and new investors at $1.2872 per share for gross cash proceeds of $105.0 million, less issuance costs of $0.4 million, resulting in net proceeds of $104.6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Privileges and Restrictions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preferred stockholder is entitled to cast the number of votes equal to the number of whole shares of common stock into which the shares of preferred stock held by such holder are convertible at the time of such vote. All preferred stockholders are entitled to vote on all matters upon which holders of common stock have the right to vote, other than matters that must by law be voted by class or series vote.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Each share of redeemable convertible preferred stock is convertible at the option of the holder at any time into a share of common stock. Each share of convertible preferred stock is convertible into that number of common shares as is determined by dividing the applicable Initial Purchase Price (the Initial Purchase Price) of such share by the applicable conversion price. The conversion rate is subject to adjustment upon the occurrence of certain events, including diluting issues of shares, stock splits, stock combinations, certain dividends and distributions, a merger and a reorganization. The conversion rates for each series of redeemable convertible preferred stock as of December 31, 2023 are as follows: Series A-1 1:4.05, Series B 1:3.412, and Series C, D, E, and F 1:9.535.</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shares of the redeemable convertible preferred stock shall automatically be converted into shares of common stock, based on the then-effective applicable conversion rate (i) upon the closing of the sale of shares of common stock to the public at a price of at least $1.33 per share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covering the offer and sale of common stock for the account of the Company (1) which results in at least $100.0 million of gross proceeds to the Company and (2) in which the pre-money valuation of the Company immediately prior to such public offering is at least $700.0 million or (ii) upon the written consent of the holders of at least 75% of the then-outstanding shares of convertible preferred stock voting together as a single class and not as separate series, and on an as-converted to common stock basis.</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Holders of Series F Preferred Stock shall be entitled to receive, prior and in preference to any other class or series of capital stock, cumulative cash dividends, when, as and if declared by the Board, out of any funds that are legally available, at the rate of 8% of the Series F Initial Purchase Price of $1.2872 per annum on each outstanding share of Series F Preferred Stock, subject to adjustment for any stock dividends, combinations, splits, recapitalizations and the like with respect to such shares.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Following the issuance and distribution of dividends to holders of Series F Preferred Stock, holders of Series E Preferred Stock shall be entitled to receive, prior and in preference to the holders of Series D Preferred Stock and Series C Preferred Stock (together, the Senior Preferred Stock), Series B Preferred Stock, Series A-1 Preferred Stock and common stock, cumulative cash dividends, when, as and if declared by board of directors, out of any funds that are legally available, at the rate of 8% of the Series E Initial Purchase Price per annum on each outstanding share of Series E Preferred Stock, subject to adjustment for any stock dividends, combinations, splits, recapitalizations and the like with respect to such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Following the issuance and distribution of dividends to holders of Series F Preferred Stock and Series E Preferred Stock, holders of Series D Preferred Stock and Series C Preferred Stock (together, the Senior Preferred Stock) shall be entitled to receive, on a pari passu basis and prior and in preference to the holders of Series B Preferred Stock, Series A-1 Preferred Stock and common stock, cumulative cash dividends, when, as and if declared by the Board, out of any funds that are legally available, at the rate of (i) with respect to the Series E Preferred Stock, 8% of the Series E Initial Purchase Price per annum on each outstanding share of Series E Preferred Stock, subject to adjustment for any stock dividends, combinations, splits, recapitalizations and the like with respect to such shares (ii) with respect to the Series D Preferred Stock, 8% of the Series D Initial Purchase Price per annum on each outstanding share of Series D Preferred Stock, subject to adjustment for any stock dividends, combinations, splits, recapitalizations and the like with respect to such shares and (iii) with respect to the Series C Preferred Stock, 8% of the Series C Initial Purchase Price per annum on each outstanding share of Series C Preferred Stock, subject to adjustment for any stock dividends, combinations, splits, recapitalizations and the like with respect to such shares.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Following the issuance and distribution of dividends to holders of Series F Preferred Stock, Series E Preferred Stock and Senior Preferred Stock, holders of Series B Preferred Stock and Series A-1 Preferred Stock shall be entitled to receive, on a pari passu basis and prior and in preference to the holders of common stock, noncumulative cash dividends, when, as and if declared by the Board of Directors, out of any funds that are legally available, at the rate of (i) with respect to the Series B Preferred Stock, 8% of the Series B Initial Purchase Price per annum on each outstanding share of Series B Preferred Stock, subject to adjustment for any stock dividends, combinations, splits, recapitalizations and the like with respect to such shares and (ii) with respect to the Series Preferred Stock, 8% of the Series Initial Purchase Price per annum on each outstanding share of Series Preferred Stock, subject to adjustment for any stock dividends, combinations, splits, recapitalizations and the like with respect to such shares.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No distributions shall be made with respect to the common stock unless dividends on the redeemable convertible preferred stock have been declared and all declared dividends on the redeemable convertible preferred stock have been paid or set aside for payment to the redeemable convertible preferred stockholders. The right to receive dividends on shares of Series B Preferred Stock and Series A-1 Preferred Stock shall not be cumulative, and no right to dividends shall accrue to holders of Series B Preferred Stock and Series A-1 Preferred Stock by reason of the fact that dividends on said shares are not declared or paid. Payment of any dividends to the holders of Series B Preferred Stock and Series A-1 Preferred Stock shall be on a pro rata, pari passu basis in proportion to the dividend rate for the Series B Preferred Stock and Series A-1 Preferred Stock, as applicable.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After payment of the full amount of any dividends to holders of redeemable convertible preferred stock, any additional dividends shall be distributed among all holders of common stock and all holders of redeemable convertible preferred stock in proportion to the number of shares of common stock which would be held by each such holder if all such shares of redeemable convertible preferred stock were converted to common stock at the then-effective applicable conversion rate. The Company has not declared or paid any dividends for the years ended December 31, 2024 and 2023.</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or a deemed liquidation event of the Company (which includes certain mergers, acquisitions, and asset transfers), before any distribution or payment shall be made to the holders of common stock:</w:t>
      </w:r>
    </w:p>
    <w:p>
      <w:pPr>
        <w:spacing w:after="0" w:line="162" w:lineRule="exact"/>
        <w:rPr>
          <w:sz w:val="20"/>
          <w:szCs w:val="20"/>
          <w:color w:val="auto"/>
        </w:rPr>
      </w:pPr>
    </w:p>
    <w:p>
      <w:pPr>
        <w:jc w:val="both"/>
        <w:ind w:left="1160" w:right="20" w:hanging="680"/>
        <w:spacing w:after="0" w:line="258" w:lineRule="auto"/>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Series F Preferred Stock shall be entitled to be paid out of the assets of the Company, prior and in preference to any distribution of the proceeds of such liquidation, dissolution or winding up to the holders of Series E Preferred Stock, Senior Preferred Stock, Series B Preferred Stock, Series A-1 Preferred Stock or common stock, an amount per share of Series F Preferred Stock equal to the Series F Initial Purchase Price, plus all declared but unpaid dividends on the Series E Preferred Stock, for each share of Series F Preferred Stock then held.</w:t>
      </w:r>
    </w:p>
    <w:p>
      <w:pPr>
        <w:spacing w:after="0" w:line="183" w:lineRule="exact"/>
        <w:rPr>
          <w:rFonts w:ascii="Times New Roman" w:cs="Times New Roman" w:eastAsia="Times New Roman" w:hAnsi="Times New Roman"/>
          <w:sz w:val="18"/>
          <w:szCs w:val="18"/>
          <w:color w:val="auto"/>
        </w:rPr>
      </w:pPr>
    </w:p>
    <w:p>
      <w:pPr>
        <w:jc w:val="both"/>
        <w:ind w:left="1160" w:right="20" w:hanging="680"/>
        <w:spacing w:after="0" w:line="266" w:lineRule="auto"/>
        <w:tabs>
          <w:tab w:leader="none" w:pos="1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pursuant to holders of Series F Preferred Stock, the holders of Series E Preferred Stock shall be entitled to be paid out of the assets of the Company, prior and in preference to any distribution of the proceeds of such liquidation, dissolution or winding up to the holders of Senior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jc w:val="both"/>
        <w:ind w:left="1160" w:right="20"/>
        <w:spacing w:after="0" w:line="266" w:lineRule="auto"/>
        <w:rPr>
          <w:sz w:val="20"/>
          <w:szCs w:val="20"/>
          <w:color w:val="auto"/>
        </w:rPr>
      </w:pPr>
      <w:r>
        <w:rPr>
          <w:rFonts w:ascii="Times New Roman" w:cs="Times New Roman" w:eastAsia="Times New Roman" w:hAnsi="Times New Roman"/>
          <w:sz w:val="18"/>
          <w:szCs w:val="18"/>
          <w:color w:val="auto"/>
        </w:rPr>
        <w:t>Preferred Stock, Series B Preferred Stock, Series A-1 Preferred Stock or common stock, an amount per share of Series E Preferred Stock equal to the Series E Initial Purchase Price, plus all declared but unpaid dividends on the Series E Preferred Stock, for each share of Series E Preferred Stock then held.</w:t>
      </w:r>
    </w:p>
    <w:p>
      <w:pPr>
        <w:spacing w:after="0" w:line="176" w:lineRule="exact"/>
        <w:rPr>
          <w:sz w:val="20"/>
          <w:szCs w:val="20"/>
          <w:color w:val="auto"/>
        </w:rPr>
      </w:pPr>
    </w:p>
    <w:p>
      <w:pPr>
        <w:jc w:val="both"/>
        <w:ind w:left="1160" w:right="20" w:hanging="680"/>
        <w:spacing w:after="0" w:line="254" w:lineRule="auto"/>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pursuant to holders of Series F Preferred Stock and Series E Preferred Stock, the holders of each series of Senior Preferred Stock shall be entitled to be paid out of the assets of the Company, on a pari passu basis and prior and in preference to any distribution of the proceeds of such liquidation, dissolution or winding up to the holders of Series B Preferred Stock, Series A-1 Preferred Stock or common stock, (i) with respect to the Series D Preferred Stock, an amount per share of Series D Preferred Stock equal to the Series D Initial Purchase Price, plus all declared but unpaid dividends on the Series D Preferred Stock, for each share of Series D Preferred Stock then held and (ii) with respect to the Series C Preferred Stock, an amount per share of Series C Preferred Stock equal to the Series C Initial Purchase Price, plus all declared but unpaid dividends on the Series C Preferred Stock, for each share of Series C Preferred Stock then held</w:t>
      </w:r>
    </w:p>
    <w:p>
      <w:pPr>
        <w:spacing w:after="0" w:line="191" w:lineRule="exact"/>
        <w:rPr>
          <w:rFonts w:ascii="Times New Roman" w:cs="Times New Roman" w:eastAsia="Times New Roman" w:hAnsi="Times New Roman"/>
          <w:sz w:val="18"/>
          <w:szCs w:val="18"/>
          <w:color w:val="auto"/>
        </w:rPr>
      </w:pPr>
    </w:p>
    <w:p>
      <w:pPr>
        <w:jc w:val="both"/>
        <w:ind w:left="1160" w:right="20" w:hanging="680"/>
        <w:spacing w:after="0" w:line="255" w:lineRule="auto"/>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distributions pursuant to holders of Series F Preferred Stock, Series E Preferred Stock and Senior Preferred Stock, the holders of Series B Preferred Stock and Series A-1 Preferred Stock shall be entitled to be paid out of the assets of this Corporation, on a pari passu basis (i) with respect to the Series B Preferred Stock, an amount per share of Series B Preferred Stock equal to the Series B Initial Purchase Price, plus all declared but unpaid dividends on the Series B Preferred Stock, for each share of Series B Preferred Stock then held; and (ii) with respect to the Series A-1 Preferred Stock, an amount per share of Series A-1 Preferred Stock equal to the Series A-1 Initial Purchase Price, plus all declared but unpaid dividends on the Series A-1 Preferred Stock, for each share of Series A-1 Preferred Stock then held by them.</w:t>
      </w:r>
    </w:p>
    <w:p>
      <w:pPr>
        <w:spacing w:after="0" w:line="188" w:lineRule="exact"/>
        <w:rPr>
          <w:rFonts w:ascii="Times New Roman" w:cs="Times New Roman" w:eastAsia="Times New Roman" w:hAnsi="Times New Roman"/>
          <w:sz w:val="18"/>
          <w:szCs w:val="18"/>
          <w:color w:val="auto"/>
        </w:rPr>
      </w:pPr>
    </w:p>
    <w:p>
      <w:pPr>
        <w:jc w:val="both"/>
        <w:ind w:left="1160" w:right="20" w:hanging="680"/>
        <w:spacing w:after="0" w:line="254" w:lineRule="auto"/>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any such liquidation, dissolution or winding up, the assets of the Company shall be insufficient to make payment in full of the liquidation preferences described in (i), (ii), (iii) and (iv) above, then such assets shall be distributed in the following order of priority: (a) to the holders of Series F Preferred Stock in preference and ratably in proportion to the full amounts to which they would otherwise be respectively entitled pursuant to in (i) above, (b) any remaining assets then to the holders of Series E Preferred Stock in preference and ratably in proportion to the full amounts to which they would otherwise be respectively entitled pursuant to (ii) above, (c) any remaining assets then to the holders of each series of Senior Preferred Stock in preference and ratably in proportion to the full amounts to which they would otherwise be respectively entitled pursuant to (iii) above, and (d) any remaining assets then to the holders of Series B Preferred Stock and Series A-1 Preferred Stock ratably in proportion to the full amounts to which they would otherwise be respectively entitled pursuant to (iv) above.</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After the payment of the full liquidation preferences as set out above, the remaining assets of the Company legally available for distribution, if any, shall be distributed ratably to the holders of the common stock, Series F Preferred Stock on an as-converted to common stock basis, Series E Preferred Stock on an as-converted to common stock basis, Senior Preferred Stock on an as-converted to common stock basis and Series A-1 Preferred Stock on an as-converted to common stock basis; provided, however, that if the aggregate amount which a holder of a share of Series A-1 Preferred Stock is entitled to receive exceeds the sum of three times the Series A-1 Initial Purchase Price plus declared but unpaid dividends thereon, such holder of Series A-1 Preferred Stock shall cease participating in such distribution as to such Series A-1 Preferred Stock, and the balance shall be distributed ratably to the holders of common stock, Series F Preferred Stock on an as-converted to common stock basis, Series E Preferred Stock on an as-converted to common stock basis and Senior Preferred Stock on an as-converted to common stock basis.</w:t>
      </w:r>
    </w:p>
    <w:p>
      <w:pPr>
        <w:spacing w:after="0" w:line="2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any time, following July 28, 2028, Convertible Preferred Shares are redeemable as follows:</w:t>
      </w:r>
    </w:p>
    <w:p>
      <w:pPr>
        <w:spacing w:after="0" w:line="200" w:lineRule="exact"/>
        <w:rPr>
          <w:sz w:val="20"/>
          <w:szCs w:val="20"/>
          <w:color w:val="auto"/>
        </w:rPr>
      </w:pPr>
    </w:p>
    <w:p>
      <w:pPr>
        <w:spacing w:after="0" w:line="241" w:lineRule="exact"/>
        <w:rPr>
          <w:sz w:val="20"/>
          <w:szCs w:val="20"/>
          <w:color w:val="auto"/>
        </w:rPr>
      </w:pPr>
    </w:p>
    <w:p>
      <w:pPr>
        <w:ind w:left="1160" w:right="20" w:hanging="680"/>
        <w:spacing w:after="0" w:line="282" w:lineRule="auto"/>
        <w:tabs>
          <w:tab w:leader="none" w:pos="1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a majority of the then-outstanding shares of Series A-1 redeemable convertible preferred stock, all of the outstanding Series A-1 redeemable convertible preferred stock shall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1" w:name="page142"/>
    <w:bookmarkEnd w:id="141"/>
    <w:p>
      <w:pPr>
        <w:jc w:val="both"/>
        <w:ind w:left="680"/>
        <w:spacing w:after="0" w:line="261" w:lineRule="auto"/>
        <w:rPr>
          <w:sz w:val="20"/>
          <w:szCs w:val="20"/>
          <w:color w:val="auto"/>
        </w:rPr>
      </w:pPr>
      <w:r>
        <w:rPr>
          <w:rFonts w:ascii="Times New Roman" w:cs="Times New Roman" w:eastAsia="Times New Roman" w:hAnsi="Times New Roman"/>
          <w:sz w:val="18"/>
          <w:szCs w:val="18"/>
          <w:color w:val="auto"/>
        </w:rPr>
        <w:t>be redeemed by paying in cash in exchange for the shares of Series A-1 redeemable convertible preferred stock to be redeemed an amount equal to the Series A-1 Initial Purchase Price per share of Series A-1 redeemable convertible preferred stock (as adjusted for any stock dividends, combinations, splits, recapitalizations and the like with respect to such shares), plus any and all declared but unpaid dividends with respect to such shares of Series A-1 redeemable convertible preferred stock</w:t>
      </w:r>
    </w:p>
    <w:p>
      <w:pPr>
        <w:spacing w:after="0" w:line="180" w:lineRule="exact"/>
        <w:rPr>
          <w:sz w:val="20"/>
          <w:szCs w:val="20"/>
          <w:color w:val="auto"/>
        </w:rPr>
      </w:pPr>
    </w:p>
    <w:p>
      <w:pPr>
        <w:jc w:val="both"/>
        <w:ind w:left="680" w:hanging="680"/>
        <w:spacing w:after="0" w:line="258"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a majority of the then-outstanding shares of Series B redeemable convertible preferred stock, all of the outstanding Series B Preferred Stock shall be redeemed by paying in cash in exchange for the shares of Series B redeemable convertible preferred stock to be redeemed an amount equal to the Series B Initial Purchase Price per share of Series B redeemable convertible preferred stock (as adjusted for any stock dividends, combinations, splits, recapitalizations and the like with respect to such shares), plus any and all declared but unpaid dividends with respect to such shares of Series B redeemable convertible preferred stock.</w:t>
      </w:r>
    </w:p>
    <w:p>
      <w:pPr>
        <w:spacing w:after="0" w:line="183" w:lineRule="exact"/>
        <w:rPr>
          <w:rFonts w:ascii="Times New Roman" w:cs="Times New Roman" w:eastAsia="Times New Roman" w:hAnsi="Times New Roman"/>
          <w:sz w:val="18"/>
          <w:szCs w:val="18"/>
          <w:color w:val="auto"/>
        </w:rPr>
      </w:pPr>
    </w:p>
    <w:p>
      <w:pPr>
        <w:jc w:val="both"/>
        <w:ind w:left="680" w:hanging="680"/>
        <w:spacing w:after="0" w:line="25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66.67% of the then-outstanding shares of Series C redeemable convertible preferred stock and to the extent affirmatively elected by a holder not to redeem, shares of the outstanding Series C redeemable convertible preferred stock shall be redeemed by paying in cash in exchange for the shares of Series C redeemable convertible preferred stock to be redeemed an amount equal to the Series C Initial Purchase Price per share of Series C redeemable convertible preferred stock (as adjusted for any stock dividends, combinations, splits, recapitalizations and the like with respect to such shares), plus any and all declared but unpaid dividends with respect to such shares of Series C redeemable convertible preferred stock.</w:t>
      </w:r>
    </w:p>
    <w:p>
      <w:pPr>
        <w:spacing w:after="0" w:line="187" w:lineRule="exact"/>
        <w:rPr>
          <w:rFonts w:ascii="Times New Roman" w:cs="Times New Roman" w:eastAsia="Times New Roman" w:hAnsi="Times New Roman"/>
          <w:sz w:val="18"/>
          <w:szCs w:val="18"/>
          <w:color w:val="auto"/>
        </w:rPr>
      </w:pPr>
    </w:p>
    <w:p>
      <w:pPr>
        <w:jc w:val="both"/>
        <w:ind w:left="680" w:hanging="680"/>
        <w:spacing w:after="0" w:line="25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a majority of the then-outstanding shares of Series D redeemable convertible preferred stock and to the extent affirmatively elected by a holder not to redeem, shares of the outstanding Series D redeemable convertible preferred stock shall be redeemed by paying in cash in exchange for the shares of Series D redeemable convertible preferred stock to be redeemed an amount equal to the Series D Initial Purchase Price per share of Series D redeemable convertible preferred stock (as adjusted for any stock dividends, combinations, splits, recapitalizations and the like with respect to such shares), plus any and all declared but unpaid dividends with respect to such shares of Series D redeemable convertible preferred stock.</w:t>
      </w:r>
    </w:p>
    <w:p>
      <w:pPr>
        <w:spacing w:after="0" w:line="187" w:lineRule="exact"/>
        <w:rPr>
          <w:rFonts w:ascii="Times New Roman" w:cs="Times New Roman" w:eastAsia="Times New Roman" w:hAnsi="Times New Roman"/>
          <w:sz w:val="18"/>
          <w:szCs w:val="18"/>
          <w:color w:val="auto"/>
        </w:rPr>
      </w:pPr>
    </w:p>
    <w:p>
      <w:pPr>
        <w:jc w:val="both"/>
        <w:ind w:left="680" w:hanging="680"/>
        <w:spacing w:after="0" w:line="25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a majority of the then-outstanding shares of Series E redeemable convertible preferred stock and to the extent affirmatively elected by a holder not to redeem, all of the outstanding Series E Preferred Stock shall be redeemed by paying in cash in exchange for the shares of Series E Preferred Stock to be redeemed (other than those holders of Series E Preferred Stock that affirmatively choose to not participate in such redemption) an amount equal to: the Series E Initial Purchase Price per share of Series E Preferred Stock (as adjusted for any stock dividends, combinations, splits, recapitalizations and the like with respect to such shares), plus any and all declared but unpaid dividends with respect to such shares of Series E Preferred Stock.</w:t>
      </w:r>
    </w:p>
    <w:p>
      <w:pPr>
        <w:spacing w:after="0" w:line="187" w:lineRule="exact"/>
        <w:rPr>
          <w:rFonts w:ascii="Times New Roman" w:cs="Times New Roman" w:eastAsia="Times New Roman" w:hAnsi="Times New Roman"/>
          <w:sz w:val="18"/>
          <w:szCs w:val="18"/>
          <w:color w:val="auto"/>
        </w:rPr>
      </w:pPr>
    </w:p>
    <w:p>
      <w:pPr>
        <w:jc w:val="both"/>
        <w:ind w:left="680" w:hanging="680"/>
        <w:spacing w:after="0" w:line="25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in writing by holders of a majority of the then-outstanding shares of Series F redeemable convertible preferred stock and to the extent affirmatively elected by a holder not to redeem, all of the outstanding Series F Preferred Stock shall be redeemed by paying in cash in exchange for the shares of Series F Preferred Stock to be redeemed (other than those holders of Series F Preferred Stock that affirmatively choose to not participate in such redemption) an amount equal to: the Series F Initial Purchase Price per share of Series F Preferred Stock (as adjusted for any stock dividends, combinations, splits, recapitalizations and the like with respect to such shares), plus any and all declared but unpaid dividends with respect to such shares of Series F Preferred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00" w:top="1417" w:right="359" w:bottom="1440" w:gutter="0" w:footer="0" w:header="0"/>
        </w:sectPr>
      </w:pPr>
    </w:p>
    <w:bookmarkStart w:id="142" w:name="page143"/>
    <w:bookmarkEnd w:id="142"/>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700,000,000 and 493,530,000 shares of common stock as of December 31, 2024 and 2023, respectively, of which 76,154,783 and 5,222,283 shares were issued and outstanding as of December 31, 2024 and 2023,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Voting, dividend and liquidation rights of the holders of the common stock as of December 31, 2023 are subject to and qualified by the rights, preferences and privileges of the holders of the redeemable convertible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Subject to the payment in full of all preferential dividends to which the holders of the preferred stock are entitled, the holders of common stock shall be entitled to receive dividends out of funds legally available therefor at such times and in such amounts as the Board may determine in its sole discretion, with holders of preferred stock and common stock sharing pari passu in such dividends.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After payment in full of all preferential amounts to which the holders of preferred stock are entitled upon any voluntary or involuntary liquidation, dissolution or winding-up of the Company or deemed liquidation event of the Company, all of the remaining assets of the Company available for distribution to the stockholders shall be distributed among the holders of the preferred stock and common stock, pro rata based on the number of shares held by each such holder on an as converted to common stock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reserved the following shares of common stock for issuance upon conversion of the outstanding redeemable convertible preferred stock and exercise of stock options: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80" w:type="dxa"/>
            <w:vAlign w:val="bottom"/>
          </w:tcPr>
          <w:p>
            <w:pPr>
              <w:spacing w:after="0"/>
              <w:rPr>
                <w:sz w:val="15"/>
                <w:szCs w:val="15"/>
                <w:color w:val="auto"/>
              </w:rPr>
            </w:pPr>
          </w:p>
        </w:tc>
        <w:tc>
          <w:tcPr>
            <w:tcW w:w="1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6,574,580</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 for future stock option issuances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6,222,990</w:t>
            </w:r>
          </w:p>
        </w:tc>
        <w:tc>
          <w:tcPr>
            <w:tcW w:w="100" w:type="dxa"/>
            <w:vAlign w:val="bottom"/>
          </w:tcPr>
          <w:p>
            <w:pPr>
              <w:spacing w:after="0"/>
              <w:rPr>
                <w:sz w:val="18"/>
                <w:szCs w:val="18"/>
                <w:color w:val="auto"/>
              </w:rPr>
            </w:pPr>
          </w:p>
        </w:tc>
      </w:tr>
      <w:tr>
        <w:trPr>
          <w:trHeight w:val="216"/>
        </w:trPr>
        <w:tc>
          <w:tcPr>
            <w:tcW w:w="9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783,096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13,580,666</w:t>
            </w:r>
          </w:p>
        </w:tc>
        <w:tc>
          <w:tcPr>
            <w:tcW w:w="10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2015, the Company established the 2015 Plan, under which the Company may grant options and restricted stock to its employees and certain non-employees. As of December 31, 2024, there were 921,231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December 31, 2024, there were 3,356,572 shares of common stock subject to outstanding awards under the 2022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11, 2024, the Company’s board of directors and stockholders approved the 2024 Equity Incentive Plan (the 2024 Plan), which became effective on the date immediately preceding the date on which the Company’s registration statement with respect to its IPO was declared effective by the SEC. The 2024 Plan replaced the 2022 Plan, as the Company’s board of directors has determined to not make additional grants under the 2022 Plan following the closing of the offering. However, the 2015 and 2022 Plan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Plan and 2022 Plan as of the effective date of the 2024 Plan that become available for issuance under the 2024 Plan thereafter in accordance with its terms. As of December 31, 2024, there were 2,296,777 shares of common stock subject to outstanding awards and 6,222,985 shares of common stock remaining and available for issuance under the 2024 Plan.</w:t>
      </w:r>
    </w:p>
    <w:p>
      <w:pPr>
        <w:spacing w:after="0" w:line="29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w:t>
      </w:r>
    </w:p>
    <w:p>
      <w:pPr>
        <w:spacing w:after="0" w:line="2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exercise prices, vesting and other restrictions of the awards to be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option awards for the years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40" w:type="dxa"/>
            <w:vAlign w:val="bottom"/>
          </w:tcPr>
          <w:p>
            <w:pPr>
              <w:spacing w:after="0"/>
              <w:rPr>
                <w:sz w:val="12"/>
                <w:szCs w:val="12"/>
                <w:color w:val="auto"/>
              </w:rPr>
            </w:pPr>
          </w:p>
        </w:tc>
        <w:tc>
          <w:tcPr>
            <w:tcW w:w="2120" w:type="dxa"/>
            <w:vAlign w:val="bottom"/>
            <w:tcBorders>
              <w:bottom w:val="single" w:sz="8" w:color="auto"/>
            </w:tcBorders>
            <w:gridSpan w:val="2"/>
          </w:tcPr>
          <w:p>
            <w:pPr>
              <w:jc w:val="right"/>
              <w:ind w:right="4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- 84.50%</w:t>
            </w:r>
          </w:p>
        </w:tc>
        <w:tc>
          <w:tcPr>
            <w:tcW w:w="3880" w:type="dxa"/>
            <w:vAlign w:val="bottom"/>
            <w:gridSpan w:val="3"/>
            <w:shd w:val="clear" w:color="auto" w:fill="CFF0FC"/>
          </w:tcPr>
          <w:p>
            <w:pPr>
              <w:jc w:val="center"/>
              <w:ind w:left="934"/>
              <w:spacing w:after="0"/>
              <w:rPr>
                <w:sz w:val="20"/>
                <w:szCs w:val="20"/>
                <w:color w:val="auto"/>
              </w:rPr>
            </w:pPr>
            <w:r>
              <w:rPr>
                <w:rFonts w:ascii="Times New Roman" w:cs="Times New Roman" w:eastAsia="Times New Roman" w:hAnsi="Times New Roman"/>
                <w:sz w:val="18"/>
                <w:szCs w:val="18"/>
                <w:color w:val="auto"/>
                <w:w w:val="98"/>
              </w:rPr>
              <w:t>81.6%</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- 4.62%</w:t>
            </w:r>
          </w:p>
        </w:tc>
        <w:tc>
          <w:tcPr>
            <w:tcW w:w="3880" w:type="dxa"/>
            <w:vAlign w:val="bottom"/>
            <w:gridSpan w:val="3"/>
          </w:tcPr>
          <w:p>
            <w:pPr>
              <w:jc w:val="center"/>
              <w:ind w:left="954"/>
              <w:spacing w:after="0"/>
              <w:rPr>
                <w:sz w:val="20"/>
                <w:szCs w:val="20"/>
                <w:color w:val="auto"/>
              </w:rPr>
            </w:pPr>
            <w:r>
              <w:rPr>
                <w:rFonts w:ascii="Times New Roman" w:cs="Times New Roman" w:eastAsia="Times New Roman" w:hAnsi="Times New Roman"/>
                <w:sz w:val="18"/>
                <w:szCs w:val="18"/>
                <w:color w:val="auto"/>
                <w:w w:val="99"/>
              </w:rPr>
              <w:t>3.58% - 4.77%</w:t>
            </w:r>
          </w:p>
        </w:tc>
      </w:tr>
      <w:tr>
        <w:trPr>
          <w:trHeight w:val="21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3880" w:type="dxa"/>
            <w:vAlign w:val="bottom"/>
            <w:gridSpan w:val="3"/>
            <w:shd w:val="clear" w:color="auto" w:fill="CFF0FC"/>
          </w:tcPr>
          <w:p>
            <w:pPr>
              <w:jc w:val="center"/>
              <w:ind w:left="954"/>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3880" w:type="dxa"/>
            <w:vAlign w:val="bottom"/>
            <w:gridSpan w:val="3"/>
          </w:tcPr>
          <w:p>
            <w:pPr>
              <w:jc w:val="center"/>
              <w:ind w:left="934"/>
              <w:spacing w:after="0"/>
              <w:rPr>
                <w:sz w:val="20"/>
                <w:szCs w:val="20"/>
                <w:color w:val="auto"/>
              </w:rPr>
            </w:pPr>
            <w:r>
              <w:rPr>
                <w:rFonts w:ascii="Times New Roman" w:cs="Times New Roman" w:eastAsia="Times New Roman" w:hAnsi="Times New Roman"/>
                <w:sz w:val="18"/>
                <w:szCs w:val="18"/>
                <w:color w:val="auto"/>
                <w:w w:val="97"/>
              </w:rPr>
              <w:t>6.0</w:t>
            </w:r>
          </w:p>
        </w:tc>
      </w:tr>
    </w:tbl>
    <w:p>
      <w:pPr>
        <w:spacing w:after="0" w:line="1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the options granted was $22.53 and $4.27 per share for the years ended December 31, 2024 and 2023, respectively. The fair value of shares vested during the years ended December 31, 2024 and 2023 was $5.90 and $2.41 per share, respectively. The fair value of shares exercised during the years ended December 31, 2024 and 2023 was $2.16 and $1.43 per share,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the year ended December 31, 2024 (in thousands, except share and per share amounts):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Granted</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Exercised</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Forfeited/Expired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p>
      <w:pPr>
        <w:spacing w:after="0" w:line="59" w:lineRule="exact"/>
        <w:rPr>
          <w:sz w:val="20"/>
          <w:szCs w:val="20"/>
          <w:color w:val="auto"/>
        </w:rPr>
      </w:pPr>
    </w:p>
    <w:p>
      <w:pPr>
        <w:ind w:left="20"/>
        <w:spacing w:after="0" w:line="316" w:lineRule="auto"/>
        <w:rPr>
          <w:sz w:val="20"/>
          <w:szCs w:val="20"/>
          <w:color w:val="auto"/>
        </w:rPr>
      </w:pPr>
      <w:r>
        <w:rPr>
          <w:rFonts w:ascii="Times New Roman" w:cs="Times New Roman" w:eastAsia="Times New Roman" w:hAnsi="Times New Roman"/>
          <w:sz w:val="16"/>
          <w:szCs w:val="16"/>
          <w:color w:val="auto"/>
        </w:rPr>
        <w:t>Vested and expected to vest at December 31, 2024 Exercisable at December 31, 2024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9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gridSpan w:val="2"/>
            <w:vMerge w:val="continue"/>
          </w:tcPr>
          <w:p>
            <w:pPr>
              <w:spacing w:after="0"/>
              <w:rPr>
                <w:sz w:val="12"/>
                <w:szCs w:val="12"/>
                <w:color w:val="auto"/>
              </w:rPr>
            </w:pPr>
          </w:p>
        </w:tc>
        <w:tc>
          <w:tcPr>
            <w:tcW w:w="1120" w:type="dxa"/>
            <w:vAlign w:val="bottom"/>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16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300" w:type="dxa"/>
            <w:vAlign w:val="bottom"/>
          </w:tcPr>
          <w:p>
            <w:pPr>
              <w:spacing w:after="0"/>
              <w:rPr>
                <w:sz w:val="15"/>
                <w:szCs w:val="15"/>
                <w:color w:val="auto"/>
              </w:rPr>
            </w:pPr>
          </w:p>
        </w:tc>
        <w:tc>
          <w:tcPr>
            <w:tcW w:w="112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4"/>
        </w:trPr>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5,532,871</w:t>
            </w:r>
          </w:p>
        </w:tc>
        <w:tc>
          <w:tcPr>
            <w:tcW w:w="300" w:type="dxa"/>
            <w:vAlign w:val="bottom"/>
          </w:tcPr>
          <w:p>
            <w:pPr>
              <w:spacing w:after="0"/>
              <w:rPr>
                <w:sz w:val="15"/>
                <w:szCs w:val="15"/>
                <w:color w:val="auto"/>
              </w:rPr>
            </w:pPr>
          </w:p>
        </w:tc>
        <w:tc>
          <w:tcPr>
            <w:tcW w:w="1120" w:type="dxa"/>
            <w:vAlign w:val="bottom"/>
            <w:vMerge w:val="restart"/>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20" w:type="dxa"/>
            <w:vAlign w:val="bottom"/>
          </w:tcPr>
          <w:p>
            <w:pPr>
              <w:spacing w:after="0"/>
              <w:rPr>
                <w:sz w:val="15"/>
                <w:szCs w:val="15"/>
                <w:color w:val="auto"/>
              </w:rPr>
            </w:pPr>
          </w:p>
        </w:tc>
        <w:tc>
          <w:tcPr>
            <w:tcW w:w="126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5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40,290</w:t>
            </w: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2,310,258</w:t>
            </w:r>
          </w:p>
        </w:tc>
        <w:tc>
          <w:tcPr>
            <w:tcW w:w="300" w:type="dxa"/>
            <w:vAlign w:val="bottom"/>
          </w:tcPr>
          <w:p>
            <w:pPr>
              <w:spacing w:after="0"/>
              <w:rPr>
                <w:sz w:val="18"/>
                <w:szCs w:val="18"/>
                <w:color w:val="auto"/>
              </w:rPr>
            </w:pPr>
          </w:p>
        </w:tc>
        <w:tc>
          <w:tcPr>
            <w:tcW w:w="1120" w:type="dxa"/>
            <w:vAlign w:val="bottom"/>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(989,445 )</w:t>
            </w:r>
          </w:p>
        </w:tc>
        <w:tc>
          <w:tcPr>
            <w:tcW w:w="1120" w:type="dxa"/>
            <w:vAlign w:val="bottom"/>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(279,104 )</w:t>
            </w:r>
          </w:p>
        </w:tc>
        <w:tc>
          <w:tcPr>
            <w:tcW w:w="1120" w:type="dxa"/>
            <w:vAlign w:val="bottom"/>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6,574,580</w:t>
            </w:r>
          </w:p>
        </w:tc>
        <w:tc>
          <w:tcPr>
            <w:tcW w:w="3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108,155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6,574,580</w:t>
            </w:r>
          </w:p>
        </w:tc>
        <w:tc>
          <w:tcPr>
            <w:tcW w:w="300" w:type="dxa"/>
            <w:vAlign w:val="bottom"/>
          </w:tcPr>
          <w:p>
            <w:pPr>
              <w:spacing w:after="0"/>
              <w:rPr>
                <w:sz w:val="16"/>
                <w:szCs w:val="16"/>
                <w:color w:val="auto"/>
              </w:rPr>
            </w:pPr>
          </w:p>
        </w:tc>
        <w:tc>
          <w:tcPr>
            <w:tcW w:w="1120" w:type="dxa"/>
            <w:vAlign w:val="bottom"/>
            <w:tcBorders>
              <w:top w:val="single" w:sz="8" w:color="auto"/>
            </w:tcBorders>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2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300" w:type="dxa"/>
            <w:vAlign w:val="bottom"/>
          </w:tcPr>
          <w:p>
            <w:pPr>
              <w:spacing w:after="0"/>
              <w:rPr>
                <w:sz w:val="16"/>
                <w:szCs w:val="16"/>
                <w:color w:val="auto"/>
              </w:rPr>
            </w:pP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108,155</w:t>
            </w:r>
          </w:p>
        </w:tc>
        <w:tc>
          <w:tcPr>
            <w:tcW w:w="0" w:type="dxa"/>
            <w:vAlign w:val="bottom"/>
          </w:tcPr>
          <w:p>
            <w:pPr>
              <w:spacing w:after="0"/>
              <w:rPr>
                <w:sz w:val="1"/>
                <w:szCs w:val="1"/>
                <w:color w:val="auto"/>
              </w:rPr>
            </w:pPr>
          </w:p>
        </w:tc>
      </w:tr>
      <w:tr>
        <w:trPr>
          <w:trHeight w:val="216"/>
        </w:trPr>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2,069,984</w:t>
            </w:r>
          </w:p>
        </w:tc>
        <w:tc>
          <w:tcPr>
            <w:tcW w:w="300" w:type="dxa"/>
            <w:vAlign w:val="bottom"/>
          </w:tcPr>
          <w:p>
            <w:pPr>
              <w:spacing w:after="0"/>
              <w:rPr>
                <w:sz w:val="18"/>
                <w:szCs w:val="18"/>
                <w:color w:val="auto"/>
              </w:rPr>
            </w:pPr>
          </w:p>
        </w:tc>
        <w:tc>
          <w:tcPr>
            <w:tcW w:w="1120" w:type="dxa"/>
            <w:vAlign w:val="bottom"/>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5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-972820</wp:posOffset>
            </wp:positionV>
            <wp:extent cx="71323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-698500</wp:posOffset>
            </wp:positionV>
            <wp:extent cx="71323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-132715</wp:posOffset>
            </wp:positionV>
            <wp:extent cx="71323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-424180</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3300" w:space="660"/>
            <w:col w:w="7280"/>
          </w:cols>
          <w:pgMar w:left="320" w:top="1440" w:right="339" w:bottom="1440" w:gutter="0" w:footer="0" w:header="0"/>
          <w:type w:val="continuous"/>
        </w:sect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recorded stock-based compensation expense related to stock options of $9.5 million and $1.5 million for the years ended December 31, 2024 and 2023, respectively. The Company had an aggregate $55.4 million of gross unrecognized stock-based compensation expense as of December 31, 2024 remaining to be amortized over a weighted-average period of 3.35 years.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recorded in the accompanying statements of operations for the years ended December 31, 2024 and 2023 was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172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1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shd w:val="clear" w:color="auto" w:fill="CFF0FC"/>
          </w:tcPr>
          <w:p>
            <w:pPr>
              <w:jc w:val="right"/>
              <w:ind w:right="15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4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4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r>
      <w:tr>
        <w:trPr>
          <w:trHeight w:val="250"/>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20" w:type="dxa"/>
            <w:vAlign w:val="bottom"/>
            <w:tcBorders>
              <w:bottom w:val="single" w:sz="8" w:color="auto"/>
            </w:tcBorders>
            <w:shd w:val="clear" w:color="auto" w:fill="CFF0FC"/>
          </w:tcPr>
          <w:p>
            <w:pPr>
              <w:jc w:val="right"/>
              <w:ind w:right="15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4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and does not expect to recognize in the near future, any tax benefit related to employee stock-based compensation expense as a result of the full valuation allowance related to its net deferred tax assets.</w:t>
      </w:r>
    </w:p>
    <w:p>
      <w:pPr>
        <w:spacing w:after="0" w:line="50"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January 11, 2024, </w:t>
      </w:r>
      <w:r>
        <w:rPr>
          <w:rFonts w:ascii="Times New Roman" w:cs="Times New Roman" w:eastAsia="Times New Roman" w:hAnsi="Times New Roman"/>
          <w:sz w:val="18"/>
          <w:szCs w:val="18"/>
          <w:color w:val="242424"/>
        </w:rPr>
        <w:t>the Company’s board of directors and stockholders approved the 2024 Employee Stock Purchase Plan (the ESPP),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became effective on the date on which the Company’s registration statement with respect to its IPO was declared effective by the SEC. The number of shares initially available for issuance pursuant to the ESPP is 812,242 shares. The ESPP </w:t>
      </w:r>
      <w:r>
        <w:rPr>
          <w:rFonts w:ascii="Times New Roman" w:cs="Times New Roman" w:eastAsia="Times New Roman" w:hAnsi="Times New Roman"/>
          <w:sz w:val="18"/>
          <w:szCs w:val="18"/>
          <w:color w:val="000000"/>
        </w:rPr>
        <w:t>provides for the sale of the Company's common stock to eligible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employees at 85% of the fair 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29,146 shares purchased under the ESPP during the year ended December 31, 2024. As of December 31, 2024, there were approximately 0.8 million shares available for issuance under the ESPP.</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under the ESPP of approximately $1.9 million for the year ended December 31, 2024. As of December 31, 2024, the Company had $2.7 million of gross unrecognized stock-based compensation expense under the ESPP to be recognized over a weighted average period of 1.18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5" w:name="page146"/>
    <w:bookmarkEnd w:id="145"/>
    <w:p>
      <w:pPr>
        <w:spacing w:after="0" w:line="298"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expected income tax benefit computed using the federal statutory income tax rate to the Company’s effective income tax rate was as follows for the years ended December 31, 2024 and 2023:</w:t>
      </w:r>
    </w:p>
    <w:p>
      <w:pPr>
        <w:spacing w:after="0" w:line="18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70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r>
      <w:tr>
        <w:trPr>
          <w:trHeight w:val="209"/>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computed at federal statutory rate</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21.00 %</w:t>
            </w:r>
          </w:p>
        </w:tc>
        <w:tc>
          <w:tcPr>
            <w:tcW w:w="2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18"/>
                <w:szCs w:val="18"/>
                <w:color w:val="auto"/>
              </w:rPr>
            </w:pPr>
          </w:p>
        </w:tc>
      </w:tr>
      <w:tr>
        <w:trPr>
          <w:trHeight w:val="216"/>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(0.62 )</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(0.64 )</w:t>
            </w: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2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(0.20 )</w:t>
            </w:r>
          </w:p>
        </w:tc>
      </w:tr>
      <w:tr>
        <w:trPr>
          <w:trHeight w:val="216"/>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(29.47 )</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(23.72 )</w:t>
            </w:r>
          </w:p>
        </w:tc>
      </w:tr>
      <w:tr>
        <w:trPr>
          <w:trHeight w:val="20"/>
        </w:trPr>
        <w:tc>
          <w:tcPr>
            <w:tcW w:w="38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0"/>
        </w:trPr>
        <w:tc>
          <w:tcPr>
            <w:tcW w:w="3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-170815</wp:posOffset>
            </wp:positionV>
            <wp:extent cx="1200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15430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deferred tax assets as of December 31, 2024 and 2023, consisted of the following (in thousands):</w:t>
      </w:r>
    </w:p>
    <w:p>
      <w:pPr>
        <w:spacing w:after="0" w:line="246" w:lineRule="exact"/>
        <w:rPr>
          <w:sz w:val="20"/>
          <w:szCs w:val="20"/>
          <w:color w:val="auto"/>
        </w:rPr>
      </w:pPr>
    </w:p>
    <w:tbl>
      <w:tblPr>
        <w:tblLayout w:type="fixed"/>
        <w:tblInd w:w="15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122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34,612</w:t>
            </w:r>
          </w:p>
        </w:tc>
        <w:tc>
          <w:tcPr>
            <w:tcW w:w="260" w:type="dxa"/>
            <w:vAlign w:val="bottom"/>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R&amp;D credit</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credit</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80" w:type="dxa"/>
            <w:vAlign w:val="bottom"/>
          </w:tcPr>
          <w:p>
            <w:pPr>
              <w:spacing w:after="0"/>
              <w:rPr>
                <w:sz w:val="18"/>
                <w:szCs w:val="18"/>
                <w:color w:val="auto"/>
              </w:rPr>
            </w:pPr>
          </w:p>
        </w:tc>
      </w:tr>
      <w:tr>
        <w:trPr>
          <w:trHeight w:val="216"/>
        </w:trPr>
        <w:tc>
          <w:tcPr>
            <w:tcW w:w="3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56,453</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30,556</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(46 )</w:t>
            </w:r>
          </w:p>
        </w:tc>
        <w:tc>
          <w:tcPr>
            <w:tcW w:w="7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r>
      <w:tr>
        <w:trPr>
          <w:trHeight w:val="216"/>
        </w:trPr>
        <w:tc>
          <w:tcPr>
            <w:tcW w:w="3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7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38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(51 )</w:t>
            </w:r>
          </w:p>
        </w:tc>
        <w:tc>
          <w:tcPr>
            <w:tcW w:w="7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(99 )</w:t>
            </w:r>
          </w:p>
        </w:tc>
      </w:tr>
      <w:tr>
        <w:trPr>
          <w:trHeight w:val="21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56,402</w:t>
            </w:r>
          </w:p>
        </w:tc>
        <w:tc>
          <w:tcPr>
            <w:tcW w:w="2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(56,402 )</w:t>
            </w:r>
          </w:p>
        </w:tc>
        <w:tc>
          <w:tcPr>
            <w:tcW w:w="7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(30,457 )</w:t>
            </w: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220" w:type="dxa"/>
            <w:vAlign w:val="bottom"/>
            <w:tcBorders>
              <w:top w:val="single" w:sz="8" w:color="auto"/>
              <w:bottom w:val="single" w:sz="8" w:color="auto"/>
            </w:tcBorders>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-1165225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-1165225</wp:posOffset>
            </wp:positionV>
            <wp:extent cx="596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-607695</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-607695</wp:posOffset>
            </wp:positionV>
            <wp:extent cx="596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-316230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-316230</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596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positive and negative evidence, it is more likely than not that some portion or all of the deferred tax assets will not be realized. For the year ended December 31, 2024, the valuation allowance for deferred tax assets increased by $25.9 million. This increase was primarily related to the establishment of a valuation allowance against additional net operating loss (NOL), Section 174 capitalized research and experimental (R&amp;E) costs and research credits generated in the current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calculated $166.4 million and $0.2 million of federal and state NOL carryforwards, respectively. Of the $166.4 million in federal NOL carryforwards, $154.2 million is not subject to expiration and the other $12.3 million begin to expire in 2030. The state NOL carryforwards begin to expire in 2040. In addition, as of December 31, 2024, the Company had $7.7 million of federal research and development (R&amp;D) credit carryovers which begin to expire in 2030 and $1.4 million of California credit carryovers, which can be carried forward indefinitely. There is also $0.1 million of Texas credit generated in 2024 that can be carried forward for twenty years. These loss and credit carryforwards are subject to review and possible adjustment by the appropriate taxing authorities.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Utilization of the Company’s NOL carryforwards and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shareholders or public companies in the stock of a corporation by more than 50% over a three-year period. Since its formation, the Company has raised capital through the issuance of capital stock on several occasions. The Company believes one or more of these financings resulted in an ownership change as defined by Section 382, and consequently the Company’s utilization of the NOL carryforwards would be subject to an annual limitation under Section 382 of the Code. Any limitation may result in expiration of a portion of the NOL carryforwards before utilization.</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recorded $1.4 million and $1.0 million unrecognized tax benefits, respectively. The Company’s policy is to recognize interest and penalties accrued on any uncertain tax positions as a component of income tax expense, if any, in its statements of income. For the years ended December 31, 2024 and 2023, no estimated interest or penalties were recognized on uncertain tax positions, and as of December 31, 2024 the Company has not incurred any material interest or penalties as of the current reporting date with respect to income tax matters.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reconciliation of the beginning and ending amount of gross unrecognized tax benefits, excluding interest and penalties, is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7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Beginning balance of unrecognized tax benefits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10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Ending balance of unrecognized tax benefits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None of the unrecognized tax benefits, if recognized, would impact the annual effective tax rate, due to the valuation allowance. The Company’s unrecognized tax benefits are recorded as a reduction in deferred tax assets. The Company does not expect any significant increases or decreases to the Company’s unrecognized tax benefits within the next 12 months.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Tax Cuts and Jobs Act’s (TCJA) amendment to Section 174 required R&amp;E expenditures to be capitalized in the year the amounts are incurred for amounts paid in tax years starting after December 31, 2021. The capitalized amounts are then amortized over a period of five years, if the research is performed within the U.S., or 15 years, with respect to non-U.S. based research. The amended statute specifies that amortization will begin with the midpoint of the taxable year in which expenses are paid or incurred, creating a significant first year impact.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98"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SVB Term Loan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January 2021, the Company entered into the Loan Agreement with SVB for a term loan in three tranches. The Company drew down Tranche A funds in January 2021 for an original principal amount of $5.0 million, in increments of $2.5 million each. The Company drew down Tranche B funds in December 2021 for an original principal amount of $10.0 million, in increments of $5.0 million each, following the achievement of certain milestones. The Tranche C funds, for which the original principal amounts were not to exceed $5.0 million, in increments of $2.5 million each, were not drawn upon in 2021 or in 2022 and were only available on the achievement of certain milestones. In addition, at any time during the term of the Loan Agreement, the Company may request that SVB make one additional term loan available to the Company in an original principal amount equal to $10.0 million. SVB, in its sole and absolute discretion, may grant or deny any such request from the Company for this term loan.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IPO, within five business days of closing such IPO. The Success Fee Event means the earliest to occur of any one of the following after January 8, 2021: (a) any sale, license, transfer or other disposition of all or substantially all of the assets of the Company or any of its subsidiaries; or (b) any reorganization, consolidation, or merger of the Company (or a subsidiary, but only if such subsidiary is a successor-in-interest to the Company’s business) where the holders of the Company’s securities (or such subsidiary’s securities) before the transaction beneficially own less than 50% of the outstanding voting securities of the surviving entity after the transaction, or (c) an IPO by the Company or such subsidiary of its capital stock. The Company’s obligation to pay SVB the Success Fee terminates on January 8, 2031.</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had the option to prepay all, but not less than all, of the Term Loan Advances advanced by SVB under the Loan Agreement, provided the Company delivers written notice to SVB of its election to prepay such Term Loan Advances at least thirty days prior to such prepayment and pays, on the date of such prepayment, all outstanding principal due in connection with the Term Loan Advances, plus accrued and unpaid interest thereon, a prepayment fee (the Prepayment Fee), the Final Payment, and all other sums, if any, that have become due and payable in connection with the Term Loan Advances.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May 12, 2023, the Company repaid all outstanding principal and accrued and unpaid interest on the Term Loan Advances under the Loan Agreement and all other outstanding obligations with respect to the Term Loan Advances under the Loan Agreement and made the Final Payment. On March 5, 2024, the Company paid $0.4 million for the success fee under the Success Fee Agreement. As of December 31, 2024, the Company has no outstanding obligations in connection with the Loan Agreement with SVB.</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98"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0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(88,039 )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(48,607 )</w:t>
            </w:r>
          </w:p>
        </w:tc>
      </w:tr>
      <w:tr>
        <w:trPr>
          <w:trHeight w:val="216"/>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Deemed dividend on redeemable convertible preferred stock issuances</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(410 )</w:t>
            </w:r>
          </w:p>
        </w:tc>
      </w:tr>
      <w:tr>
        <w:trPr>
          <w:trHeight w:val="216"/>
        </w:trPr>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Cumulative redeemable convertible preferred stock dividends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(18,781 )</w:t>
            </w:r>
          </w:p>
        </w:tc>
      </w:tr>
      <w:tr>
        <w:trPr>
          <w:trHeight w:val="20"/>
        </w:trPr>
        <w:tc>
          <w:tcPr>
            <w:tcW w:w="8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(88,039 )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(67,798 )</w:t>
            </w:r>
          </w:p>
        </w:tc>
      </w:tr>
      <w:tr>
        <w:trPr>
          <w:trHeight w:val="197"/>
        </w:trPr>
        <w:tc>
          <w:tcPr>
            <w:tcW w:w="80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62,496,725</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4,330,933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80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(1.41 )</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(15.65 )</w:t>
            </w:r>
          </w:p>
        </w:tc>
      </w:tr>
      <w:tr>
        <w:trPr>
          <w:trHeight w:val="20"/>
        </w:trPr>
        <w:tc>
          <w:tcPr>
            <w:tcW w:w="8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-487680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-470535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because including them would have had an anti-dilutive effect:</w:t>
      </w:r>
    </w:p>
    <w:p>
      <w:pPr>
        <w:spacing w:after="0" w:line="200"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80" w:type="dxa"/>
            <w:vAlign w:val="bottom"/>
            <w:tcBorders>
              <w:top w:val="single" w:sz="8" w:color="auto"/>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8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38,413,913</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6,574,580</w:t>
            </w:r>
          </w:p>
        </w:tc>
        <w:tc>
          <w:tcPr>
            <w:tcW w:w="46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5,532,871</w:t>
            </w:r>
          </w:p>
        </w:tc>
        <w:tc>
          <w:tcPr>
            <w:tcW w:w="100" w:type="dxa"/>
            <w:vAlign w:val="bottom"/>
          </w:tcPr>
          <w:p>
            <w:pPr>
              <w:spacing w:after="0"/>
              <w:rPr>
                <w:sz w:val="18"/>
                <w:szCs w:val="18"/>
                <w:color w:val="auto"/>
              </w:rPr>
            </w:pPr>
          </w:p>
        </w:tc>
      </w:tr>
      <w:tr>
        <w:trPr>
          <w:trHeight w:val="250"/>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6,574,580</w:t>
            </w:r>
          </w:p>
        </w:tc>
        <w:tc>
          <w:tcPr>
            <w:tcW w:w="46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43,946,784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2023, the Company entered into an agreement with an outside consulting firm for the provision of interim Chief Financial Officer (CFO) services. The Company paid the consulting firm for the provision of the interim CFO services rendered less than $0.1 million and $0.4 million, respectively for services rendered for the years ended December 31, 2024 and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our disclosure controls and procedures as defined in Rules 13a-15(e) and 15d-15(e) under the Exchange Act as of the end of the period covered by this Annual Report. Based on such evaluation, our principal executive officer and our principal financial officer have concluded that as of such date,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Exchange Act Rules 13a-15(f) and 15d-15(f). We maintain internal control over financial reporting designed to provide reasonable assurance regarding the reliability of financial reporting and the preparation of consolidated financial statements for external purposes in accordance with GAAP.</w:t>
      </w:r>
    </w:p>
    <w:p>
      <w:pPr>
        <w:spacing w:after="0" w:line="10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our management conducted an evaluation of the effectiveness of our internal control over financial reporting using the criteria set forth by the Committee of Sponsoring Organizations of the Treadway Commission in Internal Control - Integrated Framework (2013). Management’s assessment included an evaluation of the design of our internal control over financial reporting and testing of the operational effectiveness of our internal control over financial reporting. Based on management’s assessment, management has concluded that, as of December 31, 2024, our internal control over financial reporting was effective.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year ended December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an entity affiliated with one of our directors terminated a trading plan for the orderly disposition of the Company’s securities as set forth in the table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50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112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0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Shares</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 Common</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Adoption/Termination</w:t>
            </w:r>
          </w:p>
        </w:tc>
        <w:tc>
          <w:tcPr>
            <w:tcW w:w="12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Non-Rule</w:t>
            </w:r>
          </w:p>
        </w:tc>
        <w:tc>
          <w:tcPr>
            <w:tcW w:w="112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Stock to be</w:t>
            </w: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60" w:type="dxa"/>
            <w:vAlign w:val="bottom"/>
            <w:tcBorders>
              <w:bottom w:val="single" w:sz="8" w:color="auto"/>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24"/>
                <w:szCs w:val="24"/>
                <w:b w:val="1"/>
                <w:bCs w:val="1"/>
                <w:color w:val="auto"/>
                <w:vertAlign w:val="superscript"/>
              </w:rPr>
              <w:t>(1)</w:t>
            </w:r>
          </w:p>
        </w:tc>
        <w:tc>
          <w:tcPr>
            <w:tcW w:w="1240" w:type="dxa"/>
            <w:vAlign w:val="bottom"/>
            <w:tcBorders>
              <w:bottom w:val="single" w:sz="8" w:color="auto"/>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10b5-1</w:t>
            </w:r>
            <w:r>
              <w:rPr>
                <w:rFonts w:ascii="Times New Roman" w:cs="Times New Roman" w:eastAsia="Times New Roman" w:hAnsi="Times New Roman"/>
                <w:sz w:val="24"/>
                <w:szCs w:val="24"/>
                <w:b w:val="1"/>
                <w:bCs w:val="1"/>
                <w:color w:val="auto"/>
                <w:w w:val="93"/>
                <w:vertAlign w:val="superscript"/>
              </w:rPr>
              <w:t>(2)</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Sold</w:t>
            </w:r>
          </w:p>
        </w:tc>
        <w:tc>
          <w:tcPr>
            <w:tcW w:w="2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191"/>
        </w:trPr>
        <w:tc>
          <w:tcPr>
            <w:tcW w:w="2000" w:type="dxa"/>
            <w:vAlign w:val="bottom"/>
            <w:tcBorders>
              <w:left w:val="single" w:sz="8" w:color="auto"/>
              <w:right w:val="single" w:sz="8" w:color="auto"/>
            </w:tcBorders>
            <w:shd w:val="clear" w:color="auto" w:fill="CFF0FC"/>
          </w:tcPr>
          <w:p>
            <w:pPr>
              <w:spacing w:after="0"/>
              <w:rPr>
                <w:sz w:val="16"/>
                <w:szCs w:val="16"/>
                <w:color w:val="auto"/>
              </w:rPr>
            </w:pPr>
          </w:p>
        </w:tc>
        <w:tc>
          <w:tcPr>
            <w:tcW w:w="1340" w:type="dxa"/>
            <w:vAlign w:val="bottom"/>
            <w:tcBorders>
              <w:right w:val="single" w:sz="8" w:color="auto"/>
            </w:tcBorders>
            <w:shd w:val="clear" w:color="auto" w:fill="CFF0FC"/>
          </w:tcPr>
          <w:p>
            <w:pPr>
              <w:spacing w:after="0"/>
              <w:rPr>
                <w:sz w:val="16"/>
                <w:szCs w:val="16"/>
                <w:color w:val="auto"/>
              </w:rPr>
            </w:pPr>
          </w:p>
        </w:tc>
        <w:tc>
          <w:tcPr>
            <w:tcW w:w="2160" w:type="dxa"/>
            <w:vAlign w:val="bottom"/>
            <w:tcBorders>
              <w:right w:val="single" w:sz="8" w:color="auto"/>
            </w:tcBorders>
            <w:shd w:val="clear" w:color="auto" w:fill="CFF0FC"/>
          </w:tcPr>
          <w:p>
            <w:pPr>
              <w:spacing w:after="0"/>
              <w:rPr>
                <w:sz w:val="16"/>
                <w:szCs w:val="16"/>
                <w:color w:val="auto"/>
              </w:rPr>
            </w:pPr>
          </w:p>
        </w:tc>
        <w:tc>
          <w:tcPr>
            <w:tcW w:w="1260" w:type="dxa"/>
            <w:vAlign w:val="bottom"/>
            <w:tcBorders>
              <w:right w:val="single" w:sz="8" w:color="auto"/>
            </w:tcBorders>
            <w:shd w:val="clear" w:color="auto" w:fill="CFF0FC"/>
          </w:tcPr>
          <w:p>
            <w:pPr>
              <w:spacing w:after="0"/>
              <w:rPr>
                <w:sz w:val="16"/>
                <w:szCs w:val="16"/>
                <w:color w:val="auto"/>
              </w:rPr>
            </w:pPr>
          </w:p>
        </w:tc>
        <w:tc>
          <w:tcPr>
            <w:tcW w:w="1240" w:type="dxa"/>
            <w:vAlign w:val="bottom"/>
            <w:tcBorders>
              <w:right w:val="single" w:sz="8" w:color="auto"/>
            </w:tcBorders>
            <w:shd w:val="clear" w:color="auto" w:fill="CFF0FC"/>
          </w:tcPr>
          <w:p>
            <w:pPr>
              <w:spacing w:after="0"/>
              <w:rPr>
                <w:sz w:val="16"/>
                <w:szCs w:val="16"/>
                <w:color w:val="auto"/>
              </w:rPr>
            </w:pPr>
          </w:p>
        </w:tc>
        <w:tc>
          <w:tcPr>
            <w:tcW w:w="1120" w:type="dxa"/>
            <w:vAlign w:val="bottom"/>
            <w:tcBorders>
              <w:right w:val="single" w:sz="8" w:color="auto"/>
            </w:tcBorders>
            <w:shd w:val="clear" w:color="auto" w:fill="CFF0FC"/>
          </w:tcPr>
          <w:p>
            <w:pPr>
              <w:spacing w:after="0"/>
              <w:rPr>
                <w:sz w:val="16"/>
                <w:szCs w:val="16"/>
                <w:color w:val="auto"/>
              </w:rPr>
            </w:pPr>
          </w:p>
        </w:tc>
        <w:tc>
          <w:tcPr>
            <w:tcW w:w="2120" w:type="dxa"/>
            <w:vAlign w:val="bottom"/>
            <w:tcBorders>
              <w:right w:val="single" w:sz="8" w:color="auto"/>
            </w:tcBorders>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The earlier to occur of (i)</w:t>
            </w: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shd w:val="clear" w:color="auto" w:fill="CFF0FC"/>
          </w:tcPr>
          <w:p>
            <w:pPr>
              <w:spacing w:after="0"/>
              <w:rPr>
                <w:sz w:val="18"/>
                <w:szCs w:val="18"/>
                <w:color w:val="auto"/>
              </w:rPr>
            </w:pPr>
          </w:p>
        </w:tc>
        <w:tc>
          <w:tcPr>
            <w:tcW w:w="1340" w:type="dxa"/>
            <w:vAlign w:val="bottom"/>
            <w:tcBorders>
              <w:right w:val="single" w:sz="8" w:color="auto"/>
            </w:tcBorders>
            <w:shd w:val="clear" w:color="auto" w:fill="CFF0FC"/>
          </w:tcPr>
          <w:p>
            <w:pPr>
              <w:spacing w:after="0"/>
              <w:rPr>
                <w:sz w:val="18"/>
                <w:szCs w:val="18"/>
                <w:color w:val="auto"/>
              </w:rPr>
            </w:pPr>
          </w:p>
        </w:tc>
        <w:tc>
          <w:tcPr>
            <w:tcW w:w="2160" w:type="dxa"/>
            <w:vAlign w:val="bottom"/>
            <w:tcBorders>
              <w:right w:val="single" w:sz="8" w:color="auto"/>
            </w:tcBorders>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1240" w:type="dxa"/>
            <w:vAlign w:val="bottom"/>
            <w:tcBorders>
              <w:right w:val="single" w:sz="8" w:color="auto"/>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21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11, 2025, and (ii) the</w:t>
            </w: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shd w:val="clear" w:color="auto" w:fill="CFF0FC"/>
          </w:tcPr>
          <w:p>
            <w:pPr>
              <w:spacing w:after="0"/>
              <w:rPr>
                <w:sz w:val="18"/>
                <w:szCs w:val="18"/>
                <w:color w:val="auto"/>
              </w:rPr>
            </w:pPr>
          </w:p>
        </w:tc>
        <w:tc>
          <w:tcPr>
            <w:tcW w:w="1340" w:type="dxa"/>
            <w:vAlign w:val="bottom"/>
            <w:tcBorders>
              <w:right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Termination</w:t>
            </w:r>
            <w:r>
              <w:rPr>
                <w:rFonts w:ascii="Times New Roman" w:cs="Times New Roman" w:eastAsia="Times New Roman" w:hAnsi="Times New Roman"/>
                <w:sz w:val="24"/>
                <w:szCs w:val="24"/>
                <w:color w:val="auto"/>
                <w:vertAlign w:val="superscript"/>
              </w:rPr>
              <w:t>(3)</w:t>
            </w:r>
          </w:p>
        </w:tc>
        <w:tc>
          <w:tcPr>
            <w:tcW w:w="2160" w:type="dxa"/>
            <w:vAlign w:val="bottom"/>
            <w:tcBorders>
              <w:right w:val="single" w:sz="8" w:color="auto"/>
            </w:tcBorders>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1240" w:type="dxa"/>
            <w:vAlign w:val="bottom"/>
            <w:tcBorders>
              <w:right w:val="single" w:sz="8" w:color="auto"/>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21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execution of all instructions</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Charming Jade Limited*</w:t>
            </w:r>
          </w:p>
        </w:tc>
        <w:tc>
          <w:tcPr>
            <w:tcW w:w="134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216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13, 2024</w:t>
            </w:r>
          </w:p>
        </w:tc>
        <w:tc>
          <w:tcPr>
            <w:tcW w:w="1260" w:type="dxa"/>
            <w:vAlign w:val="bottom"/>
            <w:tcBorders>
              <w:bottom w:val="single" w:sz="8" w:color="auto"/>
              <w:right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1240" w:type="dxa"/>
            <w:vAlign w:val="bottom"/>
            <w:tcBorders>
              <w:bottom w:val="single" w:sz="8" w:color="auto"/>
              <w:right w:val="single" w:sz="8" w:color="auto"/>
            </w:tcBorders>
            <w:shd w:val="clear" w:color="auto" w:fill="CFF0FC"/>
          </w:tcPr>
          <w:p>
            <w:pPr>
              <w:spacing w:after="0"/>
              <w:rPr>
                <w:sz w:val="20"/>
                <w:szCs w:val="20"/>
                <w:color w:val="auto"/>
              </w:rPr>
            </w:pPr>
          </w:p>
        </w:tc>
        <w:tc>
          <w:tcPr>
            <w:tcW w:w="1120" w:type="dxa"/>
            <w:vAlign w:val="bottom"/>
            <w:tcBorders>
              <w:bottom w:val="single" w:sz="8" w:color="auto"/>
              <w:right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1,266,814</w:t>
            </w:r>
          </w:p>
        </w:tc>
        <w:tc>
          <w:tcPr>
            <w:tcW w:w="212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provided in the plan</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 w:hanging="192"/>
        <w:spacing w:after="0"/>
        <w:tabs>
          <w:tab w:leader="none" w:pos="200" w:val="left"/>
        </w:tabs>
        <w:numPr>
          <w:ilvl w:val="0"/>
          <w:numId w:val="6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w:t>
      </w:r>
    </w:p>
    <w:p>
      <w:pPr>
        <w:spacing w:after="0" w:line="15" w:lineRule="exact"/>
        <w:rPr>
          <w:rFonts w:ascii="Times New Roman" w:cs="Times New Roman" w:eastAsia="Times New Roman" w:hAnsi="Times New Roman"/>
          <w:sz w:val="24"/>
          <w:szCs w:val="24"/>
          <w:color w:val="auto"/>
          <w:vertAlign w:val="superscript"/>
        </w:rPr>
      </w:pPr>
    </w:p>
    <w:p>
      <w:pPr>
        <w:ind w:left="200" w:hanging="192"/>
        <w:spacing w:after="0" w:line="186" w:lineRule="auto"/>
        <w:tabs>
          <w:tab w:leader="none" w:pos="200" w:val="left"/>
        </w:tabs>
        <w:numPr>
          <w:ilvl w:val="0"/>
          <w:numId w:val="6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“Non-Rule 10b5-1 trading arrangement” as defined in Item 408(c) of Regulation S-K under the Exchange Act.</w:t>
      </w:r>
    </w:p>
    <w:p>
      <w:pPr>
        <w:spacing w:after="0" w:line="15" w:lineRule="exact"/>
        <w:rPr>
          <w:rFonts w:ascii="Times New Roman" w:cs="Times New Roman" w:eastAsia="Times New Roman" w:hAnsi="Times New Roman"/>
          <w:sz w:val="24"/>
          <w:szCs w:val="24"/>
          <w:color w:val="auto"/>
          <w:vertAlign w:val="superscript"/>
        </w:rPr>
      </w:pPr>
    </w:p>
    <w:p>
      <w:pPr>
        <w:ind w:left="180" w:hanging="172"/>
        <w:spacing w:after="0" w:line="203" w:lineRule="auto"/>
        <w:tabs>
          <w:tab w:leader="none" w:pos="180" w:val="left"/>
        </w:tabs>
        <w:numPr>
          <w:ilvl w:val="0"/>
          <w:numId w:val="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termination of a trading plan intended to satisfy the affirmative defense conditions of Rule 10b5-1(c) adopted on September 13, 2024.</w:t>
      </w:r>
    </w:p>
    <w:p>
      <w:pPr>
        <w:spacing w:after="0" w:line="90" w:lineRule="exact"/>
        <w:rPr>
          <w:sz w:val="20"/>
          <w:szCs w:val="20"/>
          <w:color w:val="auto"/>
        </w:rPr>
      </w:pPr>
    </w:p>
    <w:p>
      <w:pPr>
        <w:jc w:val="both"/>
        <w:ind w:firstLine="8"/>
        <w:spacing w:after="0" w:line="266" w:lineRule="auto"/>
        <w:tabs>
          <w:tab w:leader="none" w:pos="1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Charming Jade Limited is a wholly owned subsidiary of ORI Healthcare Fund II, L.P. ORI Capital II Inc. is the general partner of ORI Healthcare Fund II, L.P. and a wholly owned subsidiary of ORI Holding II Inc. Each of ORI Capital Holding Inc. and ORI Holding II Inc. is a wholly owned subsidiary of Healthcare Seed Limited. Ms. Hong Fang Song, who serves on our Board of Directors, is the sole owner of Healthcare Seed Limited.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(other than as set forth below) will be contained in our Proxy Statement, which is expected to be filed not later than 120 days after the end of our fiscal year ended December 31, 2024, and is incorporated herein by reference.</w:t>
      </w:r>
    </w:p>
    <w:p>
      <w:pPr>
        <w:spacing w:after="0" w:line="54"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officers, directors and employees, including our principal executive officer, principal financial officer, principal accounting officer or controller, or person performing similar functions. A current copy of the Code of Conduct and Ethics is available on the Corporate Governance section of our website at ir.cgooncology.com. If we make any substantive amendments to the Code of Conduct and Ethics or grants any waiver from a provision of the Code of Conduct and Ethics to any executive officer or director that are required to be disclosed pursuant to SEC rules, we will promptly disclose the nature of the amendment or waiver on our website or in a current report on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headings “Executive Compensation” and “Non-Employee Director Compensation,”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headings “Security Ownership of Certain Beneficial Owners and Management” and “Securities Authorized for Issuance under Equity Compensation Plans,”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headings “Certain Relationships and Related Person Transactions” and “The Board of Directors and Certain Governance Matters,”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heading “Ratification of Appointment of Independent Registered Public Accounting Firm” and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Consolidated Financial Statements” under Part II, Item 8 to this Annual Report on Form 10-K.</w:t>
      </w:r>
    </w:p>
    <w:p>
      <w:pPr>
        <w:spacing w:after="0" w:line="113"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Statement Schedules.</w:t>
      </w:r>
    </w:p>
    <w:p>
      <w:pPr>
        <w:spacing w:after="0" w:line="3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 thereto.</w:t>
      </w:r>
    </w:p>
    <w:p>
      <w:pPr>
        <w:spacing w:after="0" w:line="50" w:lineRule="exact"/>
        <w:rPr>
          <w:sz w:val="20"/>
          <w:szCs w:val="20"/>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3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list of exhibits is set forth on the Exhibit Index immediately preceding the signature page of this Annual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26"/>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38"/>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39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Amended and Restated Certificate of Incorporation</w:t>
              </w:r>
            </w:hyperlink>
          </w:p>
        </w:tc>
        <w:tc>
          <w:tcPr>
            <w:tcW w:w="1200" w:type="dxa"/>
            <w:vAlign w:val="bottom"/>
            <w:gridSpan w:val="21"/>
          </w:tcPr>
          <w:p>
            <w:pPr>
              <w:spacing w:after="0"/>
              <w:rPr>
                <w:sz w:val="24"/>
                <w:szCs w:val="24"/>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4"/>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Amended and Restated Bylaws</w:t>
              </w:r>
            </w:hyperlink>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Specimen stock certificate evidencing the shares of common stock</w:t>
              </w:r>
            </w:hyperlink>
          </w:p>
        </w:tc>
        <w:tc>
          <w:tcPr>
            <w:tcW w:w="100" w:type="dxa"/>
            <w:vAlign w:val="bottom"/>
            <w:gridSpan w:val="4"/>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Amended and Restated Investors’ Rights Agreement, dated July</w:t>
              </w:r>
            </w:hyperlink>
          </w:p>
        </w:tc>
        <w:tc>
          <w:tcPr>
            <w:tcW w:w="240" w:type="dxa"/>
            <w:vAlign w:val="bottom"/>
            <w:gridSpan w:val="7"/>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28, 2023, as amended, by and among the Registrant and certain of</w:t>
              </w:r>
            </w:hyperlink>
          </w:p>
        </w:tc>
        <w:tc>
          <w:tcPr>
            <w:tcW w:w="10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351">
              <w:r>
                <w:rPr>
                  <w:rFonts w:ascii="Times New Roman" w:cs="Times New Roman" w:eastAsia="Times New Roman" w:hAnsi="Times New Roman"/>
                  <w:sz w:val="18"/>
                  <w:szCs w:val="18"/>
                  <w:color w:val="0000FF"/>
                  <w:w w:val="97"/>
                </w:rPr>
                <w:t>its stockholders</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29"/>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4"/>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Description of Registered Securities</w:t>
              </w:r>
            </w:hyperlink>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CG Oncology, Inc. 2015 Equity Incentive Plan, as amended, and</w:t>
              </w:r>
            </w:hyperlink>
          </w:p>
        </w:tc>
        <w:tc>
          <w:tcPr>
            <w:tcW w:w="180" w:type="dxa"/>
            <w:vAlign w:val="bottom"/>
            <w:gridSpan w:val="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form of stock grant agreement and form of stock option agreement</w:t>
              </w:r>
            </w:hyperlink>
          </w:p>
        </w:tc>
        <w:tc>
          <w:tcPr>
            <w:tcW w:w="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353">
              <w:r>
                <w:rPr>
                  <w:rFonts w:ascii="Times New Roman" w:cs="Times New Roman" w:eastAsia="Times New Roman" w:hAnsi="Times New Roman"/>
                  <w:sz w:val="18"/>
                  <w:szCs w:val="18"/>
                  <w:color w:val="0000FF"/>
                  <w:w w:val="96"/>
                </w:rPr>
                <w:t>thereunder</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31"/>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CG Oncology, Inc. 2022 Incentive Award Plan and form of stock</w:t>
              </w:r>
            </w:hyperlink>
          </w:p>
        </w:tc>
        <w:tc>
          <w:tcPr>
            <w:tcW w:w="14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option agreement, form of stock option agreement (early exercise)</w:t>
              </w:r>
            </w:hyperlink>
          </w:p>
        </w:tc>
        <w:tc>
          <w:tcPr>
            <w:tcW w:w="8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4"/>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and form of restricted stock unit agreement thereunder</w:t>
              </w:r>
            </w:hyperlink>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CG Oncology, Inc. 2024 Incentive Award Plan and form of stock</w:t>
              </w:r>
            </w:hyperlink>
          </w:p>
        </w:tc>
        <w:tc>
          <w:tcPr>
            <w:tcW w:w="14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option agreement and form of restricted stock unit agreement</w:t>
              </w:r>
            </w:hyperlink>
          </w:p>
        </w:tc>
        <w:tc>
          <w:tcPr>
            <w:tcW w:w="440" w:type="dxa"/>
            <w:vAlign w:val="bottom"/>
            <w:gridSpan w:val="1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355">
              <w:r>
                <w:rPr>
                  <w:rFonts w:ascii="Times New Roman" w:cs="Times New Roman" w:eastAsia="Times New Roman" w:hAnsi="Times New Roman"/>
                  <w:sz w:val="18"/>
                  <w:szCs w:val="18"/>
                  <w:color w:val="0000FF"/>
                  <w:w w:val="96"/>
                </w:rPr>
                <w:t>thereunder</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31"/>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4"/>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CG Oncology, Inc. 2024 Employee Stock Purchase Plan</w:t>
              </w:r>
            </w:hyperlink>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Non-Employee Director Compensation</w:t>
            </w:r>
          </w:p>
        </w:tc>
        <w:tc>
          <w:tcPr>
            <w:tcW w:w="300" w:type="dxa"/>
            <w:vAlign w:val="bottom"/>
            <w:gridSpan w:val="9"/>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Program</w:t>
            </w: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Development and License Agreement, dated March 11, 2019,</w:t>
              </w:r>
            </w:hyperlink>
          </w:p>
        </w:tc>
        <w:tc>
          <w:tcPr>
            <w:tcW w:w="420" w:type="dxa"/>
            <w:vAlign w:val="bottom"/>
            <w:gridSpan w:val="1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8"/>
              </w:rPr>
            </w:pPr>
            <w:hyperlink r:id="rId357">
              <w:r>
                <w:rPr>
                  <w:rFonts w:ascii="Times New Roman" w:cs="Times New Roman" w:eastAsia="Times New Roman" w:hAnsi="Times New Roman"/>
                  <w:sz w:val="18"/>
                  <w:szCs w:val="18"/>
                  <w:color w:val="0000FF"/>
                  <w:w w:val="98"/>
                </w:rPr>
                <w:t>between the Lepu Biotech Co., Ltd. and the Registrant</w:t>
              </w:r>
            </w:hyperlink>
          </w:p>
        </w:tc>
        <w:tc>
          <w:tcPr>
            <w:tcW w:w="20" w:type="dxa"/>
            <w:vAlign w:val="bottom"/>
            <w:tcBorders>
              <w:bottom w:val="single" w:sz="8" w:color="0000EE"/>
            </w:tcBorders>
          </w:tcPr>
          <w:p>
            <w:pPr>
              <w:spacing w:after="0"/>
              <w:rPr>
                <w:sz w:val="17"/>
                <w:szCs w:val="17"/>
                <w:color w:val="auto"/>
              </w:rPr>
            </w:pPr>
          </w:p>
        </w:tc>
        <w:tc>
          <w:tcPr>
            <w:tcW w:w="940" w:type="dxa"/>
            <w:vAlign w:val="bottom"/>
            <w:gridSpan w:val="17"/>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License and Collaboration Agreement, dated March 26, 2020,</w:t>
              </w:r>
            </w:hyperlink>
          </w:p>
        </w:tc>
        <w:tc>
          <w:tcPr>
            <w:tcW w:w="400" w:type="dxa"/>
            <w:vAlign w:val="bottom"/>
            <w:gridSpan w:val="11"/>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between Kissei Pharmaceutical Co., Ltd. and the Registrant</w:t>
              </w:r>
            </w:hyperlink>
          </w:p>
        </w:tc>
        <w:tc>
          <w:tcPr>
            <w:tcW w:w="20" w:type="dxa"/>
            <w:vAlign w:val="bottom"/>
            <w:tcBorders>
              <w:bottom w:val="single" w:sz="8" w:color="0000EE"/>
            </w:tcBorders>
          </w:tcPr>
          <w:p>
            <w:pPr>
              <w:spacing w:after="0"/>
              <w:rPr>
                <w:sz w:val="17"/>
                <w:szCs w:val="17"/>
                <w:color w:val="auto"/>
              </w:rPr>
            </w:pPr>
          </w:p>
        </w:tc>
        <w:tc>
          <w:tcPr>
            <w:tcW w:w="580" w:type="dxa"/>
            <w:vAlign w:val="bottom"/>
            <w:gridSpan w:val="14"/>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First Amendment to the License and Collaboration Agreement,</w:t>
              </w:r>
            </w:hyperlink>
          </w:p>
        </w:tc>
        <w:tc>
          <w:tcPr>
            <w:tcW w:w="300" w:type="dxa"/>
            <w:vAlign w:val="bottom"/>
            <w:gridSpan w:val="9"/>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dated September 15, 2022, between Kissei Pharmaceutical Co.,</w:t>
              </w:r>
            </w:hyperlink>
          </w:p>
        </w:tc>
        <w:tc>
          <w:tcPr>
            <w:tcW w:w="280" w:type="dxa"/>
            <w:vAlign w:val="bottom"/>
            <w:gridSpan w:val="8"/>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359">
              <w:r>
                <w:rPr>
                  <w:rFonts w:ascii="Times New Roman" w:cs="Times New Roman" w:eastAsia="Times New Roman" w:hAnsi="Times New Roman"/>
                  <w:sz w:val="18"/>
                  <w:szCs w:val="18"/>
                  <w:color w:val="0000FF"/>
                  <w:w w:val="98"/>
                </w:rPr>
                <w:t>Ltd. and the Registrant</w:t>
              </w:r>
            </w:hyperlink>
          </w:p>
        </w:tc>
        <w:tc>
          <w:tcPr>
            <w:tcW w:w="20" w:type="dxa"/>
            <w:vAlign w:val="bottom"/>
            <w:tcBorders>
              <w:bottom w:val="single" w:sz="8" w:color="0000EE"/>
            </w:tcBorders>
          </w:tcPr>
          <w:p>
            <w:pPr>
              <w:spacing w:after="0"/>
              <w:rPr>
                <w:sz w:val="17"/>
                <w:szCs w:val="17"/>
                <w:color w:val="auto"/>
              </w:rPr>
            </w:pPr>
          </w:p>
        </w:tc>
        <w:tc>
          <w:tcPr>
            <w:tcW w:w="3220" w:type="dxa"/>
            <w:vAlign w:val="bottom"/>
            <w:gridSpan w:val="26"/>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Form of Indemnification Agreement for Directors and Officers</w:t>
              </w:r>
            </w:hyperlink>
          </w:p>
        </w:tc>
        <w:tc>
          <w:tcPr>
            <w:tcW w:w="360" w:type="dxa"/>
            <w:vAlign w:val="bottom"/>
            <w:gridSpan w:val="10"/>
          </w:tcPr>
          <w:p>
            <w:pPr>
              <w:spacing w:after="0"/>
              <w:rPr>
                <w:sz w:val="17"/>
                <w:szCs w:val="17"/>
                <w:color w:val="auto"/>
              </w:rPr>
            </w:pPr>
          </w:p>
        </w:tc>
      </w:tr>
      <w:tr>
        <w:trPr>
          <w:trHeight w:val="26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80" w:type="dxa"/>
            <w:vAlign w:val="bottom"/>
            <w:gridSpan w:val="34"/>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Annual Bonus Plan</w:t>
              </w:r>
            </w:hyperlink>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6"/>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effective January</w:t>
            </w:r>
          </w:p>
        </w:tc>
        <w:tc>
          <w:tcPr>
            <w:tcW w:w="40" w:type="dxa"/>
            <w:vAlign w:val="bottom"/>
          </w:tcPr>
          <w:p>
            <w:pPr>
              <w:spacing w:after="0"/>
              <w:rPr>
                <w:sz w:val="22"/>
                <w:szCs w:val="22"/>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9, 2025, between Arthur Kuan and the Registrant</w:t>
            </w: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19"/>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Employment Agreement, effective January</w:t>
            </w:r>
          </w:p>
        </w:tc>
        <w:tc>
          <w:tcPr>
            <w:tcW w:w="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9, 2025, between Ambaw Bellete and the Registrant</w:t>
            </w:r>
          </w:p>
        </w:tc>
        <w:tc>
          <w:tcPr>
            <w:tcW w:w="20" w:type="dxa"/>
            <w:vAlign w:val="bottom"/>
            <w:tcBorders>
              <w:bottom w:val="single" w:sz="8" w:color="0000EE"/>
            </w:tcBorders>
          </w:tcPr>
          <w:p>
            <w:pPr>
              <w:spacing w:after="0"/>
              <w:rPr>
                <w:sz w:val="17"/>
                <w:szCs w:val="17"/>
                <w:color w:val="auto"/>
              </w:rPr>
            </w:pPr>
          </w:p>
        </w:tc>
        <w:tc>
          <w:tcPr>
            <w:tcW w:w="1120" w:type="dxa"/>
            <w:vAlign w:val="bottom"/>
            <w:gridSpan w:val="19"/>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Employment Agreement, effective January</w:t>
            </w:r>
          </w:p>
        </w:tc>
        <w:tc>
          <w:tcPr>
            <w:tcW w:w="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9, 2025, between Vijay Kasturi and the Registrant</w:t>
            </w: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tcBorders>
              <w:right w:val="single" w:sz="8" w:color="0000EE"/>
            </w:tcBorders>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1"/>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Employment Agreement, effective January</w:t>
            </w:r>
          </w:p>
        </w:tc>
        <w:tc>
          <w:tcPr>
            <w:tcW w:w="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9, 2025, between Corleen Roche and the Registrant</w:t>
            </w:r>
          </w:p>
        </w:tc>
      </w:tr>
      <w:tr>
        <w:trPr>
          <w:trHeight w:val="669"/>
        </w:trPr>
        <w:tc>
          <w:tcPr>
            <w:tcW w:w="9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680" w:type="dxa"/>
            <w:vAlign w:val="bottom"/>
            <w:tcBorders>
              <w:top w:val="single" w:sz="8" w:color="0000FF"/>
            </w:tcBorders>
            <w:gridSpan w:val="13"/>
          </w:tcPr>
          <w:p>
            <w:pPr>
              <w:spacing w:after="0"/>
              <w:rPr>
                <w:sz w:val="24"/>
                <w:szCs w:val="24"/>
                <w:color w:val="auto"/>
              </w:rPr>
            </w:pPr>
          </w:p>
        </w:tc>
        <w:tc>
          <w:tcPr>
            <w:tcW w:w="6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467360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238"/>
        </w:trPr>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09"/>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01/18/24</w:t>
            </w: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03/26/24</w:t>
            </w:r>
          </w:p>
        </w:tc>
        <w:tc>
          <w:tcPr>
            <w:tcW w:w="10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01/26/24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01/26/24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01/26/24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01/26/24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960" w:space="100"/>
            <w:col w:w="4280"/>
          </w:cols>
          <w:pgMar w:left="780" w:top="1413" w:right="779" w:bottom="1440" w:gutter="0" w:footer="0" w:header="0"/>
        </w:sectPr>
      </w:pPr>
    </w:p>
    <w:bookmarkStart w:id="154" w:name="page155"/>
    <w:bookmarkEnd w:id="154"/>
    <w:tbl>
      <w:tblPr>
        <w:tblLayout w:type="fixed"/>
        <w:tblInd w:w="600" w:type="dxa"/>
        <w:tblCellMar>
          <w:top w:w="0" w:type="dxa"/>
          <w:left w:w="0" w:type="dxa"/>
          <w:bottom w:w="0" w:type="dxa"/>
          <w:right w:w="0" w:type="dxa"/>
        </w:tblCellMar>
      </w:tblPr>
      <w:tr>
        <w:trPr>
          <w:trHeight w:val="207"/>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10.15#</w:t>
            </w:r>
          </w:p>
        </w:tc>
        <w:tc>
          <w:tcPr>
            <w:tcW w:w="48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effective January</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920" w:type="dxa"/>
            <w:vAlign w:val="bottom"/>
          </w:tcPr>
          <w:p>
            <w:pPr>
              <w:spacing w:after="0"/>
              <w:rPr>
                <w:sz w:val="17"/>
                <w:szCs w:val="17"/>
                <w:color w:val="auto"/>
              </w:rPr>
            </w:pPr>
          </w:p>
        </w:tc>
        <w:tc>
          <w:tcPr>
            <w:tcW w:w="4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9, 2025, between Joshua F. Patterson and the Registrant</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402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c>
          <w:tcPr>
            <w:tcW w:w="8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20" w:type="dxa"/>
            <w:vAlign w:val="bottom"/>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1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Subsidiaries of the Registrant</w:t>
            </w:r>
          </w:p>
        </w:tc>
        <w:tc>
          <w:tcPr>
            <w:tcW w:w="20" w:type="dxa"/>
            <w:vAlign w:val="bottom"/>
            <w:tcBorders>
              <w:bottom w:val="single" w:sz="8" w:color="0000EE"/>
            </w:tcBorders>
          </w:tcPr>
          <w:p>
            <w:pPr>
              <w:spacing w:after="0"/>
              <w:rPr>
                <w:sz w:val="17"/>
                <w:szCs w:val="17"/>
                <w:color w:val="auto"/>
              </w:rPr>
            </w:pPr>
          </w:p>
        </w:tc>
        <w:tc>
          <w:tcPr>
            <w:tcW w:w="27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432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(see signature page)</w:t>
            </w:r>
          </w:p>
        </w:tc>
        <w:tc>
          <w:tcPr>
            <w:tcW w:w="5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20" w:type="dxa"/>
            <w:vAlign w:val="bottom"/>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as required by Rule 13a-</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20" w:type="dxa"/>
            <w:vAlign w:val="bottom"/>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8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7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as required by Rule 13a-</w:t>
            </w:r>
          </w:p>
        </w:tc>
        <w:tc>
          <w:tcPr>
            <w:tcW w:w="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48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48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w:t>
            </w:r>
          </w:p>
        </w:tc>
        <w:tc>
          <w:tcPr>
            <w:tcW w:w="20" w:type="dxa"/>
            <w:vAlign w:val="bottom"/>
            <w:tcBorders>
              <w:bottom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4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tcBorders>
              <w:right w:val="single" w:sz="8" w:color="0000EE"/>
            </w:tcBorders>
            <w:gridSpan w:val="5"/>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48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4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tcBorders>
              <w:right w:val="single" w:sz="8" w:color="0000EE"/>
            </w:tcBorders>
            <w:gridSpan w:val="5"/>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2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w w:val="96"/>
              </w:rPr>
              <w:t>97#</w:t>
            </w:r>
          </w:p>
        </w:tc>
        <w:tc>
          <w:tcPr>
            <w:tcW w:w="4860" w:type="dxa"/>
            <w:vAlign w:val="bottom"/>
            <w:gridSpan w:val="13"/>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Policy for the Recovery of Erroneously Awarded Compensation</w:t>
              </w:r>
            </w:hyperlink>
          </w:p>
        </w:tc>
        <w:tc>
          <w:tcPr>
            <w:tcW w:w="20" w:type="dxa"/>
            <w:vAlign w:val="bottom"/>
          </w:tcPr>
          <w:p>
            <w:pPr>
              <w:spacing w:after="0"/>
              <w:rPr>
                <w:sz w:val="17"/>
                <w:szCs w:val="17"/>
                <w:color w:val="auto"/>
              </w:rPr>
            </w:pPr>
          </w:p>
        </w:tc>
        <w:tc>
          <w:tcPr>
            <w:tcW w:w="96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01/02/24</w:t>
            </w:r>
          </w:p>
        </w:tc>
        <w:tc>
          <w:tcPr>
            <w:tcW w:w="17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10.10</w:t>
            </w:r>
          </w:p>
        </w:tc>
      </w:tr>
      <w:tr>
        <w:trPr>
          <w:trHeight w:val="20"/>
        </w:trPr>
        <w:tc>
          <w:tcPr>
            <w:tcW w:w="920" w:type="dxa"/>
            <w:vAlign w:val="bottom"/>
          </w:tcPr>
          <w:p>
            <w:pPr>
              <w:spacing w:after="0" w:line="20" w:lineRule="exact"/>
              <w:rPr>
                <w:sz w:val="1"/>
                <w:szCs w:val="1"/>
                <w:color w:val="auto"/>
              </w:rPr>
            </w:pPr>
          </w:p>
        </w:tc>
        <w:tc>
          <w:tcPr>
            <w:tcW w:w="46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8"/>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4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920" w:type="dxa"/>
            <w:vAlign w:val="bottom"/>
          </w:tcPr>
          <w:p>
            <w:pPr>
              <w:spacing w:after="0"/>
              <w:rPr>
                <w:sz w:val="18"/>
                <w:szCs w:val="18"/>
                <w:color w:val="auto"/>
              </w:rPr>
            </w:pPr>
          </w:p>
        </w:tc>
        <w:tc>
          <w:tcPr>
            <w:tcW w:w="4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101.SCH</w:t>
            </w:r>
          </w:p>
        </w:tc>
        <w:tc>
          <w:tcPr>
            <w:tcW w:w="4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920" w:type="dxa"/>
            <w:vAlign w:val="bottom"/>
          </w:tcPr>
          <w:p>
            <w:pPr>
              <w:spacing w:after="0"/>
              <w:rPr>
                <w:sz w:val="18"/>
                <w:szCs w:val="18"/>
                <w:color w:val="auto"/>
              </w:rPr>
            </w:pPr>
          </w:p>
        </w:tc>
        <w:tc>
          <w:tcPr>
            <w:tcW w:w="4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104</w:t>
            </w:r>
          </w:p>
        </w:tc>
        <w:tc>
          <w:tcPr>
            <w:tcW w:w="4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333" w:lineRule="exact"/>
        <w:rPr>
          <w:sz w:val="20"/>
          <w:szCs w:val="20"/>
          <w:color w:val="auto"/>
        </w:rPr>
      </w:pPr>
    </w:p>
    <w:p>
      <w:pPr>
        <w:ind w:left="180" w:hanging="145"/>
        <w:spacing w:after="0"/>
        <w:tabs>
          <w:tab w:leader="none" w:pos="1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rFonts w:ascii="Times New Roman" w:cs="Times New Roman" w:eastAsia="Times New Roman" w:hAnsi="Times New Roman"/>
          <w:sz w:val="18"/>
          <w:szCs w:val="18"/>
          <w:color w:val="auto"/>
        </w:rPr>
      </w:pPr>
    </w:p>
    <w:p>
      <w:pPr>
        <w:ind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pursuant to Item 601 of Regulation S-K because it is both not material and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2854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4" w:right="5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2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03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Arthur Kuan</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Arthur Kuan and Corleen Roche,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00" w:lineRule="exact"/>
        <w:rPr>
          <w:sz w:val="20"/>
          <w:szCs w:val="20"/>
          <w:color w:val="auto"/>
        </w:rPr>
      </w:pPr>
    </w:p>
    <w:p>
      <w:pPr>
        <w:spacing w:after="0" w:line="3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228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6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28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Arthur Kuan</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Corleen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283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Corleen Roche</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Susan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28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Susan Graf</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Brian Liu,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283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Brian Liu, M.D.</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James J. Mulé, IPh.D.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228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James J. Mulé, IPh.D.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8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2025</w:t>
            </w:r>
          </w:p>
        </w:tc>
      </w:tr>
      <w:tr>
        <w:trPr>
          <w:trHeight w:val="188"/>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7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3"/>
                <w:szCs w:val="23"/>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2025</w:t>
            </w:r>
          </w:p>
        </w:tc>
      </w:tr>
      <w:tr>
        <w:trPr>
          <w:trHeight w:val="188"/>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93"/>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2025</w:t>
            </w:r>
          </w:p>
        </w:tc>
      </w:tr>
      <w:tr>
        <w:trPr>
          <w:trHeight w:val="459"/>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2025</w:t>
            </w:r>
          </w:p>
        </w:tc>
      </w:tr>
      <w:tr>
        <w:trPr>
          <w:trHeight w:val="459"/>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2025</w:t>
            </w:r>
          </w:p>
        </w:tc>
      </w:tr>
    </w:tbl>
    <w:p>
      <w:pPr>
        <w:spacing w:after="0" w:line="211" w:lineRule="exact"/>
        <w:rPr>
          <w:sz w:val="20"/>
          <w:szCs w:val="20"/>
          <w:color w:val="auto"/>
        </w:rPr>
      </w:pPr>
    </w:p>
    <w:p>
      <w:pPr>
        <w:sectPr>
          <w:pgSz w:w="11900" w:h="16838" w:orient="portrait"/>
          <w:cols w:equalWidth="0" w:num="2">
            <w:col w:w="3060" w:space="720"/>
            <w:col w:w="746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Leonard Post, Ph.D.</w:t>
            </w:r>
          </w:p>
        </w:tc>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628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March 28, 2025</w:t>
            </w:r>
          </w:p>
        </w:tc>
      </w:tr>
      <w:tr>
        <w:trPr>
          <w:trHeight w:val="184"/>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Leonard Post, Ph.D.</w:t>
            </w:r>
          </w:p>
        </w:tc>
        <w:tc>
          <w:tcPr>
            <w:tcW w:w="1300" w:type="dxa"/>
            <w:vAlign w:val="bottom"/>
          </w:tcPr>
          <w:p>
            <w:pPr>
              <w:spacing w:after="0"/>
              <w:rPr>
                <w:sz w:val="15"/>
                <w:szCs w:val="15"/>
                <w:color w:val="auto"/>
              </w:rPr>
            </w:pPr>
          </w:p>
        </w:tc>
        <w:tc>
          <w:tcPr>
            <w:tcW w:w="6280" w:type="dxa"/>
            <w:vAlign w:val="bottom"/>
          </w:tcPr>
          <w:p>
            <w:pPr>
              <w:spacing w:after="0"/>
              <w:rPr>
                <w:sz w:val="15"/>
                <w:szCs w:val="15"/>
                <w:color w:val="auto"/>
              </w:rPr>
            </w:pPr>
          </w:p>
        </w:tc>
      </w:tr>
      <w:tr>
        <w:trPr>
          <w:trHeight w:val="255"/>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Simone Song</w:t>
            </w:r>
          </w:p>
        </w:tc>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628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March 28, 2025</w:t>
            </w:r>
          </w:p>
        </w:tc>
      </w:tr>
      <w:tr>
        <w:trPr>
          <w:trHeight w:val="184"/>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Simone Song</w:t>
            </w:r>
          </w:p>
        </w:tc>
        <w:tc>
          <w:tcPr>
            <w:tcW w:w="1300" w:type="dxa"/>
            <w:vAlign w:val="bottom"/>
          </w:tcPr>
          <w:p>
            <w:pPr>
              <w:spacing w:after="0"/>
              <w:rPr>
                <w:sz w:val="15"/>
                <w:szCs w:val="15"/>
                <w:color w:val="auto"/>
              </w:rPr>
            </w:pPr>
          </w:p>
        </w:tc>
        <w:tc>
          <w:tcPr>
            <w:tcW w:w="6280" w:type="dxa"/>
            <w:vAlign w:val="bottom"/>
          </w:tcPr>
          <w:p>
            <w:pPr>
              <w:spacing w:after="0"/>
              <w:rPr>
                <w:sz w:val="15"/>
                <w:szCs w:val="15"/>
                <w:color w:val="auto"/>
              </w:rPr>
            </w:pPr>
          </w:p>
        </w:tc>
      </w:tr>
      <w:tr>
        <w:trPr>
          <w:trHeight w:val="255"/>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Victor Tong, Jr.</w:t>
            </w:r>
          </w:p>
        </w:tc>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628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March 28, 2025</w:t>
            </w:r>
          </w:p>
        </w:tc>
      </w:tr>
      <w:tr>
        <w:trPr>
          <w:trHeight w:val="184"/>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Victor Tong, Jr.</w:t>
            </w:r>
          </w:p>
        </w:tc>
        <w:tc>
          <w:tcPr>
            <w:tcW w:w="1300" w:type="dxa"/>
            <w:vAlign w:val="bottom"/>
          </w:tcPr>
          <w:p>
            <w:pPr>
              <w:spacing w:after="0"/>
              <w:rPr>
                <w:sz w:val="15"/>
                <w:szCs w:val="15"/>
                <w:color w:val="auto"/>
              </w:rPr>
            </w:pPr>
          </w:p>
        </w:tc>
        <w:tc>
          <w:tcPr>
            <w:tcW w:w="6280" w:type="dxa"/>
            <w:vAlign w:val="bottom"/>
          </w:tcPr>
          <w:p>
            <w:pPr>
              <w:spacing w:after="0"/>
              <w:rPr>
                <w:sz w:val="15"/>
                <w:szCs w:val="15"/>
                <w:color w:val="auto"/>
              </w:rPr>
            </w:pPr>
          </w:p>
        </w:tc>
      </w:tr>
      <w:tr>
        <w:trPr>
          <w:trHeight w:val="903"/>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8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154</w:t>
            </w:r>
          </w:p>
        </w:tc>
      </w:tr>
      <w:tr>
        <w:trPr>
          <w:trHeight w:val="763"/>
        </w:trPr>
        <w:tc>
          <w:tcPr>
            <w:tcW w:w="36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56" w:name="page157"/>
    <w:bookmarkEnd w:id="156"/>
    <w:p>
      <w:pPr>
        <w:ind w:left="1026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CG O</w:t>
      </w:r>
      <w:r>
        <w:rPr>
          <w:rFonts w:ascii="Times New Roman" w:cs="Times New Roman" w:eastAsia="Times New Roman" w:hAnsi="Times New Roman"/>
          <w:sz w:val="15"/>
          <w:szCs w:val="15"/>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AMENDED AND RESTATED NON-EMPLOYEE DIRECTOR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5"/>
          <w:szCs w:val="15"/>
          <w:b w:val="1"/>
          <w:bCs w:val="1"/>
          <w:color w:val="auto"/>
        </w:rPr>
        <w:t xml:space="preserve">OMPENSATION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ROGRAM</w:t>
      </w:r>
    </w:p>
    <w:p>
      <w:pPr>
        <w:spacing w:after="0" w:line="23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Non-employee members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CG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receive cash and equity compensation as set forth in this Amended and Restated Non-Employee Director Compensation Program (this “</w:t>
      </w:r>
      <w:r>
        <w:rPr>
          <w:rFonts w:ascii="Times New Roman" w:cs="Times New Roman" w:eastAsia="Times New Roman" w:hAnsi="Times New Roman"/>
          <w:sz w:val="18"/>
          <w:szCs w:val="18"/>
          <w:b w:val="1"/>
          <w:bCs w:val="1"/>
          <w:i w:val="1"/>
          <w:iCs w:val="1"/>
          <w:color w:val="auto"/>
        </w:rPr>
        <w:t>Program</w:t>
      </w:r>
      <w:r>
        <w:rPr>
          <w:rFonts w:ascii="Times New Roman" w:cs="Times New Roman" w:eastAsia="Times New Roman" w:hAnsi="Times New Roman"/>
          <w:sz w:val="18"/>
          <w:szCs w:val="18"/>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who is entitled to receive such cash or equity compensation, unless such Non-Employee Director declines the receipt of such cash or equity compensation by written notice to the Company and subject to any limits on non-employee director compensation set forth in the Equity Plan (as defined below).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 This Program became effective on the date of the effectiveness of the Company’s Registration Statement on Form S-1 relating to the initial public offering of the Company’s common stock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was subsequently amended by the Board after the Effective Date as set forth herein.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ASH</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schedule of annual retainers (the “</w:t>
      </w:r>
      <w:r>
        <w:rPr>
          <w:rFonts w:ascii="Times New Roman" w:cs="Times New Roman" w:eastAsia="Times New Roman" w:hAnsi="Times New Roman"/>
          <w:sz w:val="18"/>
          <w:szCs w:val="18"/>
          <w:b w:val="1"/>
          <w:bCs w:val="1"/>
          <w:i w:val="1"/>
          <w:iCs w:val="1"/>
          <w:color w:val="auto"/>
        </w:rPr>
        <w:t>Annual Retainers</w:t>
      </w:r>
      <w:r>
        <w:rPr>
          <w:rFonts w:ascii="Times New Roman" w:cs="Times New Roman" w:eastAsia="Times New Roman" w:hAnsi="Times New Roman"/>
          <w:sz w:val="18"/>
          <w:szCs w:val="18"/>
          <w:color w:val="auto"/>
        </w:rPr>
        <w:t>”) for the Non-Employee Directors is as follows: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Board Retainer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8"/>
                <w:szCs w:val="18"/>
                <w:color w:val="auto"/>
              </w:rPr>
            </w:pPr>
          </w:p>
        </w:tc>
      </w:tr>
      <w:tr>
        <w:trPr>
          <w:trHeight w:val="216"/>
        </w:trPr>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or Lead Independent Director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r>
      <w:tr>
        <w:trPr>
          <w:trHeight w:val="216"/>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of Audit Committee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r>
      <w:tr>
        <w:trPr>
          <w:trHeight w:val="216"/>
        </w:trPr>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Compensation Committee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of Nominating and Corporate Governance Committee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r>
      <w:tr>
        <w:trPr>
          <w:trHeight w:val="216"/>
        </w:trPr>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of Audit Committee (non-Chair)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6"/>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 of Compensation Committee (non-Chair)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r>
      <w:tr>
        <w:trPr>
          <w:trHeight w:val="234"/>
        </w:trPr>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of Nominating and Corporate Governance Committee (non-Chair)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bl>
    <w:p>
      <w:pPr>
        <w:spacing w:after="0" w:line="11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Annual Retainer paid to such Non-Employee Director shall be prorated for the portion of such calendar quarter actually served as a Non-Employee Director, or in such position, as applicable. The Board may adopt a program that allows Non-Employee Directors to defer Annual Retainers.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OMPENSATION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Each Non-Employee Director shall be granted the equity awards described below, which equity awards shall be granted under and subject to the terms and provisions of the Company’s 2024 Incentive Award Plan or any other applicable Company equity incentive plan then-maintained by the Company (the “</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and shall be subject to an equity award agreement in substantially the form previously approved by the Board for use under the Equity Plan. All applicable terms of the Equity Plan apply to this Program as if fully set forth herein, and all grants of equity awards hereby are subject in all respects to the terms of the Equity Plan and the applicable equity award 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spacing w:after="0" w:line="194"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Initial Awards</w:t>
      </w:r>
      <w:r>
        <w:rPr>
          <w:rFonts w:ascii="Times New Roman" w:cs="Times New Roman" w:eastAsia="Times New Roman" w:hAnsi="Times New Roman"/>
          <w:sz w:val="18"/>
          <w:szCs w:val="18"/>
          <w:color w:val="auto"/>
        </w:rPr>
        <w:t>. Each Non-Employee Director who is initially elected or appointed to the Board following the Effective Date shall be automatically granted stock options to purchase shares of the Company’s common stock with an aggregate Black-Scholes value of $800,000 (with the shares covered by the award rounded down to the nearest whole share) under the Equity Plan on the date of such initial election or appointment. The awards described in this Section shall be referred to as “</w:t>
      </w:r>
      <w:r>
        <w:rPr>
          <w:rFonts w:ascii="Times New Roman" w:cs="Times New Roman" w:eastAsia="Times New Roman" w:hAnsi="Times New Roman"/>
          <w:sz w:val="18"/>
          <w:szCs w:val="18"/>
          <w:b w:val="1"/>
          <w:bCs w:val="1"/>
          <w:i w:val="1"/>
          <w:iCs w:val="1"/>
          <w:color w:val="auto"/>
        </w:rPr>
        <w:t>Initial Awards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Annual Awards</w:t>
      </w:r>
      <w:r>
        <w:rPr>
          <w:rFonts w:ascii="Times New Roman" w:cs="Times New Roman" w:eastAsia="Times New Roman" w:hAnsi="Times New Roman"/>
          <w:sz w:val="18"/>
          <w:szCs w:val="18"/>
          <w:color w:val="auto"/>
        </w:rPr>
        <w:t>. A Non-Employee Director who (i) is serving on the Board as of the date of any annual meeting of the Company’s stockholders following the Effective Date, and (ii) will continue to serve as a Non-Employee Director immediately following such meeting, shall be automatically granted stock options to purchase shares of the Company’s common stock with an aggregate Black-Scholes value of $400,000 (with the shares covered by the award rounded down to the nearest whole share) under the Equity Plan on the date of such annual meeting. The awards described in this Section shall be referred to as “</w:t>
      </w:r>
      <w:r>
        <w:rPr>
          <w:rFonts w:ascii="Times New Roman" w:cs="Times New Roman" w:eastAsia="Times New Roman" w:hAnsi="Times New Roman"/>
          <w:sz w:val="18"/>
          <w:szCs w:val="18"/>
          <w:b w:val="1"/>
          <w:bCs w:val="1"/>
          <w:i w:val="1"/>
          <w:iCs w:val="1"/>
          <w:color w:val="auto"/>
        </w:rPr>
        <w:t>Annual Awards</w:t>
      </w:r>
      <w:r>
        <w:rPr>
          <w:rFonts w:ascii="Times New Roman" w:cs="Times New Roman" w:eastAsia="Times New Roman" w:hAnsi="Times New Roman"/>
          <w:sz w:val="18"/>
          <w:szCs w:val="18"/>
          <w:color w:val="auto"/>
        </w:rPr>
        <w:t>.” For the avoidance of doubt, a Non-Employee Director elected for the first time to the Board at an annual meeting of the Company’s stockholders shall only receive an Initial Award in connection with such election and shall not receive any Annual Award on the date of such meeting as well. In addition, in the event of an adjournment or postponement of any annual meeting following the time such meeting commences, the date of the annual meeting for purposes of this clause (B) shall be the date on which the business to be conducted at the annual meeting is concluded.</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Notwithstanding the foregoing, a Non-Employee Director shall have served as a Non-Employee Director for at least (6) months as of the date of any annual meeting to receive an Annual Award, unless otherwise determined by the Board; in which case, the Board may determine to grant such Non-Employee Director an Annual Award or a Prorated Annual Award (as defined below). “</w:t>
      </w:r>
      <w:r>
        <w:rPr>
          <w:rFonts w:ascii="Times New Roman" w:cs="Times New Roman" w:eastAsia="Times New Roman" w:hAnsi="Times New Roman"/>
          <w:sz w:val="18"/>
          <w:szCs w:val="18"/>
          <w:b w:val="1"/>
          <w:bCs w:val="1"/>
          <w:i w:val="1"/>
          <w:iCs w:val="1"/>
          <w:color w:val="auto"/>
        </w:rPr>
        <w:t>Prorated Annual Award</w:t>
      </w:r>
      <w:r>
        <w:rPr>
          <w:rFonts w:ascii="Times New Roman" w:cs="Times New Roman" w:eastAsia="Times New Roman" w:hAnsi="Times New Roman"/>
          <w:sz w:val="18"/>
          <w:szCs w:val="18"/>
          <w:color w:val="auto"/>
        </w:rPr>
        <w:t>” means the product determined by multiplying (i) the Annual Award, by (ii) a fraction, the numerator of which is equal to (x) 365 minus (y) the number of days that elapsed from the date of the annual meeting of the Company’s stockholders preceding the Non-Employee Director’s date of initial election or appointment to the date of such initial election or appointment, and the denominator of which is 365.</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Terms of Awards Granted to Non-Employee Directors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1154"/>
        <w:spacing w:after="0" w:line="257" w:lineRule="auto"/>
        <w:tabs>
          <w:tab w:leader="none" w:pos="13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Each Initial Award shall vest and become exercisable in substantially equal monthly installments over the three (3)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the date of the Non-Employee Director’s election or appointment to the Board, subject to the Non-Employee Director continuing in service on the Board through each such vesting date. Each Annual Award shall vest and/or become exercisable in substantially equal monthly installments over the twelve (12) months following the date of grant of such Annual Award (or, in the event the next annual meeting of the Company’s stockholders occurs prior to the first anniversary of the date of grant of such Annual Award, any remaining unvested portion of the Annual Award will vest on the date of such annual meeting of the Company’s stockholders), subject to the Non-Employee Director continuing in service on the Board through such vesting date.</w:t>
      </w:r>
    </w:p>
    <w:p>
      <w:pPr>
        <w:spacing w:after="0" w:line="74" w:lineRule="exact"/>
        <w:rPr>
          <w:rFonts w:ascii="Times New Roman" w:cs="Times New Roman" w:eastAsia="Times New Roman" w:hAnsi="Times New Roman"/>
          <w:sz w:val="18"/>
          <w:szCs w:val="18"/>
          <w:color w:val="auto"/>
        </w:rPr>
      </w:pPr>
    </w:p>
    <w:p>
      <w:pPr>
        <w:ind w:right="100" w:firstLine="1154"/>
        <w:spacing w:after="0" w:line="258" w:lineRule="auto"/>
        <w:tabs>
          <w:tab w:leader="none" w:pos="13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 </w:t>
      </w:r>
      <w:r>
        <w:rPr>
          <w:rFonts w:ascii="Times New Roman" w:cs="Times New Roman" w:eastAsia="Times New Roman" w:hAnsi="Times New Roman"/>
          <w:sz w:val="18"/>
          <w:szCs w:val="18"/>
          <w:color w:val="auto"/>
        </w:rPr>
        <w:t>Unless the Board otherwise determines or as otherwise provided in this clause (2), any portion of an Initial Award or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which is unvested at the time of a Non-Employee Director’s termination of service on the Board as a Non-Employee Director shall be immediately forfeited upon such termination of service and shall not thereafter become vested. All of a Non-Employee Director’s Initial Awards and Annual Awards shall vest in full upon a Non-Employee Director’s Termination of Service by reason of death or Disability and immediately prior to the occurrence of a Change in Control (as defined in the Equity Plan), to the extent outstanding at such time.</w:t>
      </w:r>
    </w:p>
    <w:p>
      <w:pPr>
        <w:spacing w:after="0" w:line="75" w:lineRule="exact"/>
        <w:rPr>
          <w:rFonts w:ascii="Times New Roman" w:cs="Times New Roman" w:eastAsia="Times New Roman" w:hAnsi="Times New Roman"/>
          <w:sz w:val="18"/>
          <w:szCs w:val="18"/>
          <w:color w:val="auto"/>
        </w:rPr>
      </w:pPr>
    </w:p>
    <w:p>
      <w:pPr>
        <w:ind w:right="200" w:firstLine="1154"/>
        <w:spacing w:after="0" w:line="267" w:lineRule="auto"/>
        <w:tabs>
          <w:tab w:leader="none" w:pos="13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Reimbursements</w:t>
      </w:r>
      <w:r>
        <w:rPr>
          <w:rFonts w:ascii="Times New Roman" w:cs="Times New Roman" w:eastAsia="Times New Roman" w:hAnsi="Times New Roman"/>
          <w:sz w:val="18"/>
          <w:szCs w:val="18"/>
          <w:color w:val="auto"/>
        </w:rPr>
        <w:t>. The Company shall reimburse each Non-Employee Director for all reasonable, documented, out-of-pocket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business expenses incurred by such Non-Employee Director in the performance of his or her duties to the Company in accordance with the Company’s applicable expense reimbursement policies and procedures as in effect from time to time.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EMPLOYMENT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Amended and Restated Employment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Arthur Kuan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effective as of January 9,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currently employs Executive as its Chief Executive Officer pursuant to an Amended and Restated Employment Agreement between Executive and the Company dated December 13, 2023 (the “</w:t>
      </w:r>
      <w:r>
        <w:rPr>
          <w:rFonts w:ascii="Times New Roman" w:cs="Times New Roman" w:eastAsia="Times New Roman" w:hAnsi="Times New Roman"/>
          <w:sz w:val="20"/>
          <w:szCs w:val="20"/>
          <w:b w:val="1"/>
          <w:bCs w:val="1"/>
          <w:i w:val="1"/>
          <w:iCs w:val="1"/>
          <w:color w:val="auto"/>
        </w:rPr>
        <w:t>Prior Agreement</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Parties desire to amend and restate the Prior Agreement on the terms and conditions set forth herein.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right="20" w:firstLine="757"/>
        <w:spacing w:after="0" w:line="269" w:lineRule="auto"/>
        <w:tabs>
          <w:tab w:leader="none" w:pos="101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Effective on the Effective Date, the Company shall employ Executive, and Executive shall be employed by the Company, for the period and in the positions set forth in this Section 1, and subject to the other terms and conditions herein provided.</w:t>
      </w:r>
    </w:p>
    <w:p>
      <w:pPr>
        <w:spacing w:after="0" w:line="15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Section 3(b)).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severance payments, benefits, awards or compensation other than as provided in this Agreement or otherwise agreed to in writing by the Company (including pursuant to the terms of any equity award agreement) or as provided by applicable law. The term of this Agreement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shall commence on the Effective Date and end on the date this Agreement is terminated under Section 3.</w:t>
      </w:r>
    </w:p>
    <w:p>
      <w:pPr>
        <w:spacing w:after="0" w:line="18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During the Term, Executive shall serve as Chairman of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and Chief Executive Officer of the Company, with such responsibilities, duties and authority normally associated with such position and as may from time to time be reasonably assigned to Executive by the Board. Executive shall report to the Board.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Executive shall be permitted to (i) manage Executive’s personal, financial and legal affairs, (ii) participate in trade associations, and (iii) serve on the board of directors of not-for-profit or tax-exempt charitable organizations or, with the consent of the Board (not to be unreasonably withheld), the board of directors of non-competitive for-profit businesses, in each case, subject to compliance with this Agreement and provided that such activities do not materially interfere with Executive’s performance of Executive’s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1126490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9" w:name="page160"/>
    <w:bookmarkEnd w:id="159"/>
    <w:p>
      <w:pPr>
        <w:jc w:val="both"/>
        <w:spacing w:after="0" w:line="246" w:lineRule="auto"/>
        <w:rPr>
          <w:sz w:val="20"/>
          <w:szCs w:val="20"/>
          <w:color w:val="auto"/>
        </w:rPr>
      </w:pPr>
      <w:r>
        <w:rPr>
          <w:rFonts w:ascii="Times New Roman" w:cs="Times New Roman" w:eastAsia="Times New Roman" w:hAnsi="Times New Roman"/>
          <w:sz w:val="20"/>
          <w:szCs w:val="20"/>
          <w:color w:val="auto"/>
        </w:rPr>
        <w:t>and responsibilities hereunder. Executive agrees to observe and comply with the reasonable rules and policies of the Company as adopted by the Company from time to time (to the extent they do not conflict with the terms of this Agreement), in each case, as amended from time to time, and as delivered or made available to Executive (each, a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Pursuant to the Prior Agreement, the Company appointed Executive to the Board and shall renominate Executive to the Board upon expiration of his Board term during the Term. Executive’s continued employment shall not be a condition to continued service by Executive on the Board.</w:t>
      </w:r>
    </w:p>
    <w:p>
      <w:pPr>
        <w:spacing w:after="0" w:line="185" w:lineRule="exact"/>
        <w:rPr>
          <w:sz w:val="20"/>
          <w:szCs w:val="20"/>
          <w:color w:val="auto"/>
        </w:rPr>
      </w:pPr>
    </w:p>
    <w:p>
      <w:pPr>
        <w:jc w:val="both"/>
        <w:ind w:firstLine="757"/>
        <w:spacing w:after="0" w:line="249" w:lineRule="auto"/>
        <w:tabs>
          <w:tab w:leader="none" w:pos="114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Principal Location</w:t>
      </w:r>
      <w:r>
        <w:rPr>
          <w:rFonts w:ascii="Times New Roman" w:cs="Times New Roman" w:eastAsia="Times New Roman" w:hAnsi="Times New Roman"/>
          <w:sz w:val="20"/>
          <w:szCs w:val="20"/>
          <w:color w:val="auto"/>
        </w:rPr>
        <w:t xml:space="preserve">. During the Term, Executive shall perform the services required by this Agreement at his home office in the Dallas, Texas area and, as reasonably required, the Company’s offices located in Irvine and/or Emeryville, California,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Parties acknowledge and agree that Executive may be required to travel to other locations as may be necessary to fulfill Executive’s duties and responsibilities hereunder.</w:t>
      </w:r>
    </w:p>
    <w:p>
      <w:pPr>
        <w:spacing w:after="0" w:line="189"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9"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Executive shall receive a base salary at a rate of $690,000 per annum, which shall be paid in accordance with the customary payroll practices of the Company and shall be pro-rated for partial years of employment. Such annual base salary shall be reviewed (and may be adjusted for increase, but not decrease) from time to time (such annual base salary, as it may be adjusted from time to time, the “</w:t>
      </w:r>
      <w:r>
        <w:rPr>
          <w:rFonts w:ascii="Times New Roman" w:cs="Times New Roman" w:eastAsia="Times New Roman" w:hAnsi="Times New Roman"/>
          <w:sz w:val="20"/>
          <w:szCs w:val="20"/>
          <w:b w:val="1"/>
          <w:bCs w:val="1"/>
          <w:i w:val="1"/>
          <w:iCs w:val="1"/>
          <w:color w:val="auto"/>
        </w:rPr>
        <w:t>Annual Base Salary</w:t>
      </w:r>
      <w:r>
        <w:rPr>
          <w:rFonts w:ascii="Times New Roman" w:cs="Times New Roman" w:eastAsia="Times New Roman" w:hAnsi="Times New Roman"/>
          <w:sz w:val="20"/>
          <w:szCs w:val="20"/>
          <w:color w:val="auto"/>
        </w:rPr>
        <w:t>”) by the Board or its compensation committee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 Opportunity</w:t>
      </w:r>
      <w:r>
        <w:rPr>
          <w:rFonts w:ascii="Times New Roman" w:cs="Times New Roman" w:eastAsia="Times New Roman" w:hAnsi="Times New Roman"/>
          <w:sz w:val="20"/>
          <w:szCs w:val="20"/>
          <w:color w:val="auto"/>
        </w:rPr>
        <w:t>. During the Term, Executive will be eligible to participate in an annual incentive program established by the Board or Compensation Committee with target level annual incentive compensation opportunities as may be determined by the Board or Compensation Committee from time to time, but with an annual “target level” incentive bonus opportunity (the “</w:t>
      </w:r>
      <w:r>
        <w:rPr>
          <w:rFonts w:ascii="Times New Roman" w:cs="Times New Roman" w:eastAsia="Times New Roman" w:hAnsi="Times New Roman"/>
          <w:sz w:val="20"/>
          <w:szCs w:val="20"/>
          <w:b w:val="1"/>
          <w:bCs w:val="1"/>
          <w:i w:val="1"/>
          <w:iCs w:val="1"/>
          <w:color w:val="auto"/>
        </w:rPr>
        <w:t>Target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Bonus</w:t>
      </w:r>
      <w:r>
        <w:rPr>
          <w:rFonts w:ascii="Times New Roman" w:cs="Times New Roman" w:eastAsia="Times New Roman" w:hAnsi="Times New Roman"/>
          <w:sz w:val="20"/>
          <w:szCs w:val="20"/>
          <w:color w:val="auto"/>
        </w:rPr>
        <w:t>”) that is not less than 60% of the Annual Base Salary. The annual bonus payable under the incentive program (“</w:t>
      </w:r>
      <w:r>
        <w:rPr>
          <w:rFonts w:ascii="Times New Roman" w:cs="Times New Roman" w:eastAsia="Times New Roman" w:hAnsi="Times New Roman"/>
          <w:sz w:val="20"/>
          <w:szCs w:val="20"/>
          <w:b w:val="1"/>
          <w:bCs w:val="1"/>
          <w:i w:val="1"/>
          <w:iCs w:val="1"/>
          <w:color w:val="auto"/>
        </w:rPr>
        <w:t>Annual Bonus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be based on the achievement of performance goals or such other criteria as may be determined by the Board or Compensation Committee. The payment of any Annual Bonus pursuant to the incentive program shall be subject to Executive’s continued employment with the Company through the date of payment, except as otherwise provided in Section 4. The Annual Bonus shall be paid to Executive when paid generally to other senior executives of the Company, but in any event, to the extent determinable as of such time, not later than March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of the year immediately following the applicable year for which such Annual Bonus is being paid.</w:t>
      </w:r>
    </w:p>
    <w:p>
      <w:pPr>
        <w:spacing w:after="0" w:line="18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 During the Term, Executive will be eligible to participate and receive awards under the Company’s equity plans as in effect from time to time.</w:t>
      </w:r>
    </w:p>
    <w:p>
      <w:pPr>
        <w:spacing w:after="0" w:line="15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During the Term,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on the same terms and conditions as those applicable to similarly situated senior executives. In addition, during the Term, Executive shall be eligible to participate in any retirement, savings and other employee benefit plans and programs maintained from time to time by the Company for the benefit of its senior executive officers. Nothing contained in this Section 2(d) shall create or be deemed to create any obligation on the part of the Company to adopt or maintain any health, welfare, retirement or other benefit</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color w:val="auto"/>
        </w:rPr>
        <w:t>plan or program at any time or to create any limitation on the Company’s ability to modify or terminate any such plan or program.</w:t>
      </w:r>
    </w:p>
    <w:p>
      <w:pPr>
        <w:spacing w:after="0" w:line="216" w:lineRule="exact"/>
        <w:rPr>
          <w:sz w:val="20"/>
          <w:szCs w:val="20"/>
          <w:color w:val="auto"/>
        </w:rPr>
      </w:pPr>
    </w:p>
    <w:p>
      <w:pPr>
        <w:jc w:val="both"/>
        <w:ind w:firstLine="757"/>
        <w:spacing w:after="0" w:line="249"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 or Paid Time Off</w:t>
      </w:r>
      <w:r>
        <w:rPr>
          <w:rFonts w:ascii="Times New Roman" w:cs="Times New Roman" w:eastAsia="Times New Roman" w:hAnsi="Times New Roman"/>
          <w:sz w:val="20"/>
          <w:szCs w:val="20"/>
          <w:color w:val="auto"/>
        </w:rPr>
        <w:t>. During the Term, Executive shall be entitled to paid personal leave in accordance with the Company’s Policies applicable to similarly situated executives. Any vacation or paid time off shall be taken in the reasonable convenience of Executive. Through the Company’s paid time-off policies Executive will receive paid sick leave as required by state and any applicable local laws.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Travel and Expense Reimbursement Policy.</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and D&amp;O Insurance</w:t>
      </w:r>
      <w:r>
        <w:rPr>
          <w:rFonts w:ascii="Times New Roman" w:cs="Times New Roman" w:eastAsia="Times New Roman" w:hAnsi="Times New Roman"/>
          <w:sz w:val="20"/>
          <w:szCs w:val="20"/>
          <w:color w:val="auto"/>
        </w:rPr>
        <w:t>. The Company shall indemnify Executive (and advance expenses to Executive) to the greatest extent permitted by applicable state law and shall provide Executive with coverage under a directors’ and officers’ liability insurance policy to the same extent provided to other senior executives and directors of the Company.</w:t>
      </w:r>
    </w:p>
    <w:p>
      <w:pPr>
        <w:spacing w:after="0" w:line="184"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 of Employment</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9" w:lineRule="exact"/>
        <w:rPr>
          <w:sz w:val="20"/>
          <w:szCs w:val="20"/>
          <w:color w:val="auto"/>
        </w:rPr>
      </w:pPr>
    </w:p>
    <w:p>
      <w:pPr>
        <w:ind w:left="1020" w:hanging="263"/>
        <w:spacing w:after="0"/>
        <w:tabs>
          <w:tab w:leader="none" w:pos="10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 Executive’s</w:t>
      </w:r>
    </w:p>
    <w:p>
      <w:pPr>
        <w:spacing w:after="0" w:line="2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w:t>
      </w:r>
    </w:p>
    <w:p>
      <w:pPr>
        <w:spacing w:after="0" w:line="18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215"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51"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5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0"/>
          <w:szCs w:val="20"/>
          <w:b w:val="1"/>
          <w:bCs w:val="1"/>
          <w:i w:val="1"/>
          <w:iCs w:val="1"/>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Termination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both"/>
        <w:spacing w:after="0" w:line="244" w:lineRule="auto"/>
        <w:rPr>
          <w:sz w:val="20"/>
          <w:szCs w:val="20"/>
          <w:color w:val="auto"/>
        </w:rPr>
      </w:pPr>
      <w:r>
        <w:rPr>
          <w:rFonts w:ascii="Times New Roman" w:cs="Times New Roman" w:eastAsia="Times New Roman" w:hAnsi="Times New Roman"/>
          <w:sz w:val="20"/>
          <w:szCs w:val="20"/>
          <w:color w:val="auto"/>
        </w:rPr>
        <w:t>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86" w:lineRule="exact"/>
        <w:rPr>
          <w:sz w:val="20"/>
          <w:szCs w:val="20"/>
          <w:color w:val="auto"/>
        </w:rPr>
      </w:pPr>
    </w:p>
    <w:p>
      <w:pPr>
        <w:jc w:val="both"/>
        <w:ind w:firstLine="757"/>
        <w:spacing w:after="0" w:line="264" w:lineRule="auto"/>
        <w:tabs>
          <w:tab w:leader="none" w:pos="1018"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Obligations upon Termination</w:t>
      </w:r>
      <w:r>
        <w:rPr>
          <w:rFonts w:ascii="Times New Roman" w:cs="Times New Roman" w:eastAsia="Times New Roman" w:hAnsi="Times New Roman"/>
          <w:sz w:val="19"/>
          <w:szCs w:val="19"/>
          <w:color w:val="auto"/>
        </w:rPr>
        <w:t xml:space="preserve">. Upon termination of Executive’s employment pursuant to any of the circumstances listed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Executive (or Executive’s estate, if applicable) shall be entitled to receive the following (the “</w:t>
      </w:r>
      <w:r>
        <w:rPr>
          <w:rFonts w:ascii="Times New Roman" w:cs="Times New Roman" w:eastAsia="Times New Roman" w:hAnsi="Times New Roman"/>
          <w:sz w:val="19"/>
          <w:szCs w:val="19"/>
          <w:b w:val="1"/>
          <w:bCs w:val="1"/>
          <w:i w:val="1"/>
          <w:iCs w:val="1"/>
          <w:color w:val="auto"/>
        </w:rPr>
        <w:t>Accrued Obligations</w:t>
      </w:r>
      <w:r>
        <w:rPr>
          <w:rFonts w:ascii="Times New Roman" w:cs="Times New Roman" w:eastAsia="Times New Roman" w:hAnsi="Times New Roman"/>
          <w:sz w:val="19"/>
          <w:szCs w:val="19"/>
          <w:color w:val="auto"/>
        </w:rPr>
        <w:t>”):</w:t>
      </w:r>
    </w:p>
    <w:p>
      <w:pPr>
        <w:jc w:val="both"/>
        <w:ind w:firstLine="8"/>
        <w:spacing w:after="0"/>
        <w:tabs>
          <w:tab w:leader="none" w:pos="25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Executive’s Annual Base Salary earned through the Date of Termination, but not yet paid to Executive (payable on the Company’s next payroll date or such earlier date as required by applicable law); (ii) any expense reimbursements owed to Executive pursuant to Section 2(f), payable pursuant to the applicable policy;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0"/>
          <w:szCs w:val="20"/>
          <w:b w:val="1"/>
          <w:bCs w:val="1"/>
          <w:i w:val="1"/>
          <w:iCs w:val="1"/>
          <w:color w:val="auto"/>
        </w:rPr>
        <w:t>Company Arrangements</w:t>
      </w:r>
      <w:r>
        <w:rPr>
          <w:rFonts w:ascii="Times New Roman" w:cs="Times New Roman" w:eastAsia="Times New Roman" w:hAnsi="Times New Roman"/>
          <w:sz w:val="20"/>
          <w:szCs w:val="20"/>
          <w:color w:val="auto"/>
        </w:rPr>
        <w:t>”). Except as otherwise expressly required by law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COBRA) or applicable Company Arrangement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for severance benefits shall be to receive the payments and benefits described in this Section 3(c) or Section 4, as applicable.</w:t>
      </w:r>
    </w:p>
    <w:p>
      <w:pPr>
        <w:spacing w:after="0" w:line="189" w:lineRule="exact"/>
        <w:rPr>
          <w:rFonts w:ascii="Times New Roman" w:cs="Times New Roman" w:eastAsia="Times New Roman" w:hAnsi="Times New Roman"/>
          <w:sz w:val="20"/>
          <w:szCs w:val="20"/>
          <w:color w:val="auto"/>
        </w:rPr>
      </w:pPr>
    </w:p>
    <w:p>
      <w:pPr>
        <w:ind w:firstLine="757"/>
        <w:spacing w:after="0" w:line="295" w:lineRule="auto"/>
        <w:tabs>
          <w:tab w:leader="none" w:pos="1018"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Deemed Resignation</w:t>
      </w:r>
      <w:r>
        <w:rPr>
          <w:rFonts w:ascii="Times New Roman" w:cs="Times New Roman" w:eastAsia="Times New Roman" w:hAnsi="Times New Roman"/>
          <w:sz w:val="19"/>
          <w:szCs w:val="19"/>
          <w:color w:val="auto"/>
        </w:rPr>
        <w:t>. Upon termination of Executive’s employment for any reason, Executive shall be deemed to have resigned from all offices and directorships, if any, then held with the Company or any of its subsidiaries, other than his position on the Board.</w:t>
      </w:r>
    </w:p>
    <w:p>
      <w:pPr>
        <w:spacing w:after="0" w:line="137" w:lineRule="exact"/>
        <w:rPr>
          <w:rFonts w:ascii="Times New Roman" w:cs="Times New Roman" w:eastAsia="Times New Roman" w:hAnsi="Times New Roman"/>
          <w:sz w:val="19"/>
          <w:szCs w:val="19"/>
          <w:color w:val="auto"/>
        </w:rPr>
      </w:pPr>
    </w:p>
    <w:p>
      <w:pPr>
        <w:jc w:val="both"/>
        <w:ind w:firstLine="757"/>
        <w:spacing w:after="0" w:line="242" w:lineRule="auto"/>
        <w:tabs>
          <w:tab w:leader="none" w:pos="101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Upon termination of Executive’s employment for any reason, unless otherwise specified in a written agreement between Executive and the Company, Executive agrees to return to the Company all documents of the Company and its affiliates (and all copies thereof) and all other Company or Company affiliate property that Executive has in his possession, custody, or control. Such property includes, without limitation: (i) any materials of any kind that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spacing w:after="0" w:line="202"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9" w:lineRule="auto"/>
        <w:tabs>
          <w:tab w:leader="none" w:pos="1018"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Resignation from the Company Without Good Reason or Resignation from the Company for Good Reason Prior to a Change in Control or More Than Eighteen (18) Months Following a Change in Control</w:t>
      </w:r>
      <w:r>
        <w:rPr>
          <w:rFonts w:ascii="Times New Roman" w:cs="Times New Roman" w:eastAsia="Times New Roman" w:hAnsi="Times New Roman"/>
          <w:sz w:val="20"/>
          <w:szCs w:val="20"/>
          <w:color w:val="auto"/>
        </w:rPr>
        <w:t>. If Executive’s employment shall terminate as a result of Executive’s death pursuant to Section 3(a)(i) or Disability pursuant to Section</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jc w:val="both"/>
        <w:spacing w:after="0" w:line="249" w:lineRule="auto"/>
        <w:rPr>
          <w:sz w:val="20"/>
          <w:szCs w:val="20"/>
          <w:color w:val="auto"/>
        </w:rPr>
      </w:pPr>
      <w:r>
        <w:rPr>
          <w:rFonts w:ascii="Times New Roman" w:cs="Times New Roman" w:eastAsia="Times New Roman" w:hAnsi="Times New Roman"/>
          <w:sz w:val="20"/>
          <w:szCs w:val="20"/>
          <w:color w:val="auto"/>
        </w:rPr>
        <w:t>3(a)(ii), pursuant to Section 3(a)(iii)for Cause, pursuant to Section 3(a)(vi) for Executive’s resignation from the Company without Good Reason, or pursuant to Section 3(a)(v) for Executive’s resignation from the Company with Good Reason (if such resignation for Good Reason occurs prior to a Change in Control or more than eighteen (18) months following a Change in Control), then Executive shall not be entitled to any severance payments or benefits, except for the Accrued Obligations as provided in Section 3(c).</w:t>
      </w:r>
    </w:p>
    <w:p>
      <w:pPr>
        <w:spacing w:after="0" w:line="180" w:lineRule="exact"/>
        <w:rPr>
          <w:sz w:val="20"/>
          <w:szCs w:val="20"/>
          <w:color w:val="auto"/>
        </w:rPr>
      </w:pPr>
    </w:p>
    <w:p>
      <w:pPr>
        <w:jc w:val="both"/>
        <w:ind w:firstLine="757"/>
        <w:spacing w:after="0" w:line="246" w:lineRule="auto"/>
        <w:tabs>
          <w:tab w:leader="none" w:pos="10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Prior to a Change in Control or More Than Eighteen (18) Months Following a Change in Control</w:t>
      </w:r>
      <w:r>
        <w:rPr>
          <w:rFonts w:ascii="Times New Roman" w:cs="Times New Roman" w:eastAsia="Times New Roman" w:hAnsi="Times New Roman"/>
          <w:sz w:val="20"/>
          <w:szCs w:val="20"/>
          <w:color w:val="auto"/>
        </w:rPr>
        <w:t>. If Executive’s employment terminates without Cause pursuant to Section 3(a)(iv), and such termination without Cause occurs prior to a Change in Control or more than eighteen (18) months following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1.5 times Executive’s Annual Base Salary as in effect immediately prior to the Date of Termination, payable in a lump sum on the first regular payroll date following the effective date of Executive’s Release (as defined below);</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204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then the Company shall directly pay, or reimburse Executive for, the COBRA premiums for Executive and Executive’s covered dependents under such plans during the period commencing on Executive’s Separation from Service and ending upon the earliest of (A) the last day of the eighteen (18)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0"/>
          <w:szCs w:val="20"/>
          <w:b w:val="1"/>
          <w:bCs w:val="1"/>
          <w:i w:val="1"/>
          <w:iCs w:val="1"/>
          <w:color w:val="auto"/>
        </w:rPr>
        <w:t>COBRA Continuation Period</w:t>
      </w:r>
      <w:r>
        <w:rPr>
          <w:rFonts w:ascii="Times New Roman" w:cs="Times New Roman" w:eastAsia="Times New Roman" w:hAnsi="Times New Roman"/>
          <w:sz w:val="20"/>
          <w:szCs w:val="20"/>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COBRA Continuation Period;</w:t>
      </w:r>
    </w:p>
    <w:p>
      <w:pPr>
        <w:spacing w:after="0" w:line="19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prorated for the portion of the year in which Executive’s Date of Termination occurs that has elapsed through the Date of Termination, payable in a lump sum on the first regular payroll date following the effective date of Executive’s Release (but in no event later than March 15 of the calendar year following the year in which Executive’s Date of Termination occurs); and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number of the outstanding, unvested Company equity awards held by Executive under any Company equity compensation plans as would have vested during the eighteen (18) months following the date of Executive’s Separation from Service had Executive continued in employment or service with the Company during such period shall immediately become vested on</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ind w:left="360"/>
        <w:spacing w:after="0" w:line="273" w:lineRule="auto"/>
        <w:rPr>
          <w:sz w:val="20"/>
          <w:szCs w:val="20"/>
          <w:color w:val="auto"/>
        </w:rPr>
      </w:pPr>
      <w:r>
        <w:rPr>
          <w:rFonts w:ascii="Times New Roman" w:cs="Times New Roman" w:eastAsia="Times New Roman" w:hAnsi="Times New Roman"/>
          <w:sz w:val="20"/>
          <w:szCs w:val="20"/>
          <w:color w:val="auto"/>
        </w:rPr>
        <w:t xml:space="preserve">the effectiveness of the Release,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performance-based equity award will remain subject to attainment of the relevant performance goals unless a more favorable or alternative provision is contained in an applicable award agreement.</w:t>
      </w:r>
    </w:p>
    <w:p>
      <w:pPr>
        <w:spacing w:after="0" w:line="156" w:lineRule="exact"/>
        <w:rPr>
          <w:sz w:val="20"/>
          <w:szCs w:val="20"/>
          <w:color w:val="auto"/>
        </w:rPr>
      </w:pPr>
    </w:p>
    <w:p>
      <w:pPr>
        <w:jc w:val="both"/>
        <w:ind w:left="-400" w:firstLine="757"/>
        <w:spacing w:after="0" w:line="246" w:lineRule="auto"/>
        <w:tabs>
          <w:tab w:leader="none" w:pos="61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lieu of the payments and benefits set forth in Section 4(b), in the event Executive’s employment terminates without Cause pursuant to Section 3(a)(iv), or pursuant to Section 3(a)(v) due to Executive’s resignation with Good Reason, in either case, on or within eighteen (18) months following the date of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164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2.0 times Executive’s Annual Base Salary as in effect immediately prior to the Date of Termination (and without regard to any reduction in Annual Base Salary that resulted in Executive’s resignation with Good Reason), payable in a lump sum on the first regular payroll date following the effective date of Executive’s Release;</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164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payable in a lump sum on the first regular payroll date following the effective date of Executive’s Release (but in no event later than March 15 of the calendar year following the year in which Executive’s Date of Termination occurs);</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1" w:lineRule="auto"/>
        <w:tabs>
          <w:tab w:leader="none" w:pos="164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during the period commencing on Executive’s Separation from Service and ending upon the earliest of (A) the last day of the twenty-four (24)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0"/>
          <w:szCs w:val="20"/>
          <w:b w:val="1"/>
          <w:bCs w:val="1"/>
          <w:i w:val="1"/>
          <w:iCs w:val="1"/>
          <w:color w:val="auto"/>
        </w:rPr>
        <w:t>CIC COBRA Continuation Period</w:t>
      </w:r>
      <w:r>
        <w:rPr>
          <w:rFonts w:ascii="Times New Roman" w:cs="Times New Roman" w:eastAsia="Times New Roman" w:hAnsi="Times New Roman"/>
          <w:sz w:val="20"/>
          <w:szCs w:val="20"/>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CIC COBRA Continuation Period; and</w:t>
      </w:r>
    </w:p>
    <w:p>
      <w:pPr>
        <w:spacing w:after="0" w:line="19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164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outstanding, unvested Company equity awards held by Executive under any Company equity compensation plans shall immediately become 100% vested on the effectiveness of the Release,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performance-based equity award will remain subject to attainment of the relevant performance goals unless a more favorable or alternative provision is contained in an applicable award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850265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9" w:right="339" w:bottom="1440" w:gutter="0" w:footer="0" w:header="0"/>
        </w:sectPr>
      </w:pPr>
    </w:p>
    <w:bookmarkStart w:id="164" w:name="page165"/>
    <w:bookmarkEnd w:id="164"/>
    <w:p>
      <w:pPr>
        <w:jc w:val="both"/>
        <w:ind w:left="-8" w:firstLine="757"/>
        <w:spacing w:after="0" w:line="245" w:lineRule="auto"/>
        <w:tabs>
          <w:tab w:leader="none" w:pos="101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Notwithstanding the foregoing, it shall be a condition to the Executive’s right to receive the amounts provided for in Sections 4(b) and 4(c) hereof that the Executive execute and deliver to the Company an effective release of claims in substantially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within 21 days (or, to the extent required by law, 45 days) following the Date of Termination and that the Executive not revoke such Release during any applicable revocation period. For the avoidance of doubt, all equity awards eligible for accelerated vesting pursuant to this Section 4 shall remain outstanding and eligible to vest following the Date of Termination and shall actually vest and become exercisable (if applicable) and non-forfeitable upon the effectiveness of the Release.</w:t>
      </w:r>
    </w:p>
    <w:p>
      <w:pPr>
        <w:spacing w:after="0" w:line="184" w:lineRule="exact"/>
        <w:rPr>
          <w:rFonts w:ascii="Times New Roman" w:cs="Times New Roman" w:eastAsia="Times New Roman" w:hAnsi="Times New Roman"/>
          <w:sz w:val="20"/>
          <w:szCs w:val="20"/>
          <w:color w:val="auto"/>
        </w:rPr>
      </w:pPr>
    </w:p>
    <w:p>
      <w:pPr>
        <w:jc w:val="both"/>
        <w:ind w:left="-8" w:firstLine="757"/>
        <w:spacing w:after="0" w:line="244" w:lineRule="auto"/>
        <w:tabs>
          <w:tab w:leader="none" w:pos="115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In the event of a termination of Executive’s employment with the Company, Executive’s sole remedy shall be to receive the payments and benefits described in this Section 4. In addition, Executive acknowledges and agrees that 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state statute.</w:t>
      </w:r>
    </w:p>
    <w:p>
      <w:pPr>
        <w:spacing w:after="0" w:line="195" w:lineRule="exact"/>
        <w:rPr>
          <w:rFonts w:ascii="Times New Roman" w:cs="Times New Roman" w:eastAsia="Times New Roman" w:hAnsi="Times New Roman"/>
          <w:sz w:val="20"/>
          <w:szCs w:val="20"/>
          <w:color w:val="auto"/>
        </w:rPr>
      </w:pPr>
    </w:p>
    <w:p>
      <w:pPr>
        <w:ind w:left="512" w:hanging="512"/>
        <w:spacing w:after="0"/>
        <w:tabs>
          <w:tab w:leader="none" w:pos="512"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left="-8" w:firstLine="757"/>
        <w:spacing w:after="0" w:line="249" w:lineRule="auto"/>
        <w:tabs>
          <w:tab w:leader="none" w:pos="101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hereby acknowledges that Executive has previously entered into the Company’s standard form of agreement containing confidentiality, intellectual property assignment and other protective covenants (the “</w:t>
      </w:r>
      <w:r>
        <w:rPr>
          <w:rFonts w:ascii="Times New Roman" w:cs="Times New Roman" w:eastAsia="Times New Roman" w:hAnsi="Times New Roman"/>
          <w:sz w:val="20"/>
          <w:szCs w:val="20"/>
          <w:b w:val="1"/>
          <w:bCs w:val="1"/>
          <w:i w:val="1"/>
          <w:iCs w:val="1"/>
          <w:color w:val="auto"/>
        </w:rPr>
        <w:t>Restrictive Covenant Agreement</w:t>
      </w:r>
      <w:r>
        <w:rPr>
          <w:rFonts w:ascii="Times New Roman" w:cs="Times New Roman" w:eastAsia="Times New Roman" w:hAnsi="Times New Roman"/>
          <w:sz w:val="20"/>
          <w:szCs w:val="20"/>
          <w:color w:val="auto"/>
        </w:rPr>
        <w:t xml:space="preserve">”), a copy of which is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that Executive shall continue to be bound by the terms and conditions of the Restrictive Covenant Agreement, and that such agreement shall be additional to, and not in limitation of, the covenants contained in this Section 5.</w:t>
      </w:r>
    </w:p>
    <w:p>
      <w:pPr>
        <w:spacing w:after="0" w:line="179" w:lineRule="exact"/>
        <w:rPr>
          <w:rFonts w:ascii="Times New Roman" w:cs="Times New Roman" w:eastAsia="Times New Roman" w:hAnsi="Times New Roman"/>
          <w:sz w:val="20"/>
          <w:szCs w:val="20"/>
          <w:color w:val="auto"/>
        </w:rPr>
      </w:pPr>
    </w:p>
    <w:p>
      <w:pPr>
        <w:jc w:val="both"/>
        <w:ind w:left="-8" w:firstLine="757"/>
        <w:spacing w:after="0" w:line="243" w:lineRule="auto"/>
        <w:tabs>
          <w:tab w:leader="none" w:pos="101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shall hold in a fiduciary capacity for the benefit of the Company all secret or confidential information, knowledge or data relating to the Company and its subsidiaries and affiliates, which shall have been obtained by Executive in connection with Executive’s employment by the Company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Executive receives actual notice that Executive is or may be required by law or legal process to communicate or divulge any such information, knowledge or data, Executive shall promptly so notify the Company.</w:t>
      </w:r>
    </w:p>
    <w:p>
      <w:pPr>
        <w:spacing w:after="0" w:line="189" w:lineRule="exact"/>
        <w:rPr>
          <w:rFonts w:ascii="Times New Roman" w:cs="Times New Roman" w:eastAsia="Times New Roman" w:hAnsi="Times New Roman"/>
          <w:sz w:val="20"/>
          <w:szCs w:val="20"/>
          <w:color w:val="auto"/>
        </w:rPr>
      </w:pPr>
    </w:p>
    <w:p>
      <w:pPr>
        <w:jc w:val="both"/>
        <w:ind w:left="-8" w:firstLine="757"/>
        <w:spacing w:after="0" w:line="243" w:lineRule="auto"/>
        <w:tabs>
          <w:tab w:leader="none" w:pos="101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employed by the Company, Executive shall not be engaged in any other business activity that would be competitive with the business of the Company and its subsidiaries or affiliates. In addition, while employed by the Company and for a period of twelve (12) months after the Date of Termination, Executive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Executive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w:t>
      </w:r>
    </w:p>
    <w:p>
      <w:pPr>
        <w:spacing w:after="0" w:line="189"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850265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65" w:name="page166"/>
    <w:bookmarkEnd w:id="165"/>
    <w:p>
      <w:pPr>
        <w:jc w:val="both"/>
        <w:ind w:left="-8" w:firstLine="757"/>
        <w:spacing w:after="0" w:line="244" w:lineRule="auto"/>
        <w:tabs>
          <w:tab w:leader="none" w:pos="101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5(f), during Executive’s service with the Company and thereafter, excepting any litigation between the Parties, (i) Executive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 and (ii) the Company agrees to instruct its directors and executive officers not to publish or disseminate, directly or indirectly, any statements, whether written or oral, that are or could be harmful to or reflect negatively on Executive’s personal or business reputation or business.</w:t>
      </w:r>
    </w:p>
    <w:p>
      <w:pPr>
        <w:spacing w:after="0" w:line="185" w:lineRule="exact"/>
        <w:rPr>
          <w:rFonts w:ascii="Times New Roman" w:cs="Times New Roman" w:eastAsia="Times New Roman" w:hAnsi="Times New Roman"/>
          <w:sz w:val="20"/>
          <w:szCs w:val="20"/>
          <w:color w:val="auto"/>
        </w:rPr>
      </w:pPr>
    </w:p>
    <w:p>
      <w:pPr>
        <w:jc w:val="both"/>
        <w:ind w:left="-8" w:firstLine="757"/>
        <w:spacing w:after="0" w:line="245" w:lineRule="auto"/>
        <w:tabs>
          <w:tab w:leader="none" w:pos="101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recognition of the fact that irreparable injury will result to the Company in the event of a breach by Executive of his obligations under Sections 5(a)-(d) hereof, that monetary damages for such breach would not be readily calculable, and that the Company would not have an adequate remedy at law therefor,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Executive and to cease the payment of any benefits under Section 4(b) or (c) above.</w:t>
      </w:r>
    </w:p>
    <w:p>
      <w:pPr>
        <w:spacing w:after="0" w:line="184" w:lineRule="exact"/>
        <w:rPr>
          <w:rFonts w:ascii="Times New Roman" w:cs="Times New Roman" w:eastAsia="Times New Roman" w:hAnsi="Times New Roman"/>
          <w:sz w:val="20"/>
          <w:szCs w:val="20"/>
          <w:color w:val="auto"/>
        </w:rPr>
      </w:pPr>
    </w:p>
    <w:p>
      <w:pPr>
        <w:jc w:val="both"/>
        <w:ind w:left="-8" w:firstLine="757"/>
        <w:spacing w:after="0"/>
        <w:tabs>
          <w:tab w:leader="none" w:pos="101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the Restrictive Covenant Agreement to the contrary, nothing contained in this Agreement shall prohibit either party (or either party’s attorney(s))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 Further, nothing in this Agreement prevents Executive from discussing or disclosing information about unlawful acts in the workplace, such as harassment or discrimination or any other conduct that Executive has reason to believe is unlawful.</w:t>
      </w:r>
    </w:p>
    <w:p>
      <w:pPr>
        <w:spacing w:after="0" w:line="215" w:lineRule="exact"/>
        <w:rPr>
          <w:sz w:val="20"/>
          <w:szCs w:val="20"/>
          <w:color w:val="auto"/>
        </w:rPr>
      </w:pPr>
    </w:p>
    <w:p>
      <w:pPr>
        <w:ind w:left="512" w:hanging="512"/>
        <w:spacing w:after="0"/>
        <w:tabs>
          <w:tab w:leader="none" w:pos="512"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850265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66" w:name="page167"/>
    <w:bookmarkEnd w:id="166"/>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82"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215" w:lineRule="exact"/>
        <w:rPr>
          <w:rFonts w:ascii="Times New Roman" w:cs="Times New Roman" w:eastAsia="Times New Roman" w:hAnsi="Times New Roman"/>
          <w:sz w:val="20"/>
          <w:szCs w:val="20"/>
          <w:color w:val="auto"/>
        </w:rPr>
      </w:pPr>
    </w:p>
    <w:p>
      <w:pPr>
        <w:jc w:val="both"/>
        <w:ind w:firstLine="799"/>
        <w:spacing w:after="0" w:line="249" w:lineRule="auto"/>
        <w:tabs>
          <w:tab w:leader="none" w:pos="1187"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failure by Executive to substantially perform Executive’s duties with the Company (other than any such failure resulting from incapacity due to physical or mental illness), after a written demand for substantial performance is delivered to Executive by the Company or an affiliate that specifically identifies the alleged manner in which Executive has not substantially performed Executive’s duties and after Executive has been provided with a thirty (30) day cure period, or Executive’s deliberate violation of a Company policy;</w:t>
      </w:r>
    </w:p>
    <w:p>
      <w:pPr>
        <w:spacing w:after="0" w:line="193" w:lineRule="exact"/>
        <w:rPr>
          <w:rFonts w:ascii="Times New Roman" w:cs="Times New Roman" w:eastAsia="Times New Roman" w:hAnsi="Times New Roman"/>
          <w:sz w:val="20"/>
          <w:szCs w:val="20"/>
          <w:color w:val="auto"/>
        </w:rPr>
      </w:pPr>
    </w:p>
    <w:p>
      <w:pPr>
        <w:jc w:val="both"/>
        <w:ind w:firstLine="799"/>
        <w:spacing w:after="0" w:line="254" w:lineRule="auto"/>
        <w:tabs>
          <w:tab w:leader="none" w:pos="1187"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engaging by Executive in illegal conduct or misconduct (including fraud, embezzlement, theft or dishonesty or material violation of any Company policy), or gross negligence, in any case that has caused or is reasonably expected to result in injury to the Company or any affiliate;</w:t>
      </w:r>
    </w:p>
    <w:p>
      <w:pPr>
        <w:spacing w:after="0" w:line="18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or plea of no contest to, a felony or any misdemeanor crime involving fraud, moral turpitude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dishonesty;</w:t>
      </w:r>
    </w:p>
    <w:p>
      <w:pPr>
        <w:spacing w:after="0" w:line="20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material breach of any written agreement or restrictive covenants with the Company; or</w:t>
      </w:r>
    </w:p>
    <w:p>
      <w:pPr>
        <w:spacing w:after="0" w:line="229" w:lineRule="exact"/>
        <w:rPr>
          <w:rFonts w:ascii="Times New Roman" w:cs="Times New Roman" w:eastAsia="Times New Roman" w:hAnsi="Times New Roman"/>
          <w:sz w:val="20"/>
          <w:szCs w:val="20"/>
          <w:color w:val="auto"/>
        </w:rPr>
      </w:pPr>
    </w:p>
    <w:p>
      <w:pPr>
        <w:jc w:val="both"/>
        <w:ind w:firstLine="799"/>
        <w:spacing w:after="0" w:line="246" w:lineRule="auto"/>
        <w:tabs>
          <w:tab w:leader="none" w:pos="1187"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violation of any law, rule or regulation relating in any way to the business or activities of the Company or any affiliate, or other law, rule or regulation that is violated, during the course of Executive’s performance of services hereunder that results in Executive’s regulatory suspension or disqualification, including, without limitation, the Generic Drug Enforcement Act of 1992, 21 U.S.C. § 335(a), or any similar legislation applicable in the United States or in any other country where the Company or any affiliate intends to develop its activities.</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 action or inaction based upon direction of the Board or advice of counsel to the Company shall constitute Cause. Poor performance shall not, in and of itself, constitute Cause. No termination of Executive’s employment for Cause shall occur absent a resolution of the Board and the reasonable opportunity for Executive (with Executive’s counsel) to be heard before the Board.</w:t>
      </w:r>
    </w:p>
    <w:p>
      <w:pPr>
        <w:spacing w:after="0" w:line="170" w:lineRule="exact"/>
        <w:rPr>
          <w:sz w:val="20"/>
          <w:szCs w:val="20"/>
          <w:color w:val="auto"/>
        </w:rPr>
      </w:pPr>
    </w:p>
    <w:p>
      <w:pPr>
        <w:ind w:left="1020" w:hanging="263"/>
        <w:spacing w:after="0"/>
        <w:tabs>
          <w:tab w:leader="none" w:pos="10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Company’s 2024 Incentive Award Plan.</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shall mean the Internal Revenue Code of 1986, as amended, and the regulations and guidance promulgated</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jc w:val="both"/>
        <w:ind w:left="-8" w:firstLine="757"/>
        <w:spacing w:after="0" w:line="256" w:lineRule="auto"/>
        <w:tabs>
          <w:tab w:leader="none" w:pos="101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Date of Termination</w:t>
      </w:r>
      <w:r>
        <w:rPr>
          <w:rFonts w:ascii="Times New Roman" w:cs="Times New Roman" w:eastAsia="Times New Roman" w:hAnsi="Times New Roman"/>
          <w:sz w:val="20"/>
          <w:szCs w:val="20"/>
          <w:color w:val="auto"/>
        </w:rPr>
        <w:t>” shall mean (i) if Executive’s employment is terminated by Executive’s death, the date of Executive’s death; or (ii) if Executive’s employment is terminated pursuant to Section 3(a)(ii)-(vi) either the date indicated in the Notice of Termination or the date specified by the Company pursuant to Section 3(b), whichever is earlier.</w:t>
      </w:r>
    </w:p>
    <w:p>
      <w:pPr>
        <w:spacing w:after="0" w:line="168" w:lineRule="exact"/>
        <w:rPr>
          <w:rFonts w:ascii="Times New Roman" w:cs="Times New Roman" w:eastAsia="Times New Roman" w:hAnsi="Times New Roman"/>
          <w:sz w:val="20"/>
          <w:szCs w:val="20"/>
          <w:color w:val="auto"/>
        </w:rPr>
      </w:pPr>
    </w:p>
    <w:p>
      <w:pPr>
        <w:jc w:val="both"/>
        <w:ind w:left="-8" w:firstLine="757"/>
        <w:spacing w:after="0" w:line="242" w:lineRule="auto"/>
        <w:tabs>
          <w:tab w:leader="none" w:pos="101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xml:space="preserve">” shall mean, at any time the Company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reasonable accommodation, the essential functions of Executive’s positions hereunder for a total of 180 days within a 12 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93" w:lineRule="exact"/>
        <w:rPr>
          <w:rFonts w:ascii="Times New Roman" w:cs="Times New Roman" w:eastAsia="Times New Roman" w:hAnsi="Times New Roman"/>
          <w:sz w:val="20"/>
          <w:szCs w:val="20"/>
          <w:color w:val="auto"/>
        </w:rPr>
      </w:pPr>
    </w:p>
    <w:p>
      <w:pPr>
        <w:jc w:val="both"/>
        <w:ind w:left="-8" w:firstLine="757"/>
        <w:spacing w:after="0" w:line="241" w:lineRule="auto"/>
        <w:tabs>
          <w:tab w:leader="none" w:pos="101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sole purpose of determining Executive’s right to severance payments and benefits as described above, Executive’s resignation will be with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if Executive resigns within one hundred twenty (120) days after any of the following events, unless Executive expressly consents in writing to the applicable event: (i) a reduction in Executive’s Annual Base Salary or Target Bonus, other than a reduction of less than ten percent (10%) (aggregating all prior reductions) that is implemented in connection with a contemporaneous reduction in annual base salaries affecting other senior executives of the Company; (ii) a material decrease in Executive’s authority or areas of responsibility as are commensurate with Executive’s title or position with the Company (including the failure to nominate Executive to the Board); (iii) the relocation of Executive’s primary office to a location that increases Executive’s one-way commute by more than fifty (50) miles from Executive’s commute to the location at which Executive is employed prior to such change; (iv) the failure of the Board to nominate Executive for reelection to the Board or Executive’s failure to be reelected to the Board at any meeting of the Company’s stockholders or any other involuntary termination of Executive’s service as a member of the Board, unless such failure or involuntary termination is in connection with a termination for Cause; or (v)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202" w:lineRule="exact"/>
        <w:rPr>
          <w:rFonts w:ascii="Times New Roman" w:cs="Times New Roman" w:eastAsia="Times New Roman" w:hAnsi="Times New Roman"/>
          <w:sz w:val="20"/>
          <w:szCs w:val="20"/>
          <w:color w:val="auto"/>
        </w:rPr>
      </w:pPr>
    </w:p>
    <w:p>
      <w:pPr>
        <w:ind w:left="512" w:hanging="512"/>
        <w:spacing w:after="0"/>
        <w:tabs>
          <w:tab w:leader="none" w:pos="512"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left="-8" w:firstLine="757"/>
        <w:spacing w:after="0" w:line="244" w:lineRule="auto"/>
        <w:tabs>
          <w:tab w:leader="none" w:pos="1137"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Best Pay Provision</w:t>
      </w:r>
      <w:r>
        <w:rPr>
          <w:rFonts w:ascii="Times New Roman" w:cs="Times New Roman" w:eastAsia="Times New Roman" w:hAnsi="Times New Roman"/>
          <w:sz w:val="20"/>
          <w:szCs w:val="20"/>
          <w:color w:val="auto"/>
        </w:rPr>
        <w:t>. 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20"/>
          <w:szCs w:val="20"/>
          <w:b w:val="1"/>
          <w:bCs w:val="1"/>
          <w:i w:val="1"/>
          <w:iCs w:val="1"/>
          <w:color w:val="auto"/>
        </w:rPr>
        <w:t>Total Payments</w:t>
      </w:r>
      <w:r>
        <w:rPr>
          <w:rFonts w:ascii="Times New Roman" w:cs="Times New Roman" w:eastAsia="Times New Roman" w:hAnsi="Times New Roman"/>
          <w:sz w:val="20"/>
          <w:szCs w:val="20"/>
          <w:color w:val="auto"/>
        </w:rPr>
        <w:t>”) would be subject (in whole or part) to the excise tax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imposed under Section 4999 of the Code, then the Total Payments shall be reduced to the extent necessary so that no portion of the Total Payments</w:t>
      </w:r>
    </w:p>
    <w:p>
      <w:pPr>
        <w:ind w:left="39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836295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68" w:name="page169"/>
    <w:bookmarkEnd w:id="168"/>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 (x)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 (y) reduction of any other payments or benefits otherwise payable to Executive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case of clauses (x), (y) and (z), that reduction of any payments or benefits attributable to the acceleration of vesting of Company equity awards shall be first applied to equity awards with later vesting dates;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notwithstanding the foregoing, any such reduction shall be undertaken in a manner that complies with and does not result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imposition of additional taxes on Executive under Section 409A of the Code. The foregoing reductions shall be made in a manner that results in the maximum economic benefit to Executive on an after-tax basis and, to the extent economically equivalent payments or benefits are subject to reduction, in a pro rata manner.</w:t>
      </w:r>
    </w:p>
    <w:p>
      <w:pPr>
        <w:spacing w:after="0" w:line="205" w:lineRule="exact"/>
        <w:rPr>
          <w:sz w:val="20"/>
          <w:szCs w:val="20"/>
          <w:color w:val="auto"/>
        </w:rPr>
      </w:pPr>
    </w:p>
    <w:p>
      <w:pPr>
        <w:jc w:val="both"/>
        <w:ind w:firstLine="757"/>
        <w:spacing w:after="0"/>
        <w:tabs>
          <w:tab w:leader="none" w:pos="115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Determinations</w:t>
      </w:r>
      <w:r>
        <w:rPr>
          <w:rFonts w:ascii="Times New Roman" w:cs="Times New Roman" w:eastAsia="Times New Roman" w:hAnsi="Times New Roman"/>
          <w:sz w:val="20"/>
          <w:szCs w:val="20"/>
          <w:color w:val="auto"/>
        </w:rPr>
        <w:t>. All determinations regarding the application of this Section 8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0"/>
          <w:szCs w:val="20"/>
          <w:b w:val="1"/>
          <w:bCs w:val="1"/>
          <w:i w:val="1"/>
          <w:iCs w:val="1"/>
          <w:color w:val="auto"/>
        </w:rPr>
        <w:t>280G Firm</w:t>
      </w:r>
      <w:r>
        <w:rPr>
          <w:rFonts w:ascii="Times New Roman" w:cs="Times New Roman" w:eastAsia="Times New Roman" w:hAnsi="Times New Roman"/>
          <w:sz w:val="20"/>
          <w:szCs w:val="20"/>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Executive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w:t>
      </w:r>
    </w:p>
    <w:p>
      <w:pPr>
        <w:spacing w:after="0" w:line="14"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80" w:lineRule="exact"/>
        <w:rPr>
          <w:sz w:val="20"/>
          <w:szCs w:val="20"/>
          <w:color w:val="auto"/>
        </w:rPr>
      </w:pPr>
    </w:p>
    <w:p>
      <w:pPr>
        <w:jc w:val="both"/>
        <w:ind w:firstLine="757"/>
        <w:spacing w:after="0" w:line="242" w:lineRule="auto"/>
        <w:tabs>
          <w:tab w:leader="none" w:pos="114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w:t>
      </w:r>
      <w:r>
        <w:rPr>
          <w:rFonts w:ascii="Times New Roman" w:cs="Times New Roman" w:eastAsia="Times New Roman" w:hAnsi="Times New Roman"/>
          <w:sz w:val="20"/>
          <w:szCs w:val="20"/>
          <w:color w:val="auto"/>
        </w:rPr>
        <w:t>. Notwithstanding the foregoing, if any portion of the Total Payments would not be subject to the Excise Tax if the stockholder approval requirements of Section 280G(b)(5) of the Code are satisfied, subject to Executive’s waiver of the rights to such portion of the Total Payments above the safe harbor threshold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Executive under this Agreement or otherwise to the Company’s stockholders for approval in accordance with Treasury Reg. Section 1.280G-1 Q&amp;A 7, the foregoing provisions under this Section 8 shall not apply following such submission and such payments and benefits will be treated in accordance with the results of such vote, except that any reduction in, or waiver above the safe harbor threshold of, such payments or benefits required by such vote will be applied without any application of discretion by Executive and in the order prescribed in Section 8(a).</w:t>
      </w:r>
    </w:p>
    <w:p>
      <w:pPr>
        <w:spacing w:after="0" w:line="212"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State of Texas without reference to the principles of conflicts of law of the State of Texas or any other jurisdiction that would result in the application of the laws of a jurisdiction other than the State of Texas, and where applicable, the laws of the United States. Any suit brought hereon shall be brought in the state or federal courts sitting in the State of Texas, the parties hereto hereby waiving any claim or defense that such forum is not convenient or proper. Each party hereby agrees that any such court shall have in personam jurisdiction over it and consents to service of process in any manner authorized by Texas law.</w:t>
      </w:r>
    </w:p>
    <w:p>
      <w:pPr>
        <w:spacing w:after="0" w:line="18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email or certified or registered mail, postage prepaid, as follows:</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Chairman of the Board of the Company at the Company’s headquarters,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jc w:val="both"/>
        <w:ind w:left="-400" w:firstLine="757"/>
        <w:spacing w:after="0" w:line="254" w:lineRule="auto"/>
        <w:tabs>
          <w:tab w:leader="none" w:pos="61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74" w:lineRule="exact"/>
        <w:rPr>
          <w:rFonts w:ascii="Times New Roman" w:cs="Times New Roman" w:eastAsia="Times New Roman" w:hAnsi="Times New Roman"/>
          <w:sz w:val="20"/>
          <w:szCs w:val="20"/>
          <w:color w:val="auto"/>
        </w:rPr>
      </w:pPr>
    </w:p>
    <w:p>
      <w:pPr>
        <w:jc w:val="both"/>
        <w:ind w:left="-400" w:firstLine="757"/>
        <w:spacing w:after="0" w:line="244" w:lineRule="auto"/>
        <w:tabs>
          <w:tab w:leader="none" w:pos="61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the Restrictive Covenant Agreement incorporated herein by reference as set forth in Section 5, and any Release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(including the Prior Agreement). The Parties further intend that this Agreement, the Restrictive Covenant Agreement incorporated herein by reference as set forth in Section 5, and any Release shall constitute the complete and exclusive statement of their terms and that no extrinsic evidence whatsoever may be introduced in any judicial, administrative, or other legal proceeding to vary the terms of such agreements.</w:t>
      </w:r>
    </w:p>
    <w:p>
      <w:pPr>
        <w:spacing w:after="0" w:line="185" w:lineRule="exact"/>
        <w:rPr>
          <w:rFonts w:ascii="Times New Roman" w:cs="Times New Roman" w:eastAsia="Times New Roman" w:hAnsi="Times New Roman"/>
          <w:sz w:val="20"/>
          <w:szCs w:val="20"/>
          <w:color w:val="auto"/>
        </w:rPr>
      </w:pPr>
    </w:p>
    <w:p>
      <w:pPr>
        <w:jc w:val="both"/>
        <w:ind w:left="-400" w:firstLine="757"/>
        <w:spacing w:after="0" w:line="245" w:lineRule="auto"/>
        <w:tabs>
          <w:tab w:leader="none" w:pos="61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4" w:lineRule="exact"/>
        <w:rPr>
          <w:rFonts w:ascii="Times New Roman" w:cs="Times New Roman" w:eastAsia="Times New Roman" w:hAnsi="Times New Roman"/>
          <w:sz w:val="20"/>
          <w:szCs w:val="20"/>
          <w:color w:val="auto"/>
        </w:rPr>
      </w:pPr>
    </w:p>
    <w:p>
      <w:pPr>
        <w:jc w:val="both"/>
        <w:ind w:left="-400" w:firstLine="757"/>
        <w:spacing w:after="0" w:line="242" w:lineRule="auto"/>
        <w:tabs>
          <w:tab w:leader="none" w:pos="61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92" w:lineRule="exact"/>
        <w:rPr>
          <w:rFonts w:ascii="Times New Roman" w:cs="Times New Roman" w:eastAsia="Times New Roman" w:hAnsi="Times New Roman"/>
          <w:sz w:val="20"/>
          <w:szCs w:val="20"/>
          <w:color w:val="auto"/>
        </w:rPr>
      </w:pPr>
    </w:p>
    <w:p>
      <w:pPr>
        <w:jc w:val="both"/>
        <w:ind w:left="-400" w:firstLine="757"/>
        <w:spacing w:after="0" w:line="242" w:lineRule="auto"/>
        <w:tabs>
          <w:tab w:leader="none" w:pos="61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In the event of any dispute or claim relating to, or arising out of Executive’s employment relationship with the Company or its affiliates, including, but not limited, claims of wrongful termination, age, race, gender, disability or other discrimination—but not including claims for sexual harassment or sexual assault—Executive and the Company agree that all such disputes shall be fully and finally resolved by binding arbitration conducted before a single neutral arbitrator pursuant to the rules for arbitration of employment disputes by the American Arbitration Association (available at www.adr.org) in the State of Texas.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of law on which the award is based. By executing this Agreement, the Parties are both waiving the right to a jury trial with respect to any such disputes. The Company shall bear the costs of the arbitrator, forum and filing fees. Each Party shall bear its own respective attorney fees and all other costs, unless provided by law and awarded by the arbitrator.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850265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3" w:right="339" w:bottom="1440" w:gutter="0" w:footer="0" w:header="0"/>
        </w:sectPr>
      </w:pPr>
    </w:p>
    <w:bookmarkStart w:id="171" w:name="page172"/>
    <w:bookmarkEnd w:id="171"/>
    <w:p>
      <w:pPr>
        <w:jc w:val="both"/>
        <w:ind w:left="-400" w:firstLine="757"/>
        <w:spacing w:after="0" w:line="245" w:lineRule="auto"/>
        <w:tabs>
          <w:tab w:leader="none" w:pos="6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rFonts w:ascii="Times New Roman" w:cs="Times New Roman" w:eastAsia="Times New Roman" w:hAnsi="Times New Roman"/>
          <w:sz w:val="20"/>
          <w:szCs w:val="20"/>
          <w:color w:val="auto"/>
        </w:rPr>
      </w:pPr>
    </w:p>
    <w:p>
      <w:pPr>
        <w:jc w:val="both"/>
        <w:ind w:left="-400" w:firstLine="757"/>
        <w:spacing w:after="0" w:line="254" w:lineRule="auto"/>
        <w:tabs>
          <w:tab w:leader="none" w:pos="6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4" w:lineRule="exact"/>
        <w:rPr>
          <w:rFonts w:ascii="Times New Roman" w:cs="Times New Roman" w:eastAsia="Times New Roman" w:hAnsi="Times New Roman"/>
          <w:sz w:val="20"/>
          <w:szCs w:val="20"/>
          <w:color w:val="auto"/>
        </w:rPr>
      </w:pPr>
    </w:p>
    <w:p>
      <w:pPr>
        <w:ind w:left="620" w:hanging="263"/>
        <w:spacing w:after="0"/>
        <w:tabs>
          <w:tab w:leader="none" w:pos="6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360" w:firstLine="745"/>
        <w:spacing w:after="0" w:line="247" w:lineRule="auto"/>
        <w:tabs>
          <w:tab w:leader="none" w:pos="164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 from Section 409A and, accordingly, to the maximum extent permitted, this Agreement shall be interpreted to be in compliance therewith. If the Company and Executive agree in good faith that the payments and benefits under this Agreement would not comply with Section 409A, the Parties hereto shall reasonably and in good faith attempt to modify this Agreement to comply with Section 409A while endeavoring to maintain the intended economic benefits hereunder.</w:t>
      </w:r>
    </w:p>
    <w:p>
      <w:pPr>
        <w:spacing w:after="0" w:line="180"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164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Notwithstanding anything in this Agreement to the contrary, (A) any compensation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and (B) in the event that, with respect to the amounts payable under Sections 4(b) or 4(c), the timing of the delivery of Executive’s Release could cause such amounts to begin in one or another taxable year, to the extent such amounts are subject to Section 409A, then notwithstanding the payment timing set forth in such Sections, such amounts shall not be payable until the later of (1) the payment date specified in such Section or (2) the first business day of the taxable year following Executive’s Separation from Service.</w:t>
      </w:r>
    </w:p>
    <w:p>
      <w:pPr>
        <w:spacing w:after="0" w:line="181"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164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(x) the expiration of the six-month period measured from the date of Executive’s Separation from Service with the Company or (y)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5" w:lineRule="exact"/>
        <w:rPr>
          <w:rFonts w:ascii="Times New Roman" w:cs="Times New Roman" w:eastAsia="Times New Roman" w:hAnsi="Times New Roman"/>
          <w:sz w:val="20"/>
          <w:szCs w:val="20"/>
          <w:color w:val="auto"/>
        </w:rPr>
      </w:pPr>
    </w:p>
    <w:p>
      <w:pPr>
        <w:ind w:left="360" w:firstLine="745"/>
        <w:spacing w:after="0" w:line="273" w:lineRule="auto"/>
        <w:tabs>
          <w:tab w:leader="none" w:pos="164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409A, (A) any such reimbursements payable to Executive shall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850265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3" w:right="339" w:bottom="1440" w:gutter="0" w:footer="0" w:header="0"/>
        </w:sectPr>
      </w:pPr>
    </w:p>
    <w:bookmarkStart w:id="172" w:name="page173"/>
    <w:bookmarkEnd w:id="172"/>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81" w:lineRule="exact"/>
        <w:rPr>
          <w:sz w:val="20"/>
          <w:szCs w:val="20"/>
          <w:color w:val="auto"/>
        </w:rPr>
      </w:pPr>
    </w:p>
    <w:p>
      <w:pPr>
        <w:jc w:val="both"/>
        <w:ind w:left="760" w:firstLine="745"/>
        <w:spacing w:after="0" w:line="247" w:lineRule="auto"/>
        <w:tabs>
          <w:tab w:leader="none" w:pos="2048"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Installments. </w:t>
      </w:r>
      <w:r>
        <w:rPr>
          <w:rFonts w:ascii="Times New Roman" w:cs="Times New Roman" w:eastAsia="Times New Roman" w:hAnsi="Times New Roman"/>
          <w:sz w:val="20"/>
          <w:szCs w:val="20"/>
          <w:color w:val="auto"/>
        </w:rPr>
        <w:t>Executive’s right to receive any installment payments under this Agreement, including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Notwithstanding anything to the contrary in this Agreement, the provisions of Sections 5 through 9 will survive the termination of Executive’s employment and the termination of the Term.</w:t>
      </w:r>
    </w:p>
    <w:p>
      <w:pPr>
        <w:spacing w:after="0" w:line="168"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Acknowledgement</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date and year first above written.</w:t>
      </w:r>
    </w:p>
    <w:p>
      <w:pPr>
        <w:spacing w:after="0" w:line="21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By: /s/ Simone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-10795</wp:posOffset>
            </wp:positionV>
            <wp:extent cx="15455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1545590" cy="8890"/>
                    </a:xfrm>
                    <a:prstGeom prst="rect">
                      <a:avLst/>
                    </a:prstGeom>
                    <a:noFill/>
                  </pic:spPr>
                </pic:pic>
              </a:graphicData>
            </a:graphic>
          </wp:anchor>
        </w:drawing>
      </w:r>
    </w:p>
    <w:p>
      <w:pPr>
        <w:spacing w:after="0" w:line="20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Name: Simone Song</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Title: Member of the Board of Directors &amp; Chairman of the  Compensation Committee</w:t>
      </w:r>
    </w:p>
    <w:p>
      <w:pPr>
        <w:spacing w:after="0" w:line="200" w:lineRule="exact"/>
        <w:rPr>
          <w:sz w:val="20"/>
          <w:szCs w:val="20"/>
          <w:color w:val="auto"/>
        </w:rPr>
      </w:pPr>
    </w:p>
    <w:p>
      <w:pPr>
        <w:spacing w:after="0" w:line="25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-10795</wp:posOffset>
            </wp:positionV>
            <wp:extent cx="17589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20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Print Name: Arthur Kuan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854710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760" w:top="1440" w:right="459" w:bottom="1440" w:gutter="0" w:footer="0" w:header="0"/>
        </w:sectPr>
      </w:pPr>
    </w:p>
    <w:bookmarkStart w:id="174" w:name="page175"/>
    <w:bookmarkEnd w:id="174"/>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16"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20"/>
          <w:szCs w:val="20"/>
          <w:color w:val="auto"/>
        </w:rPr>
        <w:t>This Separation Agreement and Release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Arthur Kuan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(collectively referred to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Capitalized terms used but not defined in this Agreement shall have the meanings set forth in the Employment Agreement (as defined below).</w:t>
      </w:r>
    </w:p>
    <w:p>
      <w:pPr>
        <w:spacing w:after="0" w:line="186"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WHEREAS, the Parties have previously entered into that certain Amended and Restated Employment Agreement, effective as of January 9, 2025 (the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and that certain Restrictive Covenant Agreement (as defined in the Employment Agreement); and</w:t>
      </w:r>
    </w:p>
    <w:p>
      <w:pPr>
        <w:spacing w:after="0" w:line="188" w:lineRule="exact"/>
        <w:rPr>
          <w:sz w:val="20"/>
          <w:szCs w:val="20"/>
          <w:color w:val="auto"/>
        </w:rPr>
      </w:pPr>
    </w:p>
    <w:p>
      <w:pPr>
        <w:jc w:val="both"/>
        <w:ind w:right="20" w:firstLine="614"/>
        <w:spacing w:after="0" w:line="250" w:lineRule="auto"/>
        <w:rPr>
          <w:sz w:val="20"/>
          <w:szCs w:val="20"/>
          <w:color w:val="auto"/>
        </w:rPr>
      </w:pPr>
      <w:r>
        <w:rPr>
          <w:rFonts w:ascii="Times New Roman" w:cs="Times New Roman" w:eastAsia="Times New Roman" w:hAnsi="Times New Roman"/>
          <w:sz w:val="20"/>
          <w:szCs w:val="20"/>
          <w:color w:val="auto"/>
        </w:rPr>
        <w:t>WHEREAS, in connection with Executive’s termination of employment with the Company or a subsidiary or affiliate of the Company effective [________], 20[__], the Parties wish to resolve any and all disputes, claims, complaints, grievances, charges, actions,</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petitions, and demands that Executive may have against the Company and any of the Releases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cs="Times New Roman" w:eastAsia="Times New Roman" w:hAnsi="Times New Roman"/>
          <w:sz w:val="20"/>
          <w:szCs w:val="20"/>
          <w:b w:val="1"/>
          <w:bCs w:val="1"/>
          <w:i w:val="1"/>
          <w:iCs w:val="1"/>
          <w:color w:val="auto"/>
        </w:rPr>
        <w:t>Retained Claims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88" w:lineRule="exact"/>
        <w:rPr>
          <w:sz w:val="20"/>
          <w:szCs w:val="20"/>
          <w:color w:val="auto"/>
        </w:rPr>
      </w:pPr>
    </w:p>
    <w:p>
      <w:pPr>
        <w:jc w:val="both"/>
        <w:ind w:firstLine="404"/>
        <w:spacing w:after="0" w:line="246" w:lineRule="auto"/>
        <w:tabs>
          <w:tab w:leader="none" w:pos="80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and Benefits; Salary and Benefits</w:t>
      </w:r>
      <w:r>
        <w:rPr>
          <w:rFonts w:ascii="Times New Roman" w:cs="Times New Roman" w:eastAsia="Times New Roman" w:hAnsi="Times New Roman"/>
          <w:sz w:val="20"/>
          <w:szCs w:val="20"/>
          <w:color w:val="auto"/>
        </w:rPr>
        <w:t>.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3(c) of the Employment Agreement, subject to and in accordance with the terms thereof.</w:t>
      </w:r>
    </w:p>
    <w:p>
      <w:pPr>
        <w:spacing w:after="0" w:line="198" w:lineRule="exact"/>
        <w:rPr>
          <w:rFonts w:ascii="Times New Roman" w:cs="Times New Roman" w:eastAsia="Times New Roman" w:hAnsi="Times New Roman"/>
          <w:sz w:val="20"/>
          <w:szCs w:val="20"/>
          <w:color w:val="auto"/>
        </w:rPr>
      </w:pPr>
    </w:p>
    <w:p>
      <w:pPr>
        <w:jc w:val="both"/>
        <w:ind w:firstLine="404"/>
        <w:spacing w:after="0" w:line="256" w:lineRule="auto"/>
        <w:tabs>
          <w:tab w:leader="none" w:pos="818"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related to Executive’s employment 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1170940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24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including the date Executive signs this Agreement relating to Executive’s employment with the Company or its subsidiaries or termination therefrom, including, without limitation:</w:t>
      </w:r>
    </w:p>
    <w:p>
      <w:pPr>
        <w:spacing w:after="0" w:line="159" w:lineRule="exact"/>
        <w:rPr>
          <w:sz w:val="20"/>
          <w:szCs w:val="20"/>
          <w:color w:val="auto"/>
        </w:rPr>
      </w:pPr>
    </w:p>
    <w:p>
      <w:pPr>
        <w:ind w:right="20" w:firstLine="799"/>
        <w:spacing w:after="0" w:line="269" w:lineRule="auto"/>
        <w:tabs>
          <w:tab w:leader="none" w:pos="11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and the termination of that relationship;</w:t>
      </w:r>
    </w:p>
    <w:p>
      <w:pPr>
        <w:spacing w:after="0" w:line="159" w:lineRule="exact"/>
        <w:rPr>
          <w:rFonts w:ascii="Times New Roman" w:cs="Times New Roman" w:eastAsia="Times New Roman" w:hAnsi="Times New Roman"/>
          <w:sz w:val="20"/>
          <w:szCs w:val="20"/>
          <w:color w:val="auto"/>
        </w:rPr>
      </w:pPr>
    </w:p>
    <w:p>
      <w:pPr>
        <w:jc w:val="both"/>
        <w:ind w:right="20" w:firstLine="799"/>
        <w:spacing w:after="0" w:line="254" w:lineRule="auto"/>
        <w:tabs>
          <w:tab w:leader="none" w:pos="11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74" w:lineRule="exact"/>
        <w:rPr>
          <w:rFonts w:ascii="Times New Roman" w:cs="Times New Roman" w:eastAsia="Times New Roman" w:hAnsi="Times New Roman"/>
          <w:sz w:val="20"/>
          <w:szCs w:val="20"/>
          <w:color w:val="auto"/>
        </w:rPr>
      </w:pPr>
    </w:p>
    <w:p>
      <w:pPr>
        <w:ind w:firstLine="799"/>
        <w:spacing w:after="0" w:line="246" w:lineRule="auto"/>
        <w:tabs>
          <w:tab w:leader="none" w:pos="11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4" w:lineRule="exact"/>
        <w:rPr>
          <w:rFonts w:ascii="Times New Roman" w:cs="Times New Roman" w:eastAsia="Times New Roman" w:hAnsi="Times New Roman"/>
          <w:sz w:val="20"/>
          <w:szCs w:val="20"/>
          <w:color w:val="auto"/>
        </w:rPr>
      </w:pPr>
    </w:p>
    <w:p>
      <w:pPr>
        <w:jc w:val="both"/>
        <w:ind w:firstLine="799"/>
        <w:spacing w:after="0" w:line="260" w:lineRule="auto"/>
        <w:tabs>
          <w:tab w:leader="none" w:pos="1187"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Texas Labor Code (specifically including the Texas Payday Law, the Texas Anti-Retaliation Act, Chapter 21 of the Texas Labor Code, and the Texas Whistleblower Act) and amendments to those laws;</w:t>
      </w:r>
    </w:p>
    <w:p>
      <w:pPr>
        <w:spacing w:after="0" w:line="172" w:lineRule="exact"/>
        <w:rPr>
          <w:rFonts w:ascii="Times New Roman" w:cs="Times New Roman" w:eastAsia="Times New Roman" w:hAnsi="Times New Roman"/>
          <w:sz w:val="19"/>
          <w:szCs w:val="19"/>
          <w:color w:val="auto"/>
        </w:rPr>
      </w:pPr>
    </w:p>
    <w:p>
      <w:pPr>
        <w:ind w:left="1200" w:hanging="401"/>
        <w:spacing w:after="0"/>
        <w:tabs>
          <w:tab w:leader="none" w:pos="12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15"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215" w:lineRule="exact"/>
        <w:rPr>
          <w:rFonts w:ascii="Times New Roman" w:cs="Times New Roman" w:eastAsia="Times New Roman" w:hAnsi="Times New Roman"/>
          <w:sz w:val="20"/>
          <w:szCs w:val="20"/>
          <w:color w:val="auto"/>
        </w:rPr>
      </w:pPr>
    </w:p>
    <w:p>
      <w:pPr>
        <w:ind w:right="20" w:firstLine="799"/>
        <w:spacing w:after="0" w:line="269" w:lineRule="auto"/>
        <w:tabs>
          <w:tab w:leader="none" w:pos="11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59" w:lineRule="exact"/>
        <w:rPr>
          <w:rFonts w:ascii="Times New Roman" w:cs="Times New Roman" w:eastAsia="Times New Roman" w:hAnsi="Times New Roman"/>
          <w:sz w:val="20"/>
          <w:szCs w:val="20"/>
          <w:color w:val="auto"/>
        </w:rPr>
      </w:pPr>
    </w:p>
    <w:p>
      <w:pPr>
        <w:ind w:right="40" w:firstLine="799"/>
        <w:spacing w:after="0" w:line="269" w:lineRule="auto"/>
        <w:tabs>
          <w:tab w:leader="none" w:pos="11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59"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1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EXECUTIVE ACKNOWLEDGES THAT EXECUTIVE HAS BEEN ADVISED BY LEGAL COUNSEL AND IS FAMILIAR WITH THE PROVISIONS OF CALIFORNIA CIVIL CODE SECTION 1542, WHICH PROVIDES AS FOLLOWS:</w:t>
      </w: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00" w:lineRule="exact"/>
        <w:rPr>
          <w:sz w:val="20"/>
          <w:szCs w:val="20"/>
          <w:color w:val="auto"/>
        </w:rPr>
      </w:pPr>
    </w:p>
    <w:p>
      <w:pPr>
        <w:spacing w:after="0" w:line="246" w:lineRule="exact"/>
        <w:rPr>
          <w:sz w:val="20"/>
          <w:szCs w:val="20"/>
          <w:color w:val="auto"/>
        </w:rPr>
      </w:pPr>
    </w:p>
    <w:p>
      <w:pPr>
        <w:jc w:val="both"/>
        <w:ind w:left="760" w:right="9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20"/>
          <w:szCs w:val="20"/>
          <w:color w:val="auto"/>
        </w:rPr>
        <w:t>EXECUTIVE, BEING AWARE OF SAID CODE SECTION, HEREBY EXPRESSLY WAIVES ANY RIGHTS EXECUTIVE MAY HAVE THEREUNDER, AS WELL AS UNDER ANY OTHER STATUTES OR COMMON LAW PRINCIPLES OF SIMILAR EFFECT.</w:t>
      </w:r>
    </w:p>
    <w:p>
      <w:pPr>
        <w:spacing w:after="0" w:line="15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for indemnity under the bylaws of the Company, as provided for by Texas or Delaware law or under any applicable insurance policy with respect to Executive’s liability as an employee, director or officer of the Company,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 This release does not prevent Executive from cooperating with an investigation conducted by any such governmental agencies, including without limitation the National Labor Relations Board (the “</w:t>
      </w:r>
      <w:r>
        <w:rPr>
          <w:rFonts w:ascii="Times New Roman" w:cs="Times New Roman" w:eastAsia="Times New Roman" w:hAnsi="Times New Roman"/>
          <w:sz w:val="19"/>
          <w:szCs w:val="19"/>
          <w:b w:val="1"/>
          <w:bCs w:val="1"/>
          <w:i w:val="1"/>
          <w:iCs w:val="1"/>
          <w:color w:val="auto"/>
        </w:rPr>
        <w:t>NLRB</w:t>
      </w:r>
      <w:r>
        <w:rPr>
          <w:rFonts w:ascii="Times New Roman" w:cs="Times New Roman" w:eastAsia="Times New Roman" w:hAnsi="Times New Roman"/>
          <w:sz w:val="19"/>
          <w:szCs w:val="19"/>
          <w:color w:val="auto"/>
        </w:rPr>
        <w:t>”). Nothing herein will prevent Executive from participating in an activity permitted by Section 7 of the National Labor Relations Act or from filing an unfair labor practice charge with the NLRB.</w:t>
      </w:r>
    </w:p>
    <w:p>
      <w:pPr>
        <w:spacing w:after="0" w:line="185" w:lineRule="exact"/>
        <w:rPr>
          <w:sz w:val="20"/>
          <w:szCs w:val="20"/>
          <w:color w:val="auto"/>
        </w:rPr>
      </w:pPr>
    </w:p>
    <w:p>
      <w:pPr>
        <w:jc w:val="both"/>
        <w:ind w:firstLine="404"/>
        <w:spacing w:after="0" w:line="242" w:lineRule="auto"/>
        <w:tabs>
          <w:tab w:leader="none" w:pos="8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has the right to and should consult with an attorney prior to executing this Agreement; (b) Executive has [twenty-one (21)] days within which to consider this Agreement, and the Parties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without revocation; and (e) nothing in this Agreement prevents or precludes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0" w:lineRule="exact"/>
        <w:rPr>
          <w:sz w:val="20"/>
          <w:szCs w:val="20"/>
          <w:color w:val="auto"/>
        </w:rPr>
      </w:pPr>
    </w:p>
    <w:p>
      <w:pPr>
        <w:spacing w:after="0" w:line="2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 day period identified above, Executive hereby acknowledges that Executive has freely and voluntarily chosen to waive the time period allotted for considering this Agreement. To revoke this Agreement, Executive must notify the Company in writing sent to the Lead Independent Director of the Board, and such revocation must be received no later than the seventh (7th) business day after Executive signs this Agreement.</w:t>
      </w:r>
    </w:p>
    <w:p>
      <w:pPr>
        <w:spacing w:after="0" w:line="184" w:lineRule="exact"/>
        <w:rPr>
          <w:sz w:val="20"/>
          <w:szCs w:val="20"/>
          <w:color w:val="auto"/>
        </w:rPr>
      </w:pPr>
    </w:p>
    <w:p>
      <w:pPr>
        <w:jc w:val="both"/>
        <w:ind w:firstLine="404"/>
        <w:spacing w:after="0" w:line="254" w:lineRule="auto"/>
        <w:tabs>
          <w:tab w:leader="none" w:pos="79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4" w:lineRule="exact"/>
        <w:rPr>
          <w:rFonts w:ascii="Times New Roman" w:cs="Times New Roman" w:eastAsia="Times New Roman" w:hAnsi="Times New Roman"/>
          <w:sz w:val="20"/>
          <w:szCs w:val="20"/>
          <w:color w:val="auto"/>
        </w:rPr>
      </w:pPr>
    </w:p>
    <w:p>
      <w:pPr>
        <w:ind w:right="20" w:firstLine="404"/>
        <w:spacing w:after="0" w:line="269" w:lineRule="auto"/>
        <w:tabs>
          <w:tab w:leader="none" w:pos="79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pacing w:after="0" w:line="159" w:lineRule="exact"/>
        <w:rPr>
          <w:rFonts w:ascii="Times New Roman" w:cs="Times New Roman" w:eastAsia="Times New Roman" w:hAnsi="Times New Roman"/>
          <w:sz w:val="20"/>
          <w:szCs w:val="20"/>
          <w:color w:val="auto"/>
        </w:rPr>
      </w:pPr>
    </w:p>
    <w:p>
      <w:pPr>
        <w:ind w:right="20" w:firstLine="404"/>
        <w:spacing w:after="0" w:line="269" w:lineRule="auto"/>
        <w:tabs>
          <w:tab w:leader="none" w:pos="83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 This Agreement shall be subject to the provisions of Sections 9(a), 9(c), and 9(h) of the Employment Agreement.</w:t>
      </w:r>
    </w:p>
    <w:p>
      <w:pPr>
        <w:spacing w:after="0" w:line="159" w:lineRule="exact"/>
        <w:rPr>
          <w:rFonts w:ascii="Times New Roman" w:cs="Times New Roman" w:eastAsia="Times New Roman" w:hAnsi="Times New Roman"/>
          <w:sz w:val="20"/>
          <w:szCs w:val="20"/>
          <w:color w:val="auto"/>
        </w:rPr>
      </w:pPr>
    </w:p>
    <w:p>
      <w:pPr>
        <w:ind w:firstLine="404"/>
        <w:spacing w:after="0" w:line="269" w:lineRule="auto"/>
        <w:tabs>
          <w:tab w:leader="none" w:pos="83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has seven business days after Executive signs this Agreement to revoke it and this Agreement will become effective on the day immediately following the seventh business day after Executive signed this Agreement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58"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158"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the Employment Agreement and the Restrictive Covenant Agreement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Employment Agreement and the Restrictive Covenant Agreement shall constitute the complete and exclusive statement of their terms and that no extrinsic evidence whatsoever may be introduced in any judicial, administrative, or other legal proceeding to vary the terms of such agreements.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Print Name: Arthur Kuan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Name:</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847090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79" w:name="page180"/>
    <w:bookmarkEnd w:id="179"/>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RESTRICTIVE COVENANT AGREEMENT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Attached</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1470025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EMPLOYMENT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Amended and Restated Employment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Ambaw Bellete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effective as of January 9,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currently employs Executive as its President and Chief Operating Officer pursuant to an Amended and Restated Employment Agreement between Executive and the Company dated December 13, 2023 (the “</w:t>
      </w:r>
      <w:r>
        <w:rPr>
          <w:rFonts w:ascii="Times New Roman" w:cs="Times New Roman" w:eastAsia="Times New Roman" w:hAnsi="Times New Roman"/>
          <w:sz w:val="20"/>
          <w:szCs w:val="20"/>
          <w:b w:val="1"/>
          <w:bCs w:val="1"/>
          <w:i w:val="1"/>
          <w:iCs w:val="1"/>
          <w:color w:val="auto"/>
        </w:rPr>
        <w:t>Prior Agreement</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Parties desire to amend and restate the Prior Agreement on the terms and conditions set forth herein.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right="20" w:firstLine="757"/>
        <w:spacing w:after="0" w:line="269" w:lineRule="auto"/>
        <w:tabs>
          <w:tab w:leader="none" w:pos="101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Effective on the Effective Date, the Company shall employ Executive, and Executive shall be employed by the Company, for the period and in the positions set forth in this Section 1, and subject to the other terms and conditions herein provided.</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Section 3(b)). This “at-will” nature of Executive’s employment shall remain unchanged during Executive’s tenure as an employee and may not be changed, except in an express writing signed by Executive and a duly authorized officer of the Company. The term of this Agreement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shall commence on the Effective Date and end on the date this Agreement is terminated under Section 3.</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During the Term, Executive initially shall serve as President and Chief Operating Officer of the Company, with such responsibilities, duties and authority normally associated with such positions and as may from time to time be reasonably assigned to Executive by the Chief Executive Officer of the Company (the “</w:t>
      </w:r>
      <w:r>
        <w:rPr>
          <w:rFonts w:ascii="Times New Roman" w:cs="Times New Roman" w:eastAsia="Times New Roman" w:hAnsi="Times New Roman"/>
          <w:sz w:val="20"/>
          <w:szCs w:val="20"/>
          <w:b w:val="1"/>
          <w:bCs w:val="1"/>
          <w:i w:val="1"/>
          <w:iCs w:val="1"/>
          <w:color w:val="auto"/>
        </w:rPr>
        <w:t>CEO</w:t>
      </w:r>
      <w:r>
        <w:rPr>
          <w:rFonts w:ascii="Times New Roman" w:cs="Times New Roman" w:eastAsia="Times New Roman" w:hAnsi="Times New Roman"/>
          <w:sz w:val="20"/>
          <w:szCs w:val="20"/>
          <w:color w:val="auto"/>
        </w:rPr>
        <w:t>”). Initial functional oversight will include Commercial, Sales, Marketing, Regulatory, Quality, Project Management, and Alliance Management with an overall focus on working with the Board of Directors and CEO to exploit market opportunities and build relationships with investors, partners, industry contacts, and customers to create long term value for the organization; defining the strategies and tactics across the organization that will help achieve the corporate strategic plan and goals to advance the product pipeline, marketing/sales, productivity, and profitability targets; working with every functional leader to help them optimize productivity; increasing revenue/cash flow while also helping to manage operational costs; and developing strategies and tactics to operationalize corporate growth opportunities leveraging the organization’s resources. Executive shall report to the CEO. Executive shall devote substantially all of Executive’s working time and efforts to the business and affairs of the Company (which shall include service to its affiliates, if applicable) and shall not engage in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1" w:name="page182"/>
    <w:bookmarkEnd w:id="181"/>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business activities (including serving on outside boards or committees) without the consent of the CEO or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Executive shall be permitted to (i) manage Executive’s personal, financial and legal affairs, (ii) participate in trade associations, (iii) serve on the board of directors of not-for-profit or tax-exempt charitable organizations or, with the consent of the Board (not to be unreasonably withheld), the board of directors of non-competitive for-profit businesses, in each case, subject to compliance with this Agreement and provided that such activities do not materially interfere with Executive’s performance of Executive’s duties and responsibilities hereunder, and (iv) provide consulting services to the non-competitive businesses listed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 subject to compliance with this Agreement and provided that such consulting services are performed in a manner consistent with such services performed prior to the Effective Date and do not materially interfere with Executive’s performance of Executive’s duties and responsibilities hereunder. Executive’s engagement in outside business activities, including consulting services for any additional non-competitive businesses that are not listed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shall be subject to the consent of the CEO or Board. Executive agrees to observe and comply with the reasonable rules and policies of the Company as adopted by the Company from time to time (to the extent they do not conflict with the terms of this Agreement), in each case, as amended from time to time, and as delivered or made available to Executive (each, a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757"/>
        <w:spacing w:after="0" w:line="254" w:lineRule="auto"/>
        <w:tabs>
          <w:tab w:leader="none" w:pos="114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Principal Location</w:t>
      </w:r>
      <w:r>
        <w:rPr>
          <w:rFonts w:ascii="Times New Roman" w:cs="Times New Roman" w:eastAsia="Times New Roman" w:hAnsi="Times New Roman"/>
          <w:sz w:val="20"/>
          <w:szCs w:val="20"/>
          <w:color w:val="auto"/>
        </w:rPr>
        <w:t>. During the Term, Executive shall perform the services required by this Agreement at his home office in New Jersey (the “</w:t>
      </w:r>
      <w:r>
        <w:rPr>
          <w:rFonts w:ascii="Times New Roman" w:cs="Times New Roman" w:eastAsia="Times New Roman" w:hAnsi="Times New Roman"/>
          <w:sz w:val="20"/>
          <w:szCs w:val="20"/>
          <w:b w:val="1"/>
          <w:bCs w:val="1"/>
          <w:i w:val="1"/>
          <w:iCs w:val="1"/>
          <w:color w:val="auto"/>
        </w:rPr>
        <w:t>Principal Location</w:t>
      </w:r>
      <w:r>
        <w:rPr>
          <w:rFonts w:ascii="Times New Roman" w:cs="Times New Roman" w:eastAsia="Times New Roman" w:hAnsi="Times New Roman"/>
          <w:sz w:val="20"/>
          <w:szCs w:val="20"/>
          <w:color w:val="auto"/>
        </w:rPr>
        <w:t xml:space="preserve">”) as of the Effective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Parties acknowledge and agree that Executive may be required to travel to other locations as may be necessary to fulfill Executive’s duties and responsibilities hereunder.</w:t>
      </w:r>
    </w:p>
    <w:p>
      <w:pPr>
        <w:spacing w:after="0" w:line="183"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9" w:lineRule="auto"/>
        <w:tabs>
          <w:tab w:leader="none" w:pos="101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Executive shall receive a base salary at a rate of $537,931 per annum, which shall be paid in accordance with the customary payroll practices of the Company and shall be pro-rated for partial years of employment. Such annual base salary shall be reviewed (and may be adjusted for increase, but not decrease) from time to time (such annual base salary, as it may be adjusted from time to time, the “</w:t>
      </w:r>
      <w:r>
        <w:rPr>
          <w:rFonts w:ascii="Times New Roman" w:cs="Times New Roman" w:eastAsia="Times New Roman" w:hAnsi="Times New Roman"/>
          <w:sz w:val="20"/>
          <w:szCs w:val="20"/>
          <w:b w:val="1"/>
          <w:bCs w:val="1"/>
          <w:i w:val="1"/>
          <w:iCs w:val="1"/>
          <w:color w:val="auto"/>
        </w:rPr>
        <w:t>Annual Base Salary</w:t>
      </w:r>
      <w:r>
        <w:rPr>
          <w:rFonts w:ascii="Times New Roman" w:cs="Times New Roman" w:eastAsia="Times New Roman" w:hAnsi="Times New Roman"/>
          <w:sz w:val="20"/>
          <w:szCs w:val="20"/>
          <w:color w:val="auto"/>
        </w:rPr>
        <w:t>”) by the Board or its compensation committee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 Opportunity</w:t>
      </w:r>
      <w:r>
        <w:rPr>
          <w:rFonts w:ascii="Times New Roman" w:cs="Times New Roman" w:eastAsia="Times New Roman" w:hAnsi="Times New Roman"/>
          <w:sz w:val="20"/>
          <w:szCs w:val="20"/>
          <w:color w:val="auto"/>
        </w:rPr>
        <w:t>. During the Term, Executive will be eligible to participate in an annual incentive program established by the Board or Compensation Committee with target level annual incentive compensation opportunities as may be determined by the Board or Compensation Committee from time to time, but with an annual “target level” incentive bonus opportunity (the “</w:t>
      </w:r>
      <w:r>
        <w:rPr>
          <w:rFonts w:ascii="Times New Roman" w:cs="Times New Roman" w:eastAsia="Times New Roman" w:hAnsi="Times New Roman"/>
          <w:sz w:val="20"/>
          <w:szCs w:val="20"/>
          <w:b w:val="1"/>
          <w:bCs w:val="1"/>
          <w:i w:val="1"/>
          <w:iCs w:val="1"/>
          <w:color w:val="auto"/>
        </w:rPr>
        <w:t>Target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Bonus</w:t>
      </w:r>
      <w:r>
        <w:rPr>
          <w:rFonts w:ascii="Times New Roman" w:cs="Times New Roman" w:eastAsia="Times New Roman" w:hAnsi="Times New Roman"/>
          <w:sz w:val="20"/>
          <w:szCs w:val="20"/>
          <w:color w:val="auto"/>
        </w:rPr>
        <w:t>”) that is not less than 50% of the Annual Base Salary. The annual bonus payable under the incentive program (“</w:t>
      </w:r>
      <w:r>
        <w:rPr>
          <w:rFonts w:ascii="Times New Roman" w:cs="Times New Roman" w:eastAsia="Times New Roman" w:hAnsi="Times New Roman"/>
          <w:sz w:val="20"/>
          <w:szCs w:val="20"/>
          <w:b w:val="1"/>
          <w:bCs w:val="1"/>
          <w:i w:val="1"/>
          <w:iCs w:val="1"/>
          <w:color w:val="auto"/>
        </w:rPr>
        <w:t>Annual Bonus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be based on the achievement of performance goals or such other criteria as may be determined by the Board or Compensation Committee. The payment of any Annual Bonus pursuant to the incentive program shall be subject to Executive’s continued employment with the Company through the date of payment, except as otherwise provided in Section 4. The Annual Bonus shall be paid to Executive when paid generally to other senior executives of the Company, but in any event, to the extent determinable as of such time, not later than March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of the year immediately following the applicable year for which such Annual Bonus is being paid.</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Sign-On Bonus</w:t>
      </w:r>
      <w:r>
        <w:rPr>
          <w:rFonts w:ascii="Times New Roman" w:cs="Times New Roman" w:eastAsia="Times New Roman" w:hAnsi="Times New Roman"/>
          <w:sz w:val="20"/>
          <w:szCs w:val="20"/>
          <w:color w:val="auto"/>
        </w:rPr>
        <w:t>. Pursuant to the Prior Agreement, Executive was paid a one-time signing bonus equal to the amount of $125,000, less any taxable withholdings (the “</w:t>
      </w:r>
      <w:r>
        <w:rPr>
          <w:rFonts w:ascii="Times New Roman" w:cs="Times New Roman" w:eastAsia="Times New Roman" w:hAnsi="Times New Roman"/>
          <w:sz w:val="20"/>
          <w:szCs w:val="20"/>
          <w:b w:val="1"/>
          <w:bCs w:val="1"/>
          <w:i w:val="1"/>
          <w:iCs w:val="1"/>
          <w:color w:val="auto"/>
        </w:rPr>
        <w:t>Sign-On Bonus</w:t>
      </w:r>
      <w:r>
        <w:rPr>
          <w:rFonts w:ascii="Times New Roman" w:cs="Times New Roman" w:eastAsia="Times New Roman" w:hAnsi="Times New Roman"/>
          <w:sz w:val="20"/>
          <w:szCs w:val="20"/>
          <w:color w:val="auto"/>
        </w:rPr>
        <w:t>”). If Executive is terminated for Cause or voluntarily leaves the Company without Good Reason prior to completing twelve (12) months of service from Executive’s start date, Executive shall be required to repay to the Company, within thirty (30) days following Executive’s last day of employment with the Company, 100% of the Sign-On Bonus.</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2" w:name="page183"/>
    <w:bookmarkEnd w:id="182"/>
    <w:p>
      <w:pPr>
        <w:ind w:left="-400" w:firstLine="757"/>
        <w:spacing w:after="0" w:line="269" w:lineRule="auto"/>
        <w:tabs>
          <w:tab w:leader="none" w:pos="6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 During the Term, Executive will be eligible to participate and receive awards under the Company’s equity plans as in effect from time to time.</w:t>
      </w:r>
    </w:p>
    <w:p>
      <w:pPr>
        <w:spacing w:after="0" w:line="155"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164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Initial Option</w:t>
      </w:r>
      <w:r>
        <w:rPr>
          <w:rFonts w:ascii="Times New Roman" w:cs="Times New Roman" w:eastAsia="Times New Roman" w:hAnsi="Times New Roman"/>
          <w:sz w:val="20"/>
          <w:szCs w:val="20"/>
          <w:color w:val="auto"/>
        </w:rPr>
        <w:t>: Pursuant to the Prior Agreement, on June 14, 2023, Executive was granted stock options to 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4,122,091 shares of the Company’s common stock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Initial Option</w:t>
      </w:r>
      <w:r>
        <w:rPr>
          <w:rFonts w:ascii="Times New Roman" w:cs="Times New Roman" w:eastAsia="Times New Roman" w:hAnsi="Times New Roman"/>
          <w:sz w:val="20"/>
          <w:szCs w:val="20"/>
          <w:color w:val="auto"/>
        </w:rPr>
        <w:t>”). The Initial Option was granted in accordance with the Company’s 2022 Incentive Award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related stock option documents. The Initial Option has an exercise price per share equal to the fair market value on the grant date, as determined by the Board. Subject to Executive’s continued employment with the Company, the Initial Option will vest over a four-year period starting on July 9, 2023 (the “</w:t>
      </w:r>
      <w:r>
        <w:rPr>
          <w:rFonts w:ascii="Times New Roman" w:cs="Times New Roman" w:eastAsia="Times New Roman" w:hAnsi="Times New Roman"/>
          <w:sz w:val="20"/>
          <w:szCs w:val="20"/>
          <w:b w:val="1"/>
          <w:bCs w:val="1"/>
          <w:i w:val="1"/>
          <w:iCs w:val="1"/>
          <w:color w:val="auto"/>
        </w:rPr>
        <w:t>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Commencement Date</w:t>
      </w:r>
      <w:r>
        <w:rPr>
          <w:rFonts w:ascii="Times New Roman" w:cs="Times New Roman" w:eastAsia="Times New Roman" w:hAnsi="Times New Roman"/>
          <w:sz w:val="20"/>
          <w:szCs w:val="20"/>
          <w:color w:val="auto"/>
        </w:rPr>
        <w:t>”), with 25% of the shares fully vested twelve (12) months after the Vesting Commencement Date and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remainder vesting in thirty-six (36) equal monthly installments over the subsequent three (3) year period.</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50" w:lineRule="auto"/>
        <w:tabs>
          <w:tab w:leader="none" w:pos="164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Milestone Option</w:t>
      </w:r>
      <w:r>
        <w:rPr>
          <w:rFonts w:ascii="Times New Roman" w:cs="Times New Roman" w:eastAsia="Times New Roman" w:hAnsi="Times New Roman"/>
          <w:sz w:val="20"/>
          <w:szCs w:val="20"/>
          <w:color w:val="auto"/>
        </w:rPr>
        <w:t>: Pursuant to the Prior Agreement, on June 14, 2023, Executive was also granted stock options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1,161,680 Shares (the “</w:t>
      </w:r>
      <w:r>
        <w:rPr>
          <w:rFonts w:ascii="Times New Roman" w:cs="Times New Roman" w:eastAsia="Times New Roman" w:hAnsi="Times New Roman"/>
          <w:sz w:val="20"/>
          <w:szCs w:val="20"/>
          <w:b w:val="1"/>
          <w:bCs w:val="1"/>
          <w:i w:val="1"/>
          <w:iCs w:val="1"/>
          <w:color w:val="auto"/>
        </w:rPr>
        <w:t>Milestone Option</w:t>
      </w:r>
      <w:r>
        <w:rPr>
          <w:rFonts w:ascii="Times New Roman" w:cs="Times New Roman" w:eastAsia="Times New Roman" w:hAnsi="Times New Roman"/>
          <w:sz w:val="20"/>
          <w:szCs w:val="20"/>
          <w:color w:val="auto"/>
        </w:rPr>
        <w:t>”). The Milestone Option was granted in accordance with the Plan and related stock option documents. The Milestone Option has an exercise price per share equal to the fair market value on the grant date, as determined by the Board. The Milestone Option will vest as follows:</w:t>
      </w:r>
    </w:p>
    <w:p>
      <w:pPr>
        <w:spacing w:after="0" w:line="189" w:lineRule="exact"/>
        <w:rPr>
          <w:rFonts w:ascii="Times New Roman" w:cs="Times New Roman" w:eastAsia="Times New Roman" w:hAnsi="Times New Roman"/>
          <w:sz w:val="20"/>
          <w:szCs w:val="20"/>
          <w:color w:val="auto"/>
        </w:rPr>
      </w:pPr>
    </w:p>
    <w:p>
      <w:pPr>
        <w:jc w:val="both"/>
        <w:ind w:left="1860" w:firstLine="743"/>
        <w:spacing w:after="0" w:line="242" w:lineRule="auto"/>
        <w:tabs>
          <w:tab w:leader="none" w:pos="3178"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280,000 Shares subject to the Milestone Option (the “</w:t>
      </w:r>
      <w:r>
        <w:rPr>
          <w:rFonts w:ascii="Times New Roman" w:cs="Times New Roman" w:eastAsia="Times New Roman" w:hAnsi="Times New Roman"/>
          <w:sz w:val="20"/>
          <w:szCs w:val="20"/>
          <w:b w:val="1"/>
          <w:bCs w:val="1"/>
          <w:i w:val="1"/>
          <w:iCs w:val="1"/>
          <w:color w:val="auto"/>
        </w:rPr>
        <w:t>First Milestone Option</w:t>
      </w:r>
      <w:r>
        <w:rPr>
          <w:rFonts w:ascii="Times New Roman" w:cs="Times New Roman" w:eastAsia="Times New Roman" w:hAnsi="Times New Roman"/>
          <w:sz w:val="20"/>
          <w:szCs w:val="20"/>
          <w:color w:val="auto"/>
        </w:rPr>
        <w:t>”) will be eligible to vest upon successful completion of the initial public offering of the Company’s common stock on a public exchange by December 31, 2026, subject to Executive’s continued employment with the Company through such date;</w:t>
      </w:r>
    </w:p>
    <w:p>
      <w:pPr>
        <w:spacing w:after="0" w:line="196" w:lineRule="exact"/>
        <w:rPr>
          <w:rFonts w:ascii="Times New Roman" w:cs="Times New Roman" w:eastAsia="Times New Roman" w:hAnsi="Times New Roman"/>
          <w:sz w:val="22"/>
          <w:szCs w:val="22"/>
          <w:color w:val="auto"/>
        </w:rPr>
      </w:pPr>
    </w:p>
    <w:p>
      <w:pPr>
        <w:jc w:val="both"/>
        <w:ind w:left="1860" w:firstLine="743"/>
        <w:spacing w:after="0" w:line="244" w:lineRule="auto"/>
        <w:tabs>
          <w:tab w:leader="none" w:pos="3178"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280,000 Shares subject to the Milestone Option (the “</w:t>
      </w:r>
      <w:r>
        <w:rPr>
          <w:rFonts w:ascii="Times New Roman" w:cs="Times New Roman" w:eastAsia="Times New Roman" w:hAnsi="Times New Roman"/>
          <w:sz w:val="20"/>
          <w:szCs w:val="20"/>
          <w:b w:val="1"/>
          <w:bCs w:val="1"/>
          <w:i w:val="1"/>
          <w:iCs w:val="1"/>
          <w:color w:val="auto"/>
        </w:rPr>
        <w:t>Second Milestone Option</w:t>
      </w:r>
      <w:r>
        <w:rPr>
          <w:rFonts w:ascii="Times New Roman" w:cs="Times New Roman" w:eastAsia="Times New Roman" w:hAnsi="Times New Roman"/>
          <w:sz w:val="20"/>
          <w:szCs w:val="20"/>
          <w:color w:val="auto"/>
        </w:rPr>
        <w:t>”) will be eligible to vest upon the enrolment of the first patient in the IR trial by December 31, 2026, subject to Executive’s continued employment with the Company through such date;</w:t>
      </w:r>
    </w:p>
    <w:p>
      <w:pPr>
        <w:spacing w:after="0" w:line="193" w:lineRule="exact"/>
        <w:rPr>
          <w:rFonts w:ascii="Times New Roman" w:cs="Times New Roman" w:eastAsia="Times New Roman" w:hAnsi="Times New Roman"/>
          <w:sz w:val="22"/>
          <w:szCs w:val="22"/>
          <w:color w:val="auto"/>
        </w:rPr>
      </w:pPr>
    </w:p>
    <w:p>
      <w:pPr>
        <w:jc w:val="both"/>
        <w:ind w:left="1860" w:firstLine="743"/>
        <w:spacing w:after="0" w:line="244" w:lineRule="auto"/>
        <w:tabs>
          <w:tab w:leader="none" w:pos="3178"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160,840 Shares subject to the Milestone Option (the “</w:t>
      </w:r>
      <w:r>
        <w:rPr>
          <w:rFonts w:ascii="Times New Roman" w:cs="Times New Roman" w:eastAsia="Times New Roman" w:hAnsi="Times New Roman"/>
          <w:sz w:val="20"/>
          <w:szCs w:val="20"/>
          <w:b w:val="1"/>
          <w:bCs w:val="1"/>
          <w:i w:val="1"/>
          <w:iCs w:val="1"/>
          <w:color w:val="auto"/>
        </w:rPr>
        <w:t>Third Milestone Option</w:t>
      </w:r>
      <w:r>
        <w:rPr>
          <w:rFonts w:ascii="Times New Roman" w:cs="Times New Roman" w:eastAsia="Times New Roman" w:hAnsi="Times New Roman"/>
          <w:sz w:val="20"/>
          <w:szCs w:val="20"/>
          <w:color w:val="auto"/>
        </w:rPr>
        <w:t>”) will be eligible to vest upon the Company achieving commercial organization readiness by December 31, 2026, as determined by the Board, subject to Executive’s continued employment with the Company through such date;</w:t>
      </w:r>
    </w:p>
    <w:p>
      <w:pPr>
        <w:spacing w:after="0" w:line="193" w:lineRule="exact"/>
        <w:rPr>
          <w:rFonts w:ascii="Times New Roman" w:cs="Times New Roman" w:eastAsia="Times New Roman" w:hAnsi="Times New Roman"/>
          <w:sz w:val="22"/>
          <w:szCs w:val="22"/>
          <w:color w:val="auto"/>
        </w:rPr>
      </w:pPr>
    </w:p>
    <w:p>
      <w:pPr>
        <w:jc w:val="both"/>
        <w:ind w:left="1860" w:firstLine="743"/>
        <w:spacing w:after="0" w:line="241" w:lineRule="auto"/>
        <w:tabs>
          <w:tab w:leader="none" w:pos="3178"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280,000 Shares subject to the Milestone Option (the “</w:t>
      </w:r>
      <w:r>
        <w:rPr>
          <w:rFonts w:ascii="Times New Roman" w:cs="Times New Roman" w:eastAsia="Times New Roman" w:hAnsi="Times New Roman"/>
          <w:sz w:val="20"/>
          <w:szCs w:val="20"/>
          <w:b w:val="1"/>
          <w:bCs w:val="1"/>
          <w:i w:val="1"/>
          <w:iCs w:val="1"/>
          <w:color w:val="auto"/>
        </w:rPr>
        <w:t>Fourth Milestone Option</w:t>
      </w:r>
      <w:r>
        <w:rPr>
          <w:rFonts w:ascii="Times New Roman" w:cs="Times New Roman" w:eastAsia="Times New Roman" w:hAnsi="Times New Roman"/>
          <w:sz w:val="20"/>
          <w:szCs w:val="20"/>
          <w:color w:val="auto"/>
        </w:rPr>
        <w:t>”) will be eligible to vest upon the approval by the Federal Drug Administration of the Company’s Biologics License Application with respect to cretostimogene grenadenorepvec (CG0070) (“</w:t>
      </w:r>
      <w:r>
        <w:rPr>
          <w:rFonts w:ascii="Times New Roman" w:cs="Times New Roman" w:eastAsia="Times New Roman" w:hAnsi="Times New Roman"/>
          <w:sz w:val="20"/>
          <w:szCs w:val="20"/>
          <w:b w:val="1"/>
          <w:bCs w:val="1"/>
          <w:i w:val="1"/>
          <w:iCs w:val="1"/>
          <w:color w:val="auto"/>
        </w:rPr>
        <w:t>BLA Approval</w:t>
      </w:r>
      <w:r>
        <w:rPr>
          <w:rFonts w:ascii="Times New Roman" w:cs="Times New Roman" w:eastAsia="Times New Roman" w:hAnsi="Times New Roman"/>
          <w:sz w:val="20"/>
          <w:szCs w:val="20"/>
          <w:color w:val="auto"/>
        </w:rPr>
        <w:t>”), provided such BLA Approval occurs on or before December 31, 2026, subject to Executive’s continued employment with the Company through such date; and</w:t>
      </w:r>
    </w:p>
    <w:p>
      <w:pPr>
        <w:spacing w:after="0" w:line="199" w:lineRule="exact"/>
        <w:rPr>
          <w:rFonts w:ascii="Times New Roman" w:cs="Times New Roman" w:eastAsia="Times New Roman" w:hAnsi="Times New Roman"/>
          <w:sz w:val="22"/>
          <w:szCs w:val="22"/>
          <w:color w:val="auto"/>
        </w:rPr>
      </w:pPr>
    </w:p>
    <w:p>
      <w:pPr>
        <w:jc w:val="both"/>
        <w:ind w:left="1860" w:firstLine="743"/>
        <w:spacing w:after="0" w:line="244" w:lineRule="auto"/>
        <w:tabs>
          <w:tab w:leader="none" w:pos="3178"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160,840 Shares subject to the Milestone Option (the “</w:t>
      </w:r>
      <w:r>
        <w:rPr>
          <w:rFonts w:ascii="Times New Roman" w:cs="Times New Roman" w:eastAsia="Times New Roman" w:hAnsi="Times New Roman"/>
          <w:sz w:val="20"/>
          <w:szCs w:val="20"/>
          <w:b w:val="1"/>
          <w:bCs w:val="1"/>
          <w:i w:val="1"/>
          <w:iCs w:val="1"/>
          <w:color w:val="auto"/>
        </w:rPr>
        <w:t>Fifth Milestone Option</w:t>
      </w:r>
      <w:r>
        <w:rPr>
          <w:rFonts w:ascii="Times New Roman" w:cs="Times New Roman" w:eastAsia="Times New Roman" w:hAnsi="Times New Roman"/>
          <w:sz w:val="20"/>
          <w:szCs w:val="20"/>
          <w:color w:val="auto"/>
        </w:rPr>
        <w:t>”) will be eligible to vest upon the Company’s achievement of the first successful commercial sale by December 31, 2026, subject to Executive’s continued employment with the Company through such date.</w:t>
      </w:r>
    </w:p>
    <w:p>
      <w:pPr>
        <w:spacing w:after="0" w:line="183" w:lineRule="exact"/>
        <w:rPr>
          <w:rFonts w:ascii="Times New Roman" w:cs="Times New Roman" w:eastAsia="Times New Roman" w:hAnsi="Times New Roman"/>
          <w:sz w:val="22"/>
          <w:szCs w:val="22"/>
          <w:color w:val="auto"/>
        </w:rPr>
      </w:pPr>
    </w:p>
    <w:p>
      <w:pPr>
        <w:ind w:left="-400" w:firstLine="757"/>
        <w:spacing w:after="0" w:line="269" w:lineRule="auto"/>
        <w:tabs>
          <w:tab w:leader="none" w:pos="61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During the Term, Executive (and Executive’s spouse and/or eligible dependents to the extent provided in the applicable plans and programs) shall be eligible to participate in and be covered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850265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3" w:right="339" w:bottom="1440" w:gutter="0" w:footer="0" w:header="0"/>
        </w:sectPr>
      </w:pPr>
    </w:p>
    <w:bookmarkStart w:id="183" w:name="page184"/>
    <w:bookmarkEnd w:id="183"/>
    <w:p>
      <w:pPr>
        <w:jc w:val="both"/>
        <w:spacing w:after="0" w:line="243" w:lineRule="auto"/>
        <w:rPr>
          <w:sz w:val="20"/>
          <w:szCs w:val="20"/>
          <w:color w:val="auto"/>
        </w:rPr>
      </w:pPr>
      <w:r>
        <w:rPr>
          <w:rFonts w:ascii="Times New Roman" w:cs="Times New Roman" w:eastAsia="Times New Roman" w:hAnsi="Times New Roman"/>
          <w:sz w:val="20"/>
          <w:szCs w:val="20"/>
          <w:color w:val="auto"/>
        </w:rPr>
        <w:t>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on the same terms and conditions as those applicable to similarly situated senior executives. In addition, during the Term, Executive shall be eligible to participate in any retirement, savings and other employee benefit plans and programs maintained from time to time by the Company for the benefit of its senior executive officers. Nothing contained in this Section 2(e)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189" w:lineRule="exact"/>
        <w:rPr>
          <w:sz w:val="20"/>
          <w:szCs w:val="20"/>
          <w:color w:val="auto"/>
        </w:rPr>
      </w:pPr>
    </w:p>
    <w:p>
      <w:pPr>
        <w:jc w:val="both"/>
        <w:ind w:firstLine="757"/>
        <w:spacing w:after="0" w:line="249" w:lineRule="auto"/>
        <w:tabs>
          <w:tab w:leader="none" w:pos="101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 or Paid Time Off</w:t>
      </w:r>
      <w:r>
        <w:rPr>
          <w:rFonts w:ascii="Times New Roman" w:cs="Times New Roman" w:eastAsia="Times New Roman" w:hAnsi="Times New Roman"/>
          <w:sz w:val="20"/>
          <w:szCs w:val="20"/>
          <w:color w:val="auto"/>
        </w:rPr>
        <w:t>. During the Term, Executive shall be entitled to paid personal leave in accordance with the Company’s Policies applicable to similarly situated executives. Any vacation or paid time off shall be taken in the reasonable convenience of Executive. Through the Company’s paid time-off policies Executive will receive paid sick leave as required by state and any applicable local laws.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Travel and Expense Reimbursement Policy.</w:t>
      </w:r>
    </w:p>
    <w:p>
      <w:pPr>
        <w:spacing w:after="0" w:line="17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Relocation Reimbursement</w:t>
      </w:r>
      <w:r>
        <w:rPr>
          <w:rFonts w:ascii="Times New Roman" w:cs="Times New Roman" w:eastAsia="Times New Roman" w:hAnsi="Times New Roman"/>
          <w:sz w:val="20"/>
          <w:szCs w:val="20"/>
          <w:color w:val="auto"/>
        </w:rPr>
        <w:t>. If the Company should require Executive to relocate from the Principal Location to the Orange County, California area in order to work from the Company’s principal executive offices, the Company shall pay for or reimburse Executive for Executive’s reasonable relocation expenses (the “</w:t>
      </w:r>
      <w:r>
        <w:rPr>
          <w:rFonts w:ascii="Times New Roman" w:cs="Times New Roman" w:eastAsia="Times New Roman" w:hAnsi="Times New Roman"/>
          <w:sz w:val="20"/>
          <w:szCs w:val="20"/>
          <w:b w:val="1"/>
          <w:bCs w:val="1"/>
          <w:i w:val="1"/>
          <w:iCs w:val="1"/>
          <w:color w:val="auto"/>
        </w:rPr>
        <w:t>Relocation Reimbursement</w:t>
      </w:r>
      <w:r>
        <w:rPr>
          <w:rFonts w:ascii="Times New Roman" w:cs="Times New Roman" w:eastAsia="Times New Roman" w:hAnsi="Times New Roman"/>
          <w:sz w:val="20"/>
          <w:szCs w:val="20"/>
          <w:color w:val="auto"/>
        </w:rPr>
        <w:t>”). In addition, the Company shall pay to Executive a tax gross-up (the “</w:t>
      </w:r>
      <w:r>
        <w:rPr>
          <w:rFonts w:ascii="Times New Roman" w:cs="Times New Roman" w:eastAsia="Times New Roman" w:hAnsi="Times New Roman"/>
          <w:sz w:val="20"/>
          <w:szCs w:val="20"/>
          <w:b w:val="1"/>
          <w:bCs w:val="1"/>
          <w:i w:val="1"/>
          <w:iCs w:val="1"/>
          <w:color w:val="auto"/>
        </w:rPr>
        <w:t>Tax Gross-Up</w:t>
      </w:r>
      <w:r>
        <w:rPr>
          <w:rFonts w:ascii="Times New Roman" w:cs="Times New Roman" w:eastAsia="Times New Roman" w:hAnsi="Times New Roman"/>
          <w:sz w:val="20"/>
          <w:szCs w:val="20"/>
          <w:color w:val="auto"/>
        </w:rPr>
        <w:t>”) for any federal and state income and employment taxes that Executive is required to pay resulting from the Relocation Reimbursement and from the Tax Gross-Up, which Tax Gross-Up shall be paid in accordance with Treasury Regulation Section 1.409A-3(i)(1)(v). The Relocation Reimbursement and any Tax Gross-Up shall be subject to an aggregate cap of $90,000. All amounts eligible for the Relocation Reimbursement must be incurred by and paid to Executive during the term of Executive’s employment with the Company. The Relocation Reimbursement and the Tax Gross-Up shall be paid to Executive within thirty (30) days following the Company’s receipt of a written request for such reimbursement, but subject to receipt by the Company of supporting receipts and/or documentation and/or receipts in form and substance reasonably acceptable to the Company in a manner required by the Company’s Travel and Expense Reimbursement Policy.</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and D&amp;O Insurance</w:t>
      </w:r>
      <w:r>
        <w:rPr>
          <w:rFonts w:ascii="Times New Roman" w:cs="Times New Roman" w:eastAsia="Times New Roman" w:hAnsi="Times New Roman"/>
          <w:sz w:val="20"/>
          <w:szCs w:val="20"/>
          <w:color w:val="auto"/>
        </w:rPr>
        <w:t>. The Company shall indemnify Executive (and advance expenses to Executive) to the greatest extent permitted by applicable state law and shall provide Executive with coverage under a directors’ and officers’ liability insurance policy to the same extent provided to other senior executives and directors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spacing w:after="0" w:line="200" w:lineRule="exact"/>
        <w:rPr>
          <w:sz w:val="20"/>
          <w:szCs w:val="20"/>
          <w:color w:val="auto"/>
        </w:rPr>
      </w:pPr>
    </w:p>
    <w:p>
      <w:pPr>
        <w:spacing w:after="0" w:line="20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9" w:lineRule="exact"/>
        <w:rPr>
          <w:sz w:val="20"/>
          <w:szCs w:val="20"/>
          <w:color w:val="auto"/>
        </w:rPr>
      </w:pPr>
    </w:p>
    <w:p>
      <w:pPr>
        <w:ind w:left="1020" w:hanging="263"/>
        <w:spacing w:after="0"/>
        <w:tabs>
          <w:tab w:leader="none" w:pos="102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 Executive’s</w:t>
      </w:r>
    </w:p>
    <w:p>
      <w:pPr>
        <w:spacing w:after="0" w:line="2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w:t>
      </w:r>
    </w:p>
    <w:p>
      <w:pPr>
        <w:spacing w:after="0" w:line="18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215"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51"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55"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0"/>
          <w:szCs w:val="20"/>
          <w:b w:val="1"/>
          <w:bCs w:val="1"/>
          <w:i w:val="1"/>
          <w:iCs w:val="1"/>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Termination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Executive delivers a Notice of Termination to the Company, the Company may,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87"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Obligations upon Termination</w:t>
      </w:r>
      <w:r>
        <w:rPr>
          <w:rFonts w:ascii="Times New Roman" w:cs="Times New Roman" w:eastAsia="Times New Roman" w:hAnsi="Times New Roman"/>
          <w:sz w:val="20"/>
          <w:szCs w:val="20"/>
          <w:color w:val="auto"/>
        </w:rPr>
        <w:t xml:space="preserve">. Upon termination of Executive’s employment pursuant to any of the circumstances listed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Executive (or Executive’s estate, if applicable) shall be entitled to receive, at a minimum, the following (the “</w:t>
      </w:r>
      <w:r>
        <w:rPr>
          <w:rFonts w:ascii="Times New Roman" w:cs="Times New Roman" w:eastAsia="Times New Roman" w:hAnsi="Times New Roman"/>
          <w:sz w:val="20"/>
          <w:szCs w:val="20"/>
          <w:b w:val="1"/>
          <w:bCs w:val="1"/>
          <w:i w:val="1"/>
          <w:iCs w:val="1"/>
          <w:color w:val="auto"/>
        </w:rPr>
        <w:t>Accrued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(i) the portion of Executive’s Annual Base Salary earned through the Date of Termination, but not yet paid to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(payable on the Company’s next payroll date or such earlier date as required by applicable law); (ii) any expense reimbursements owed to Executive pursuant to Section 2(g), payable pursuant to the applicable policy; and (iii) any amount accrued and arising from Executive’s participation in, or benefits accrued under</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jc w:val="both"/>
        <w:spacing w:after="0" w:line="260" w:lineRule="auto"/>
        <w:rPr>
          <w:sz w:val="20"/>
          <w:szCs w:val="20"/>
          <w:color w:val="auto"/>
        </w:rPr>
      </w:pPr>
      <w:r>
        <w:rPr>
          <w:rFonts w:ascii="Times New Roman" w:cs="Times New Roman" w:eastAsia="Times New Roman" w:hAnsi="Times New Roman"/>
          <w:sz w:val="19"/>
          <w:szCs w:val="19"/>
          <w:color w:val="auto"/>
        </w:rPr>
        <w:t>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19"/>
          <w:szCs w:val="19"/>
          <w:b w:val="1"/>
          <w:bCs w:val="1"/>
          <w:i w:val="1"/>
          <w:iCs w:val="1"/>
          <w:color w:val="auto"/>
        </w:rPr>
        <w:t>Company Arrangements</w:t>
      </w:r>
      <w:r>
        <w:rPr>
          <w:rFonts w:ascii="Times New Roman" w:cs="Times New Roman" w:eastAsia="Times New Roman" w:hAnsi="Times New Roman"/>
          <w:sz w:val="19"/>
          <w:szCs w:val="19"/>
          <w:color w:val="auto"/>
        </w:rPr>
        <w:t>”). Except as otherwise expressly required by law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COBRA) or applicable Company Arrangement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for severance benefits shall be to receive the payments and benefits described in this Section 3(c) or Section 4, as applicable.</w:t>
      </w:r>
    </w:p>
    <w:p>
      <w:pPr>
        <w:spacing w:after="0" w:line="173" w:lineRule="exact"/>
        <w:rPr>
          <w:sz w:val="20"/>
          <w:szCs w:val="20"/>
          <w:color w:val="auto"/>
        </w:rPr>
      </w:pPr>
    </w:p>
    <w:p>
      <w:pPr>
        <w:ind w:firstLine="757"/>
        <w:spacing w:after="0" w:line="269" w:lineRule="auto"/>
        <w:tabs>
          <w:tab w:leader="none" w:pos="101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5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Upon termination of Executive’s employment for any reason, unless otherwise specified in a written agreement between Executive and the Company, Executive agrees to return to the Company all documents of the Company and its affiliates (and all copies thereof) and all other Company or Company affiliate property that Executive has in his possession, custody, or control. Such property includes, without limitation: (i) any materials of any kind that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spacing w:after="0" w:line="201"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Resignation from the Company Without Good Reason or Resignation from the Company for Good Reason Prior to a Change in Control or More Than Eighteen (18) Months Following a Change in Control</w:t>
      </w:r>
      <w:r>
        <w:rPr>
          <w:rFonts w:ascii="Times New Roman" w:cs="Times New Roman" w:eastAsia="Times New Roman" w:hAnsi="Times New Roman"/>
          <w:sz w:val="20"/>
          <w:szCs w:val="20"/>
          <w:color w:val="auto"/>
        </w:rPr>
        <w:t>. If Executive’s employment shall terminate as a result of Executive’s death pursuant to Section 3(a)(i) or Disability pursuant to Section 3(a)(ii), pursuant to Section 3(a)(iii) for Cause, pursuant to Section 3(a)(vi) for Executive’s resignation from the Company without Good Reason, or pursuant to Section 3(a)(v) for Executive’s resignation from the Company with Good Reason, and such resignation for Good Reason occurs prior to a Change in Control or more than eighteen (18) months following a Change in Control, then Executive shall not be entitled to any severance payments or benefits, except for the Accrued Obligations as provided in Section 3(c).</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Prior to a Change in Control or More Than Eighteen (18) Months Following a Change in Control</w:t>
      </w:r>
      <w:r>
        <w:rPr>
          <w:rFonts w:ascii="Times New Roman" w:cs="Times New Roman" w:eastAsia="Times New Roman" w:hAnsi="Times New Roman"/>
          <w:sz w:val="20"/>
          <w:szCs w:val="20"/>
          <w:color w:val="auto"/>
        </w:rPr>
        <w:t>. If Executive’s employment terminates without Cause pursuant to Section 3(a)(iv), and such termination without Cause occurs prior to a Change in Control or more than eighteen (18) months following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185" w:lineRule="exact"/>
        <w:rPr>
          <w:sz w:val="20"/>
          <w:szCs w:val="20"/>
          <w:color w:val="auto"/>
        </w:rPr>
      </w:pPr>
    </w:p>
    <w:p>
      <w:pPr>
        <w:jc w:val="both"/>
        <w:ind w:left="760" w:firstLine="745"/>
        <w:spacing w:after="0" w:line="254" w:lineRule="auto"/>
        <w:tabs>
          <w:tab w:leader="none" w:pos="204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1.5 times Executive’s Annual Base Salary as in effect immediately prior to the Date of Termination, payable in a lump sum on the first regular payroll date following the effective date of Executive’s Release (as defined below);</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jc w:val="both"/>
        <w:ind w:left="360" w:firstLine="745"/>
        <w:spacing w:after="0" w:line="241" w:lineRule="auto"/>
        <w:tabs>
          <w:tab w:leader="none" w:pos="164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then the Company shall directly pay, or reimburse Executive for, the COBRA premiums for Executive and Executive’s covered dependents under such plans during the period commencing on Executive’s Separation from Service and ending upon the earliest of (A) the last day of the eighteen (18)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0"/>
          <w:szCs w:val="20"/>
          <w:b w:val="1"/>
          <w:bCs w:val="1"/>
          <w:i w:val="1"/>
          <w:iCs w:val="1"/>
          <w:color w:val="auto"/>
        </w:rPr>
        <w:t>COBRA Continuation Period</w:t>
      </w:r>
      <w:r>
        <w:rPr>
          <w:rFonts w:ascii="Times New Roman" w:cs="Times New Roman" w:eastAsia="Times New Roman" w:hAnsi="Times New Roman"/>
          <w:sz w:val="20"/>
          <w:szCs w:val="20"/>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COBRA Continuation Period;</w:t>
      </w:r>
    </w:p>
    <w:p>
      <w:pPr>
        <w:spacing w:after="0" w:line="194"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164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prorated for the portion of the year in which Executive’s Date of Termination occurs that has elapsed through the Date of Termination, payable in a lump sum on the first regular payroll date following the effective date of Executive’s Release (but in no event later than March 15 of the calendar year following the year in which Executive’s Date of Termination occurs);</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56" w:lineRule="auto"/>
        <w:tabs>
          <w:tab w:leader="none" w:pos="1648"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with respect to Company equity awards held by Executive other than the Initial Option, such number of the outstanding, unvested Company equity awards held by Executive under any Company equity compensation plans as would have vested during the eighteen (18) months following the date of Executive’s Separation from Service had Executive continued in employment or service with the Company during such period shall immediately become vested on the effectiveness of the Release;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with respect to this clause (A), any performance-based equity award will remain subject to attainment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relevant performance goals unless a more favorable or alternative provision is contained in an applicable award agreement; and</w:t>
      </w:r>
    </w:p>
    <w:p>
      <w:pPr>
        <w:jc w:val="both"/>
        <w:ind w:left="360" w:hanging="3"/>
        <w:spacing w:after="0"/>
        <w:tabs>
          <w:tab w:leader="none" w:pos="68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Initial Option only, (1) to the extent such termination occurs on or after the first (1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anniversary of July 9, 2023 but prior to July 9, 2025, such portion of the Initial Option as would have vested during the eighteen (18) months following the date of Executive’s Separation from Service had Executive continued in employment or service with the Company during such period shall immediately become vested on the effectiveness of the Release; and (2) to the extent such termination occurs on or after the July 9, 2025, any remaining unvested portion of the Initial Option shall immediately become vested on the effectiveness of the Release; and</w:t>
      </w:r>
    </w:p>
    <w:p>
      <w:pPr>
        <w:spacing w:after="0" w:line="191"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1648"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outplacement services by a nationally or industry-recognized outplacement services organization of the Executive’s choosing, subject to the written consent of the Company (not to be unreasonably withheld), for the cost of eighteen (18) months of professional outplacement services for the Executive up to a maximum cost of $20,000,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850265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3" w:right="339" w:bottom="1440" w:gutter="0" w:footer="0" w:header="0"/>
        </w:sectPr>
      </w:pPr>
    </w:p>
    <w:bookmarkStart w:id="187" w:name="page188"/>
    <w:bookmarkEnd w:id="187"/>
    <w:p>
      <w:pPr>
        <w:ind w:left="360"/>
        <w:spacing w:after="0"/>
        <w:rPr>
          <w:sz w:val="20"/>
          <w:szCs w:val="20"/>
          <w:color w:val="auto"/>
        </w:rPr>
      </w:pPr>
      <w:r>
        <w:rPr>
          <w:rFonts w:ascii="Times New Roman" w:cs="Times New Roman" w:eastAsia="Times New Roman" w:hAnsi="Times New Roman"/>
          <w:sz w:val="20"/>
          <w:szCs w:val="20"/>
          <w:color w:val="auto"/>
        </w:rPr>
        <w:t>Executive commences the use of such services no later than the ninetieth (90th) day following the Date of Termination.</w:t>
      </w:r>
    </w:p>
    <w:p>
      <w:pPr>
        <w:spacing w:after="0" w:line="216" w:lineRule="exact"/>
        <w:rPr>
          <w:sz w:val="20"/>
          <w:szCs w:val="20"/>
          <w:color w:val="auto"/>
        </w:rPr>
      </w:pPr>
    </w:p>
    <w:p>
      <w:pPr>
        <w:jc w:val="both"/>
        <w:ind w:left="-400" w:firstLine="757"/>
        <w:spacing w:after="0" w:line="246" w:lineRule="auto"/>
        <w:tabs>
          <w:tab w:leader="none" w:pos="61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lieu of the payments and benefits set forth in Section 4(b), in the event Executive’s employment terminates without Cause pursuant to Section 3(a)(iv), or pursuant to Section 3(a)(v) due to Executive’s resignation with Good Reason, in either case, on or within eighteen (18) months following the date of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164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2.0 times Executive’s Annual Base Salary as in effect immediately prior to the Date of Termination (and without regard to any reduction in Annual Base Salary that resulted in Executive’s resignation with Good Reason), payable in a lump sum on the first regular payroll date following the effective date of Executive’s Release;</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164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payable in a lump sum on the first regular payroll date following the effective date of Executive’s Release (but in no event later than March 15 of the calendar year following the year in which Executive’s Date of Termination occurs);</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1" w:lineRule="auto"/>
        <w:tabs>
          <w:tab w:leader="none" w:pos="164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during the period commencing on Executive’s Separation from Service and ending upon the earliest of (A) the last day of the twenty-four (24)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0"/>
          <w:szCs w:val="20"/>
          <w:b w:val="1"/>
          <w:bCs w:val="1"/>
          <w:i w:val="1"/>
          <w:iCs w:val="1"/>
          <w:color w:val="auto"/>
        </w:rPr>
        <w:t>CIC COBRA Continuation Period</w:t>
      </w:r>
      <w:r>
        <w:rPr>
          <w:rFonts w:ascii="Times New Roman" w:cs="Times New Roman" w:eastAsia="Times New Roman" w:hAnsi="Times New Roman"/>
          <w:sz w:val="20"/>
          <w:szCs w:val="20"/>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CIC COBRA Continuation Period;</w:t>
      </w:r>
    </w:p>
    <w:p>
      <w:pPr>
        <w:spacing w:after="0" w:line="19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164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outstanding, unvested Company equity awards held by Executive under any Company equity compensation plans shall immediately become 100% vested on the effectiveness of the Release,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performance-based equity award will remain subject to attainment of the relevant performance goals unless a more favorable or alternative provision is contained in an applicable award agreement; and</w:t>
      </w:r>
    </w:p>
    <w:p>
      <w:pPr>
        <w:spacing w:after="0" w:line="179" w:lineRule="exact"/>
        <w:rPr>
          <w:rFonts w:ascii="Times New Roman" w:cs="Times New Roman" w:eastAsia="Times New Roman" w:hAnsi="Times New Roman"/>
          <w:sz w:val="20"/>
          <w:szCs w:val="20"/>
          <w:color w:val="auto"/>
        </w:rPr>
      </w:pPr>
    </w:p>
    <w:p>
      <w:pPr>
        <w:ind w:left="360" w:firstLine="745"/>
        <w:spacing w:after="0" w:line="269" w:lineRule="auto"/>
        <w:tabs>
          <w:tab w:leader="none" w:pos="164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outplacement services by a nationally or industry-recognized outplacement services organization of the Executive’s choosing, subject to the written consent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850265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3" w:right="339" w:bottom="1440" w:gutter="0" w:footer="0" w:header="0"/>
        </w:sectPr>
      </w:pPr>
    </w:p>
    <w:bookmarkStart w:id="188" w:name="page189"/>
    <w:bookmarkEnd w:id="188"/>
    <w:p>
      <w:pPr>
        <w:jc w:val="both"/>
        <w:ind w:left="752"/>
        <w:spacing w:after="0" w:line="254" w:lineRule="auto"/>
        <w:rPr>
          <w:sz w:val="20"/>
          <w:szCs w:val="20"/>
          <w:color w:val="auto"/>
        </w:rPr>
      </w:pPr>
      <w:r>
        <w:rPr>
          <w:rFonts w:ascii="Times New Roman" w:cs="Times New Roman" w:eastAsia="Times New Roman" w:hAnsi="Times New Roman"/>
          <w:sz w:val="20"/>
          <w:szCs w:val="20"/>
          <w:color w:val="auto"/>
        </w:rPr>
        <w:t xml:space="preserve">(not to be unreasonably withheld), for the cost of twenty-four (24) months of professional outplacement services for the Executive up to a maximum cost of $20,000,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Executive commences the use of such services no later than the ninetieth (90th) day following the Date of Termination.</w:t>
      </w:r>
    </w:p>
    <w:p>
      <w:pPr>
        <w:spacing w:after="0" w:line="174" w:lineRule="exact"/>
        <w:rPr>
          <w:sz w:val="20"/>
          <w:szCs w:val="20"/>
          <w:color w:val="auto"/>
        </w:rPr>
      </w:pPr>
    </w:p>
    <w:p>
      <w:pPr>
        <w:jc w:val="both"/>
        <w:ind w:left="-8" w:firstLine="757"/>
        <w:spacing w:after="0" w:line="245" w:lineRule="auto"/>
        <w:tabs>
          <w:tab w:leader="none" w:pos="101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Notwithstanding the foregoing, it shall be a condition to the Executive’s right to receive the amounts provided for in Sections 4(b) and 4(c) hereof that the Executive execute and deliver to the Company an effective release of claims in substantially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within 21 days (or, to the extent required by law, 45 days) following the Date of Termination and that the Executive not revoke such Release during any applicable revocation period. For the avoidance of doubt, all equity awards eligible for accelerated vesting pursuant to this Section 4 shall remain outstanding and eligible to vest following the Date of Termination and shall actually vest and become exercisable (if applicable) and non-forfeitable upon the effectiveness of the Release.</w:t>
      </w:r>
    </w:p>
    <w:p>
      <w:pPr>
        <w:spacing w:after="0" w:line="184" w:lineRule="exact"/>
        <w:rPr>
          <w:rFonts w:ascii="Times New Roman" w:cs="Times New Roman" w:eastAsia="Times New Roman" w:hAnsi="Times New Roman"/>
          <w:sz w:val="20"/>
          <w:szCs w:val="20"/>
          <w:color w:val="auto"/>
        </w:rPr>
      </w:pPr>
    </w:p>
    <w:p>
      <w:pPr>
        <w:jc w:val="both"/>
        <w:ind w:left="-8" w:firstLine="757"/>
        <w:spacing w:after="0" w:line="246" w:lineRule="auto"/>
        <w:tabs>
          <w:tab w:leader="none" w:pos="116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In addition, Executive acknowledges and agrees that 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state statute.</w:t>
      </w:r>
    </w:p>
    <w:p>
      <w:pPr>
        <w:spacing w:after="0" w:line="194" w:lineRule="exact"/>
        <w:rPr>
          <w:rFonts w:ascii="Times New Roman" w:cs="Times New Roman" w:eastAsia="Times New Roman" w:hAnsi="Times New Roman"/>
          <w:sz w:val="20"/>
          <w:szCs w:val="20"/>
          <w:color w:val="auto"/>
        </w:rPr>
      </w:pPr>
    </w:p>
    <w:p>
      <w:pPr>
        <w:ind w:left="512" w:hanging="512"/>
        <w:spacing w:after="0"/>
        <w:tabs>
          <w:tab w:leader="none" w:pos="512"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left="-8" w:firstLine="757"/>
        <w:spacing w:after="0" w:line="249" w:lineRule="auto"/>
        <w:tabs>
          <w:tab w:leader="none" w:pos="101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hereby acknowledges that Executive has previously entered into the Company’s standard form of agreement containing confidentiality, intellectual property assignment and other protective covenants (the “</w:t>
      </w:r>
      <w:r>
        <w:rPr>
          <w:rFonts w:ascii="Times New Roman" w:cs="Times New Roman" w:eastAsia="Times New Roman" w:hAnsi="Times New Roman"/>
          <w:sz w:val="20"/>
          <w:szCs w:val="20"/>
          <w:b w:val="1"/>
          <w:bCs w:val="1"/>
          <w:i w:val="1"/>
          <w:iCs w:val="1"/>
          <w:color w:val="auto"/>
        </w:rPr>
        <w:t>Restrictive Covenant Agreement</w:t>
      </w:r>
      <w:r>
        <w:rPr>
          <w:rFonts w:ascii="Times New Roman" w:cs="Times New Roman" w:eastAsia="Times New Roman" w:hAnsi="Times New Roman"/>
          <w:sz w:val="20"/>
          <w:szCs w:val="20"/>
          <w:color w:val="auto"/>
        </w:rPr>
        <w:t xml:space="preserve">”), a copy of which is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Executive shall continue to be bound by the terms and conditions of the Restrictive Covenant Agreement, and hereby agrees that such agreement shall be additional to, and not in limitation of, the covenants contained in this Section 5.</w:t>
      </w:r>
    </w:p>
    <w:p>
      <w:pPr>
        <w:spacing w:after="0" w:line="179" w:lineRule="exact"/>
        <w:rPr>
          <w:rFonts w:ascii="Times New Roman" w:cs="Times New Roman" w:eastAsia="Times New Roman" w:hAnsi="Times New Roman"/>
          <w:sz w:val="20"/>
          <w:szCs w:val="20"/>
          <w:color w:val="auto"/>
        </w:rPr>
      </w:pPr>
    </w:p>
    <w:p>
      <w:pPr>
        <w:jc w:val="both"/>
        <w:ind w:left="-8" w:firstLine="757"/>
        <w:spacing w:after="0" w:line="243" w:lineRule="auto"/>
        <w:tabs>
          <w:tab w:leader="none" w:pos="101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shall hold in a fiduciary capacity for the benefit of the Company all secret or confidential information, knowledge or data relating to the Company and its subsidiaries and affiliates, which shall have been obtained by Executive in connection with Executive’s employment by the Company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Executive receives actual notice that Executive is or may be required by law or legal process to communicate or divulge any such information, knowledge or data, Executive shall promptly so notify the Company.</w:t>
      </w:r>
    </w:p>
    <w:p>
      <w:pPr>
        <w:spacing w:after="0" w:line="189" w:lineRule="exact"/>
        <w:rPr>
          <w:rFonts w:ascii="Times New Roman" w:cs="Times New Roman" w:eastAsia="Times New Roman" w:hAnsi="Times New Roman"/>
          <w:sz w:val="20"/>
          <w:szCs w:val="20"/>
          <w:color w:val="auto"/>
        </w:rPr>
      </w:pPr>
    </w:p>
    <w:p>
      <w:pPr>
        <w:jc w:val="both"/>
        <w:ind w:left="-8" w:firstLine="757"/>
        <w:spacing w:after="0" w:line="245" w:lineRule="auto"/>
        <w:tabs>
          <w:tab w:leader="none" w:pos="101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employed by the Company, Executive shall not be engaged in any other business activity that would be competitive with the business of the Company and its subsidiaries or affiliates. In addition, while employed by the Company and for a period of twelve (12) months after the Date of Termination, Executive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Executive shall not initiate discussion with any such person for any such purpose or authorize or knowingly cooperate with the taking of any such actions by</w:t>
      </w:r>
    </w:p>
    <w:p>
      <w:pPr>
        <w:spacing w:after="0" w:line="184"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850265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89" w:name="page190"/>
    <w:bookmarkEnd w:id="189"/>
    <w:p>
      <w:pPr>
        <w:ind w:right="20"/>
        <w:spacing w:after="0" w:line="269" w:lineRule="auto"/>
        <w:rPr>
          <w:sz w:val="20"/>
          <w:szCs w:val="20"/>
          <w:color w:val="auto"/>
        </w:rPr>
      </w:pPr>
      <w:r>
        <w:rPr>
          <w:rFonts w:ascii="Times New Roman" w:cs="Times New Roman" w:eastAsia="Times New Roman" w:hAnsi="Times New Roman"/>
          <w:sz w:val="20"/>
          <w:szCs w:val="20"/>
          <w:color w:val="auto"/>
        </w:rPr>
        <w:t>any other individual or entity except, in each case, to the extent the foregoing occurs as a result of general advertisements or other solicitations not specifically targeted to such employees and consultants.</w:t>
      </w:r>
    </w:p>
    <w:p>
      <w:pPr>
        <w:spacing w:after="0" w:line="159" w:lineRule="exact"/>
        <w:rPr>
          <w:sz w:val="20"/>
          <w:szCs w:val="20"/>
          <w:color w:val="auto"/>
        </w:rPr>
      </w:pPr>
    </w:p>
    <w:p>
      <w:pPr>
        <w:jc w:val="both"/>
        <w:ind w:firstLine="757"/>
        <w:spacing w:after="0" w:line="244" w:lineRule="auto"/>
        <w:tabs>
          <w:tab w:leader="none" w:pos="101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5(f), during Executive’s service with the Company and thereafter, excepting any litigation between the Parties, (i) Executive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 and (ii) the Company agrees to instruct its directors and executive officers not to publish or disseminate, directly or indirectly, any statements, whether written or oral, that are or could be harmful to or reflect negatively on Executive’s personal or business reputation or business.</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recognition of the fact that irreparable injury will result to the Company in the event of a breach by Executive of his obligations under Sections 5(a)-(d) hereof, that monetary damages for such breach would not be readily calculable, and that the Company would not have an adequate remedy at law therefor, Executive acknowledges, consents and agrees that in the event of such breach, the Company shall be entitled, in addition to any other legal remedies and damages available, to specific performance thereof and to temporary and permanent injunctive relief (without the necessity of posting a bond) to restrain the violation of such obligations by Executive and to cease the payment of any benefits under Section 4(b) or (c) above.</w:t>
      </w:r>
    </w:p>
    <w:p>
      <w:pPr>
        <w:spacing w:after="0" w:line="184" w:lineRule="exact"/>
        <w:rPr>
          <w:rFonts w:ascii="Times New Roman" w:cs="Times New Roman" w:eastAsia="Times New Roman" w:hAnsi="Times New Roman"/>
          <w:sz w:val="20"/>
          <w:szCs w:val="20"/>
          <w:color w:val="auto"/>
        </w:rPr>
      </w:pPr>
    </w:p>
    <w:p>
      <w:pPr>
        <w:jc w:val="both"/>
        <w:ind w:firstLine="757"/>
        <w:spacing w:after="0"/>
        <w:tabs>
          <w:tab w:leader="none" w:pos="101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the Restrictive Covenant Agreement or, if applicable, the Arbitration Agreement (as defined below) to the contrary, nothing contained in this Agreement shall prohibit either party (or either party’s attorney(s))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 Further, nothing in this Agreement prevents Executive from discussing or disclosing information about</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color w:val="auto"/>
        </w:rPr>
        <w:t>unlawful acts in the workplace, such as harassment or discrimination or any other conduct that Executive has reason to believe is unlawful.</w:t>
      </w:r>
    </w:p>
    <w:p>
      <w:pPr>
        <w:spacing w:after="0" w:line="225"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The Company may assign its rights and obligations under this Agreement to any successor to all or substantially all of the business or the assets of the Company (by merger or otherwise). The Company will require any such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assumption shall relieve the Company of its obligations hereunder.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99"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215" w:lineRule="exact"/>
        <w:rPr>
          <w:rFonts w:ascii="Times New Roman" w:cs="Times New Roman" w:eastAsia="Times New Roman" w:hAnsi="Times New Roman"/>
          <w:sz w:val="20"/>
          <w:szCs w:val="20"/>
          <w:color w:val="auto"/>
        </w:rPr>
      </w:pPr>
    </w:p>
    <w:p>
      <w:pPr>
        <w:jc w:val="both"/>
        <w:ind w:firstLine="799"/>
        <w:spacing w:after="0" w:line="249" w:lineRule="auto"/>
        <w:tabs>
          <w:tab w:leader="none" w:pos="118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failure by Executive to substantially perform Executive’s duties with the Company (other than any such failure resulting from incapacity due to physical or mental illness), after a written demand for substantial performance is delivered to Executive by the Company or an affiliate that specifically identifies the alleged manner in which Executive has not substantially performed Executive’s duties and after Executive has been provided with a thirty (30) day cure period, or Executive’s deliberate violation of a Company policy;</w:t>
      </w:r>
    </w:p>
    <w:p>
      <w:pPr>
        <w:spacing w:after="0" w:line="193" w:lineRule="exact"/>
        <w:rPr>
          <w:rFonts w:ascii="Times New Roman" w:cs="Times New Roman" w:eastAsia="Times New Roman" w:hAnsi="Times New Roman"/>
          <w:sz w:val="20"/>
          <w:szCs w:val="20"/>
          <w:color w:val="auto"/>
        </w:rPr>
      </w:pPr>
    </w:p>
    <w:p>
      <w:pPr>
        <w:jc w:val="both"/>
        <w:ind w:firstLine="799"/>
        <w:spacing w:after="0" w:line="254" w:lineRule="auto"/>
        <w:tabs>
          <w:tab w:leader="none" w:pos="1187"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engaging by Executive in illegal conduct or misconduct (including fraud, embezzlement, theft or dishonesty or material violation of any Company policy), or gross negligence, in any case that has caused or is reasonably expected to result in injury to the Company or any affiliate;</w:t>
      </w:r>
    </w:p>
    <w:p>
      <w:pPr>
        <w:spacing w:after="0" w:line="18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or plea of no contest to, a felony or any misdemeanor crime involving fraud, moral turpitude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dishonesty;</w:t>
      </w:r>
    </w:p>
    <w:p>
      <w:pPr>
        <w:spacing w:after="0" w:line="20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material breach of any written agreement or restrictive covenants with the Company; or</w:t>
      </w:r>
    </w:p>
    <w:p>
      <w:pPr>
        <w:spacing w:after="0" w:line="229" w:lineRule="exact"/>
        <w:rPr>
          <w:rFonts w:ascii="Times New Roman" w:cs="Times New Roman" w:eastAsia="Times New Roman" w:hAnsi="Times New Roman"/>
          <w:sz w:val="20"/>
          <w:szCs w:val="20"/>
          <w:color w:val="auto"/>
        </w:rPr>
      </w:pPr>
    </w:p>
    <w:p>
      <w:pPr>
        <w:jc w:val="both"/>
        <w:ind w:firstLine="799"/>
        <w:spacing w:after="0" w:line="246" w:lineRule="auto"/>
        <w:tabs>
          <w:tab w:leader="none" w:pos="1187"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violation of any law, rule or regulation relating in any way to the business or activities of the Company or any affiliate, or other law, rule or regulation that is violated, during the course of Executive’s performance of services hereunder that results in Executive’s regulatory suspension or disqualification, including, without limitation, the Generic Drug Enforcement Act of 1992, 21 U.S.C. § 335(a), or any similar legislation applicable in the United States or in any other country where the Company or any affiliate intends to develop its activities.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1" w:name="page192"/>
    <w:bookmarkEnd w:id="191"/>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 action or inaction based upon direction of the Board or advice of counsel to the Company shall constitute Cause. Poor performance shall not, in and of itself, constitute Cause. No termination of Executive’s employment for Cause shall occur absent a resolution of the Board and the reasonable opportunity for Executive (with Executive’s counsel) to be heard before the Board.</w:t>
      </w:r>
    </w:p>
    <w:p>
      <w:pPr>
        <w:spacing w:after="0" w:line="170" w:lineRule="exact"/>
        <w:rPr>
          <w:sz w:val="20"/>
          <w:szCs w:val="20"/>
          <w:color w:val="auto"/>
        </w:rPr>
      </w:pPr>
    </w:p>
    <w:p>
      <w:pPr>
        <w:ind w:left="1020" w:hanging="263"/>
        <w:spacing w:after="0"/>
        <w:tabs>
          <w:tab w:leader="none" w:pos="102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Company’s 2024 Incentive Award Plan.</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shall mean the Internal Revenue Code of 1986, as amended, and the regulations and guidance promulgated</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8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Date of Termination</w:t>
      </w:r>
      <w:r>
        <w:rPr>
          <w:rFonts w:ascii="Times New Roman" w:cs="Times New Roman" w:eastAsia="Times New Roman" w:hAnsi="Times New Roman"/>
          <w:sz w:val="20"/>
          <w:szCs w:val="20"/>
          <w:color w:val="auto"/>
        </w:rPr>
        <w:t>” shall mean (i) if Executive’s employment is terminated by Executive’s death, the date of Executive’s death; or (ii) if Executive’s employment is terminated pursuant to Sections 3(a)(ii) - (vi) either the date indicated in the Notice of Termination or the date specified by the Company pursuant to Section 3(b), whichever is earlier.</w:t>
      </w:r>
    </w:p>
    <w:p>
      <w:pPr>
        <w:spacing w:after="0" w:line="168"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xml:space="preserve">” shall mean, at any time the Company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reasonable accommodation, the essential functions of Executive’s positions hereunder for a total of 180 days within a 12 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93"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sole purpose of determining Executive’s right to severance payments and benefits as described above, Executive’s resignation will be with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if Executive resigns within one hundred twenty (120) days after any of the following events, unless Executive expressly consents in writing to the applicable event: (i) a reduction in Executive’s Annual Base Salary or Target Bonus, other than a reduction of less than ten percent (10%) (aggregating all prior reductions) that is implemented in connection with a contemporaneous reduction in annual base salaries affecting other senior executives of the Company; (ii) a material decrease in Executive’s authority or areas of responsibility as are commensurate with Executive’s title or position with the Company; (iii) the relocation of Executive’s primary working location to a location that is more than fifty (50) miles from Executive’s home office in New Jersey as of the Effective Date, provided, that, prior to the occurrence of a Change in Control, the Company’s requirement that Executive relocate pursuant to Section 2(h) will not constitute “Good Reason” so long as Executive has been provided with the Relocation Reimbursement;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2" w:name="page193"/>
    <w:bookmarkEnd w:id="192"/>
    <w:p>
      <w:pPr>
        <w:spacing w:after="0" w:line="200" w:lineRule="exact"/>
        <w:rPr>
          <w:sz w:val="20"/>
          <w:szCs w:val="20"/>
          <w:color w:val="auto"/>
        </w:rPr>
      </w:pPr>
    </w:p>
    <w:p>
      <w:pPr>
        <w:spacing w:after="0" w:line="228" w:lineRule="exact"/>
        <w:rPr>
          <w:sz w:val="20"/>
          <w:szCs w:val="20"/>
          <w:color w:val="auto"/>
        </w:rPr>
      </w:pPr>
    </w:p>
    <w:p>
      <w:pPr>
        <w:ind w:left="512" w:hanging="512"/>
        <w:spacing w:after="0"/>
        <w:tabs>
          <w:tab w:leader="none" w:pos="512"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left="-8" w:firstLine="757"/>
        <w:spacing w:after="0" w:line="253" w:lineRule="auto"/>
        <w:tabs>
          <w:tab w:leader="none" w:pos="1137"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Best Pay Provision</w:t>
      </w:r>
      <w:r>
        <w:rPr>
          <w:rFonts w:ascii="Times New Roman" w:cs="Times New Roman" w:eastAsia="Times New Roman" w:hAnsi="Times New Roman"/>
          <w:sz w:val="19"/>
          <w:szCs w:val="19"/>
          <w:color w:val="auto"/>
        </w:rPr>
        <w:t>. 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19"/>
          <w:szCs w:val="19"/>
          <w:b w:val="1"/>
          <w:bCs w:val="1"/>
          <w:i w:val="1"/>
          <w:iCs w:val="1"/>
          <w:color w:val="auto"/>
        </w:rPr>
        <w:t>Total Payments</w:t>
      </w:r>
      <w:r>
        <w:rPr>
          <w:rFonts w:ascii="Times New Roman" w:cs="Times New Roman" w:eastAsia="Times New Roman" w:hAnsi="Times New Roman"/>
          <w:sz w:val="19"/>
          <w:szCs w:val="19"/>
          <w:color w:val="auto"/>
        </w:rPr>
        <w:t>”) would be subject (in whole or part) to the excise tax (the “</w:t>
      </w:r>
      <w:r>
        <w:rPr>
          <w:rFonts w:ascii="Times New Roman" w:cs="Times New Roman" w:eastAsia="Times New Roman" w:hAnsi="Times New Roman"/>
          <w:sz w:val="19"/>
          <w:szCs w:val="19"/>
          <w:b w:val="1"/>
          <w:bCs w:val="1"/>
          <w:i w:val="1"/>
          <w:iCs w:val="1"/>
          <w:color w:val="auto"/>
        </w:rPr>
        <w:t>Excise Tax</w:t>
      </w:r>
      <w:r>
        <w:rPr>
          <w:rFonts w:ascii="Times New Roman" w:cs="Times New Roman" w:eastAsia="Times New Roman" w:hAnsi="Times New Roman"/>
          <w:sz w:val="19"/>
          <w:szCs w:val="19"/>
          <w:color w:val="auto"/>
        </w:rPr>
        <w:t xml:space="preserve">”)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 (x)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 (y) reduction of any other payments or benefits otherwise payable to Executive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in case of clauses (x), (y) and (z), that reduction of any payments or benefits attributable to the acceleration of vesting of Company equity awards shall be first applied to equity awards with later vesting dates;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notwithstanding the foregoing, any such reduction shall be undertaken in a manner that complies with and does not result in the imposition of additional taxes on Executive under Section 409A of the Code. The foregoing reductions shall be made in a manner that results in the maximum economic benefit to Executive on an after-tax basis and, to the extent economically equivalent payments or benefits are subject to reduction, in a pro rata manner.</w:t>
      </w:r>
    </w:p>
    <w:p>
      <w:pPr>
        <w:spacing w:after="0" w:line="200" w:lineRule="exact"/>
        <w:rPr>
          <w:rFonts w:ascii="Times New Roman" w:cs="Times New Roman" w:eastAsia="Times New Roman" w:hAnsi="Times New Roman"/>
          <w:sz w:val="19"/>
          <w:szCs w:val="19"/>
          <w:color w:val="auto"/>
        </w:rPr>
      </w:pPr>
    </w:p>
    <w:p>
      <w:pPr>
        <w:spacing w:after="0" w:line="225" w:lineRule="exact"/>
        <w:rPr>
          <w:rFonts w:ascii="Times New Roman" w:cs="Times New Roman" w:eastAsia="Times New Roman" w:hAnsi="Times New Roman"/>
          <w:sz w:val="19"/>
          <w:szCs w:val="19"/>
          <w:color w:val="auto"/>
        </w:rPr>
      </w:pPr>
    </w:p>
    <w:p>
      <w:pPr>
        <w:jc w:val="both"/>
        <w:ind w:left="-8" w:firstLine="757"/>
        <w:spacing w:after="0" w:line="242" w:lineRule="auto"/>
        <w:tabs>
          <w:tab w:leader="none" w:pos="115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Determinations</w:t>
      </w:r>
      <w:r>
        <w:rPr>
          <w:rFonts w:ascii="Times New Roman" w:cs="Times New Roman" w:eastAsia="Times New Roman" w:hAnsi="Times New Roman"/>
          <w:sz w:val="20"/>
          <w:szCs w:val="20"/>
          <w:color w:val="auto"/>
        </w:rPr>
        <w:t>. All determinations regarding the application of this Section 8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0"/>
          <w:szCs w:val="20"/>
          <w:b w:val="1"/>
          <w:bCs w:val="1"/>
          <w:i w:val="1"/>
          <w:iCs w:val="1"/>
          <w:color w:val="auto"/>
        </w:rPr>
        <w:t>280G Firm</w:t>
      </w:r>
      <w:r>
        <w:rPr>
          <w:rFonts w:ascii="Times New Roman" w:cs="Times New Roman" w:eastAsia="Times New Roman" w:hAnsi="Times New Roman"/>
          <w:sz w:val="20"/>
          <w:szCs w:val="20"/>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w:t>
      </w:r>
    </w:p>
    <w:p>
      <w:pPr>
        <w:spacing w:after="0" w:line="2" w:lineRule="exact"/>
        <w:rPr>
          <w:rFonts w:ascii="Times New Roman" w:cs="Times New Roman" w:eastAsia="Times New Roman" w:hAnsi="Times New Roman"/>
          <w:sz w:val="20"/>
          <w:szCs w:val="20"/>
          <w:color w:val="auto"/>
        </w:rPr>
      </w:pPr>
    </w:p>
    <w:p>
      <w:pPr>
        <w:ind w:left="39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836295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93" w:name="page194"/>
    <w:bookmarkEnd w:id="193"/>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allocable to such reasonable compensation, (ii) no portion of the Total Payments the receipt or enjoyment of which Executive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90" w:lineRule="exact"/>
        <w:rPr>
          <w:sz w:val="20"/>
          <w:szCs w:val="20"/>
          <w:color w:val="auto"/>
        </w:rPr>
      </w:pPr>
    </w:p>
    <w:p>
      <w:pPr>
        <w:jc w:val="both"/>
        <w:ind w:firstLine="757"/>
        <w:spacing w:after="0" w:line="242" w:lineRule="auto"/>
        <w:tabs>
          <w:tab w:leader="none" w:pos="1145"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w:t>
      </w:r>
      <w:r>
        <w:rPr>
          <w:rFonts w:ascii="Times New Roman" w:cs="Times New Roman" w:eastAsia="Times New Roman" w:hAnsi="Times New Roman"/>
          <w:sz w:val="20"/>
          <w:szCs w:val="20"/>
          <w:color w:val="auto"/>
        </w:rPr>
        <w:t>. Notwithstanding the foregoing, if any portion of the Total Payments would not be subject to the Excise Tax if the stockholder approval requirements of Section 280G(b)(5) of the Code are satisfied, subject to Executive’s waiver of the rights to such portion of the Total Payments above the safe harbor threshold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Executive under this Agreement or otherwise to the Company’s stockholders for approval in accordance with Treasury Reg. Section 1.280G-1 Q&amp;A 7, the foregoing provisions under this Section 8 shall not apply following such submission and such payments and benefits will be treated in accordance with the results of such vote, except that any reduction in, or waiver above the safe harbor threshold of, such payments or benefits required by such vote will be applied without any application of discretion by Executive and in the order prescribed in Section 8(a).</w:t>
      </w:r>
    </w:p>
    <w:p>
      <w:pPr>
        <w:spacing w:after="0" w:line="212"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State of New Jersey without reference to the principles of conflicts of law of the State of New Jersey or any other jurisdiction that would result in the application of the laws of a jurisdiction other than the State of New Jersey, and where applicable, the laws of the United States. Any suit brought hereon shall be brought in the state or federal courts sitting in the State of New Jersey, the parties hereto hereby waiving any claim or defense that such forum is not convenient or proper. Each party hereby agrees that any such court shall have in personam jurisdiction over it and consents to service of process in any manner authorized by New Jersey law.</w:t>
      </w:r>
    </w:p>
    <w:p>
      <w:pPr>
        <w:spacing w:after="0" w:line="18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email or certified or registered mail, postage prepaid, as follows: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ind w:left="1640" w:hanging="535"/>
        <w:spacing w:after="0"/>
        <w:tabs>
          <w:tab w:leader="none" w:pos="164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Chief Executive Officer of the Company at the Company’s headquarters,</w:t>
      </w:r>
    </w:p>
    <w:p>
      <w:pPr>
        <w:spacing w:after="0" w:line="215" w:lineRule="exact"/>
        <w:rPr>
          <w:rFonts w:ascii="Times New Roman" w:cs="Times New Roman" w:eastAsia="Times New Roman" w:hAnsi="Times New Roman"/>
          <w:sz w:val="20"/>
          <w:szCs w:val="20"/>
          <w:color w:val="auto"/>
        </w:rPr>
      </w:pPr>
    </w:p>
    <w:p>
      <w:pPr>
        <w:ind w:left="1640" w:hanging="535"/>
        <w:spacing w:after="0"/>
        <w:tabs>
          <w:tab w:leader="none" w:pos="164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215" w:lineRule="exact"/>
        <w:rPr>
          <w:rFonts w:ascii="Times New Roman" w:cs="Times New Roman" w:eastAsia="Times New Roman" w:hAnsi="Times New Roman"/>
          <w:sz w:val="20"/>
          <w:szCs w:val="20"/>
          <w:color w:val="auto"/>
        </w:rPr>
      </w:pPr>
    </w:p>
    <w:p>
      <w:pPr>
        <w:ind w:left="1640" w:hanging="535"/>
        <w:spacing w:after="0"/>
        <w:tabs>
          <w:tab w:leader="none" w:pos="164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215" w:lineRule="exact"/>
        <w:rPr>
          <w:rFonts w:ascii="Times New Roman" w:cs="Times New Roman" w:eastAsia="Times New Roman" w:hAnsi="Times New Roman"/>
          <w:sz w:val="20"/>
          <w:szCs w:val="20"/>
          <w:color w:val="auto"/>
        </w:rPr>
      </w:pPr>
    </w:p>
    <w:p>
      <w:pPr>
        <w:jc w:val="both"/>
        <w:ind w:left="-400" w:firstLine="757"/>
        <w:spacing w:after="0" w:line="254" w:lineRule="auto"/>
        <w:tabs>
          <w:tab w:leader="none" w:pos="6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74" w:lineRule="exact"/>
        <w:rPr>
          <w:rFonts w:ascii="Times New Roman" w:cs="Times New Roman" w:eastAsia="Times New Roman" w:hAnsi="Times New Roman"/>
          <w:sz w:val="20"/>
          <w:szCs w:val="20"/>
          <w:color w:val="auto"/>
        </w:rPr>
      </w:pPr>
    </w:p>
    <w:p>
      <w:pPr>
        <w:jc w:val="both"/>
        <w:ind w:left="-400" w:firstLine="757"/>
        <w:spacing w:after="0" w:line="245" w:lineRule="auto"/>
        <w:tabs>
          <w:tab w:leader="none" w:pos="6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and the Restrictive Covenant Agreement incorporated herein by reference as set forth in Section 5, are intended by the Parties to be the final expression of their agreement with respect to the subject matter hereof and supersede all prior understandings and agreements, whether written or oral, including that certain employment offer letter dated June 14, 2023, between Executive and the Company (including the Prior Agreement).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4" w:lineRule="exact"/>
        <w:rPr>
          <w:rFonts w:ascii="Times New Roman" w:cs="Times New Roman" w:eastAsia="Times New Roman" w:hAnsi="Times New Roman"/>
          <w:sz w:val="20"/>
          <w:szCs w:val="20"/>
          <w:color w:val="auto"/>
        </w:rPr>
      </w:pPr>
    </w:p>
    <w:p>
      <w:pPr>
        <w:jc w:val="both"/>
        <w:ind w:left="-400" w:firstLine="757"/>
        <w:spacing w:after="0" w:line="245" w:lineRule="auto"/>
        <w:tabs>
          <w:tab w:leader="none" w:pos="6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4" w:lineRule="exact"/>
        <w:rPr>
          <w:rFonts w:ascii="Times New Roman" w:cs="Times New Roman" w:eastAsia="Times New Roman" w:hAnsi="Times New Roman"/>
          <w:sz w:val="20"/>
          <w:szCs w:val="20"/>
          <w:color w:val="auto"/>
        </w:rPr>
      </w:pPr>
    </w:p>
    <w:p>
      <w:pPr>
        <w:jc w:val="both"/>
        <w:ind w:left="-400" w:firstLine="757"/>
        <w:spacing w:after="0" w:line="242" w:lineRule="auto"/>
        <w:tabs>
          <w:tab w:leader="none" w:pos="6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205" w:lineRule="exact"/>
        <w:rPr>
          <w:rFonts w:ascii="Times New Roman" w:cs="Times New Roman" w:eastAsia="Times New Roman" w:hAnsi="Times New Roman"/>
          <w:sz w:val="20"/>
          <w:szCs w:val="20"/>
          <w:color w:val="auto"/>
        </w:rPr>
      </w:pPr>
    </w:p>
    <w:p>
      <w:pPr>
        <w:jc w:val="both"/>
        <w:ind w:left="-400" w:firstLine="757"/>
        <w:spacing w:after="0" w:line="249" w:lineRule="auto"/>
        <w:tabs>
          <w:tab w:leader="none" w:pos="6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In the event of any dispute or claim relating to, or arising out of Executive’s employment relationship with the Company or its affiliates, including, but not limited, claims of wrongful termination, age, race, gender, disability or other discrimination—but not including claims for sexual harassment or sexual assault—Executive and the Company agree that all such disputes shall be fully and finally resolved by binding arbitration conducted before a single neutral arbitrator pursuant to the rules for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850265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3" w:right="339" w:bottom="1440" w:gutter="0" w:footer="0" w:header="0"/>
        </w:sectPr>
      </w:pPr>
    </w:p>
    <w:bookmarkStart w:id="195" w:name="page196"/>
    <w:bookmarkEnd w:id="195"/>
    <w:p>
      <w:pPr>
        <w:jc w:val="both"/>
        <w:spacing w:after="0" w:line="245" w:lineRule="auto"/>
        <w:rPr>
          <w:sz w:val="20"/>
          <w:szCs w:val="20"/>
          <w:color w:val="auto"/>
        </w:rPr>
      </w:pPr>
      <w:r>
        <w:rPr>
          <w:rFonts w:ascii="Times New Roman" w:cs="Times New Roman" w:eastAsia="Times New Roman" w:hAnsi="Times New Roman"/>
          <w:sz w:val="20"/>
          <w:szCs w:val="20"/>
          <w:color w:val="auto"/>
        </w:rPr>
        <w:t>arbitration of employment disputes by the American Arbitration Association (available at www.adr.org) in the State of New Jersey.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of law on which the award is based. By executing this Agreement, the Parties are both waiving the right to a jury trial with respect to any such disputes. The Company shall bear the costs of the arbitrator, forum and filing fees. Each Party shall bear its own respective attorney fees and all other costs, unless provided by law and awarded by the arbitrator.</w:t>
      </w:r>
    </w:p>
    <w:p>
      <w:pPr>
        <w:spacing w:after="0" w:line="184" w:lineRule="exact"/>
        <w:rPr>
          <w:sz w:val="20"/>
          <w:szCs w:val="20"/>
          <w:color w:val="auto"/>
        </w:rPr>
      </w:pPr>
    </w:p>
    <w:p>
      <w:pPr>
        <w:jc w:val="both"/>
        <w:ind w:firstLine="757"/>
        <w:spacing w:after="0" w:line="245" w:lineRule="auto"/>
        <w:tabs>
          <w:tab w:leader="none" w:pos="101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04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 from Section 409A and, accordingly, to the maximum extent permitted, this Agreement shall be interpreted to be in compliance therewith. If the Company and Executive agree in good faith that the payments and benefits under this Agreement would not comply with Section 409A, the Parties hereto shall reasonably and in good faith attempt to modify this Agreement to comply with Section 409A while endeavoring to maintain the intended economic benefits hereunder.</w:t>
      </w:r>
    </w:p>
    <w:p>
      <w:pPr>
        <w:spacing w:after="0" w:line="180"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Notwithstanding anything in this Agreement to the contrary, (A) any compensation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and (B) in the event that, with respect to the amounts payable under Sections 4(b) or 4(c), the timing of the delivery of Executive’s Release could cause such amounts to begin in one or another taxable year, to the extent such amounts are subject to Section 409A, then notwithstanding the payment timing set forth in such Sections, such amounts shall not be payable until the later of (1) the payment date specified in such Section or (2) the first business day of the taxable year following Executive’s Separation from Service.</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50" w:lineRule="auto"/>
        <w:tabs>
          <w:tab w:leader="none" w:pos="204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be provided to Executive prior to the earlier of (x) the expiration of the six-month period measured from the date of Executive’s Separation from Service with the Company or (y)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1" w:lineRule="exact"/>
        <w:rPr>
          <w:sz w:val="20"/>
          <w:szCs w:val="20"/>
          <w:color w:val="auto"/>
        </w:rPr>
      </w:pPr>
    </w:p>
    <w:p>
      <w:pPr>
        <w:jc w:val="both"/>
        <w:ind w:left="760" w:firstLine="745"/>
        <w:spacing w:after="0" w:line="246" w:lineRule="auto"/>
        <w:tabs>
          <w:tab w:leader="none" w:pos="20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0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Installments. </w:t>
      </w:r>
      <w:r>
        <w:rPr>
          <w:rFonts w:ascii="Times New Roman" w:cs="Times New Roman" w:eastAsia="Times New Roman" w:hAnsi="Times New Roman"/>
          <w:sz w:val="20"/>
          <w:szCs w:val="20"/>
          <w:color w:val="auto"/>
        </w:rPr>
        <w:t>Executive’s right to receive any installment payments under this Agreement, including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Notwithstanding anything to the contrary in this Agreement, the provisions of Sections 5 through 9 will survive the termination of Executive’s employment and the termination of the Term.</w:t>
      </w:r>
    </w:p>
    <w:p>
      <w:pPr>
        <w:spacing w:after="0" w:line="169"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Acknowledgement</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date and year first above written.</w:t>
      </w:r>
    </w:p>
    <w:p>
      <w:pPr>
        <w:spacing w:after="0" w:line="2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By: /s/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-10795</wp:posOffset>
            </wp:positionV>
            <wp:extent cx="179705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20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Name: Arthur Kuan</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5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/s/ Ambaw Bellete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-10795</wp:posOffset>
            </wp:positionV>
            <wp:extent cx="175895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20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Print Name: Ambaw Bellete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854710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440" w:right="1440" w:bottom="1440" w:gutter="0" w:footer="0" w:header="0"/>
        </w:sectPr>
      </w:pPr>
    </w:p>
    <w:bookmarkStart w:id="198" w:name="page199"/>
    <w:bookmarkEnd w:id="198"/>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16"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20"/>
          <w:szCs w:val="20"/>
          <w:color w:val="auto"/>
        </w:rPr>
        <w:t>This Separation Agreement and Release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Ambaw Bellete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(collectively referred to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Capitalized terms used but not defined in this Agreement shall have the meanings set forth in the Employment Agreement (as defined below).</w:t>
      </w:r>
    </w:p>
    <w:p>
      <w:pPr>
        <w:spacing w:after="0" w:line="186"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WHEREAS, the Parties have previously entered into that certain Amended and Restated Employment Agreement, effective as of January 9, 2025 (the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and that certain Restrictive Covenant Agreement (as defined in the Employment Agreement); and</w:t>
      </w:r>
    </w:p>
    <w:p>
      <w:pPr>
        <w:spacing w:after="0" w:line="188" w:lineRule="exact"/>
        <w:rPr>
          <w:sz w:val="20"/>
          <w:szCs w:val="20"/>
          <w:color w:val="auto"/>
        </w:rPr>
      </w:pPr>
    </w:p>
    <w:p>
      <w:pPr>
        <w:jc w:val="both"/>
        <w:ind w:right="20" w:firstLine="614"/>
        <w:spacing w:after="0" w:line="250" w:lineRule="auto"/>
        <w:rPr>
          <w:sz w:val="20"/>
          <w:szCs w:val="20"/>
          <w:color w:val="auto"/>
        </w:rPr>
      </w:pPr>
      <w:r>
        <w:rPr>
          <w:rFonts w:ascii="Times New Roman" w:cs="Times New Roman" w:eastAsia="Times New Roman" w:hAnsi="Times New Roman"/>
          <w:sz w:val="20"/>
          <w:szCs w:val="20"/>
          <w:color w:val="auto"/>
        </w:rPr>
        <w:t>WHEREAS, in connection with Executive’s termination of employment with the Company or a subsidiary or affiliate of the Company effective [________], 20[__], the Parties wish to resolve any and all disputes, claims, complaints, grievances, charges, actions,</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petitions, and demands that Executive may have against the Company and any of the Releases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cs="Times New Roman" w:eastAsia="Times New Roman" w:hAnsi="Times New Roman"/>
          <w:sz w:val="20"/>
          <w:szCs w:val="20"/>
          <w:b w:val="1"/>
          <w:bCs w:val="1"/>
          <w:i w:val="1"/>
          <w:iCs w:val="1"/>
          <w:color w:val="auto"/>
        </w:rPr>
        <w:t>Retained Claims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88" w:lineRule="exact"/>
        <w:rPr>
          <w:sz w:val="20"/>
          <w:szCs w:val="20"/>
          <w:color w:val="auto"/>
        </w:rPr>
      </w:pPr>
    </w:p>
    <w:p>
      <w:pPr>
        <w:jc w:val="both"/>
        <w:ind w:firstLine="404"/>
        <w:spacing w:after="0" w:line="246" w:lineRule="auto"/>
        <w:tabs>
          <w:tab w:leader="none" w:pos="80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and Benefits; Salary and Benefits</w:t>
      </w:r>
      <w:r>
        <w:rPr>
          <w:rFonts w:ascii="Times New Roman" w:cs="Times New Roman" w:eastAsia="Times New Roman" w:hAnsi="Times New Roman"/>
          <w:sz w:val="20"/>
          <w:szCs w:val="20"/>
          <w:color w:val="auto"/>
        </w:rPr>
        <w:t>.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3(c) of the Employment Agreement, subject to and in accordance with the terms thereof.</w:t>
      </w:r>
    </w:p>
    <w:p>
      <w:pPr>
        <w:spacing w:after="0" w:line="198" w:lineRule="exact"/>
        <w:rPr>
          <w:rFonts w:ascii="Times New Roman" w:cs="Times New Roman" w:eastAsia="Times New Roman" w:hAnsi="Times New Roman"/>
          <w:sz w:val="20"/>
          <w:szCs w:val="20"/>
          <w:color w:val="auto"/>
        </w:rPr>
      </w:pPr>
    </w:p>
    <w:p>
      <w:pPr>
        <w:jc w:val="both"/>
        <w:ind w:firstLine="404"/>
        <w:spacing w:after="0" w:line="242" w:lineRule="auto"/>
        <w:tabs>
          <w:tab w:leader="none" w:pos="81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related to Executive’s employment 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of the Releasees arising from any omissions, acts, facts, or damages that have occurred up until and including the date Executive signs this Agreement relating to Executive’s employment with the Company or its subsidiaries or termination therefrom, including, without limitation:</w:t>
      </w:r>
    </w:p>
    <w:p>
      <w:pPr>
        <w:spacing w:after="0" w:line="174" w:lineRule="exact"/>
        <w:rPr>
          <w:sz w:val="20"/>
          <w:szCs w:val="20"/>
          <w:color w:val="auto"/>
        </w:rPr>
      </w:pPr>
    </w:p>
    <w:p>
      <w:pPr>
        <w:ind w:right="20" w:firstLine="799"/>
        <w:spacing w:after="0" w:line="269" w:lineRule="auto"/>
        <w:tabs>
          <w:tab w:leader="none" w:pos="118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and the termination of that relationship;</w:t>
      </w:r>
    </w:p>
    <w:p>
      <w:pPr>
        <w:spacing w:after="0" w:line="159" w:lineRule="exact"/>
        <w:rPr>
          <w:rFonts w:ascii="Times New Roman" w:cs="Times New Roman" w:eastAsia="Times New Roman" w:hAnsi="Times New Roman"/>
          <w:sz w:val="20"/>
          <w:szCs w:val="20"/>
          <w:color w:val="auto"/>
        </w:rPr>
      </w:pPr>
    </w:p>
    <w:p>
      <w:pPr>
        <w:jc w:val="both"/>
        <w:ind w:right="20" w:firstLine="799"/>
        <w:spacing w:after="0" w:line="254" w:lineRule="auto"/>
        <w:tabs>
          <w:tab w:leader="none" w:pos="118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74" w:lineRule="exact"/>
        <w:rPr>
          <w:rFonts w:ascii="Times New Roman" w:cs="Times New Roman" w:eastAsia="Times New Roman" w:hAnsi="Times New Roman"/>
          <w:sz w:val="20"/>
          <w:szCs w:val="20"/>
          <w:color w:val="auto"/>
        </w:rPr>
      </w:pPr>
    </w:p>
    <w:p>
      <w:pPr>
        <w:ind w:firstLine="799"/>
        <w:spacing w:after="0" w:line="246" w:lineRule="auto"/>
        <w:tabs>
          <w:tab w:leader="none" w:pos="118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4" w:lineRule="exact"/>
        <w:rPr>
          <w:rFonts w:ascii="Times New Roman" w:cs="Times New Roman" w:eastAsia="Times New Roman" w:hAnsi="Times New Roman"/>
          <w:sz w:val="20"/>
          <w:szCs w:val="20"/>
          <w:color w:val="auto"/>
        </w:rPr>
      </w:pPr>
    </w:p>
    <w:p>
      <w:pPr>
        <w:jc w:val="both"/>
        <w:ind w:firstLine="799"/>
        <w:spacing w:after="0" w:line="258" w:lineRule="auto"/>
        <w:tabs>
          <w:tab w:leader="none" w:pos="1187"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 New Jersey's Conscientious Employee Protection Act; the New Jersey Soldiers' and Sailors' Civil Relief Act; the Millville Dallas Airmotive Plant Job Loss Notification Act; the New Jersey Family Leave Act; the New Jersey Law Against Discrimination; the New Jersey Security and Financial Empowerment Act; the New Jersey State Wage and Hour Law; the New Jersey Paid Sick Leave Law; and the New Jersey State Wage Payment Law; or any similar state law;</w:t>
      </w:r>
    </w:p>
    <w:p>
      <w:pPr>
        <w:spacing w:after="0" w:line="173" w:lineRule="exact"/>
        <w:rPr>
          <w:rFonts w:ascii="Times New Roman" w:cs="Times New Roman" w:eastAsia="Times New Roman" w:hAnsi="Times New Roman"/>
          <w:sz w:val="19"/>
          <w:szCs w:val="19"/>
          <w:color w:val="auto"/>
        </w:rPr>
      </w:pPr>
    </w:p>
    <w:p>
      <w:pPr>
        <w:ind w:left="1200" w:hanging="401"/>
        <w:spacing w:after="0"/>
        <w:tabs>
          <w:tab w:leader="none" w:pos="12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15"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215" w:lineRule="exact"/>
        <w:rPr>
          <w:rFonts w:ascii="Times New Roman" w:cs="Times New Roman" w:eastAsia="Times New Roman" w:hAnsi="Times New Roman"/>
          <w:sz w:val="20"/>
          <w:szCs w:val="20"/>
          <w:color w:val="auto"/>
        </w:rPr>
      </w:pPr>
    </w:p>
    <w:p>
      <w:pPr>
        <w:ind w:right="20" w:firstLine="799"/>
        <w:spacing w:after="0" w:line="269" w:lineRule="auto"/>
        <w:tabs>
          <w:tab w:leader="none" w:pos="118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59" w:lineRule="exact"/>
        <w:rPr>
          <w:rFonts w:ascii="Times New Roman" w:cs="Times New Roman" w:eastAsia="Times New Roman" w:hAnsi="Times New Roman"/>
          <w:sz w:val="20"/>
          <w:szCs w:val="20"/>
          <w:color w:val="auto"/>
        </w:rPr>
      </w:pPr>
    </w:p>
    <w:p>
      <w:pPr>
        <w:ind w:right="40" w:firstLine="799"/>
        <w:spacing w:after="0" w:line="269" w:lineRule="auto"/>
        <w:tabs>
          <w:tab w:leader="none" w:pos="118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59"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A-2</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p>
    <w:p>
      <w:pPr>
        <w:spacing w:after="0" w:line="246"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EXECUTIVE ACKNOWLEDGES THAT EXECUTIVE HAS BEEN ADVISED BY LEGAL COUNSEL AND IS FAMILIAR WITH THE PROVISIONS OF CALIFORNIA CIVIL CODE SECTION 1542, WHICH PROVIDES AS FOLLOWS:</w:t>
      </w:r>
    </w:p>
    <w:p>
      <w:pPr>
        <w:spacing w:after="0" w:line="159" w:lineRule="exact"/>
        <w:rPr>
          <w:sz w:val="20"/>
          <w:szCs w:val="20"/>
          <w:color w:val="auto"/>
        </w:rPr>
      </w:pPr>
    </w:p>
    <w:p>
      <w:pPr>
        <w:jc w:val="both"/>
        <w:ind w:left="760" w:right="9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20"/>
          <w:szCs w:val="20"/>
          <w:color w:val="auto"/>
        </w:rPr>
        <w:t>EXECUTIVE, BEING AWARE OF SAID CODE SECTION, HEREBY EXPRESSLY WAIVES ANY RIGHTS EXECUTIVE MAY HAVE THEREUNDER, AS WELL AS UNDER ANY OTHER STATUTES OR COMMON LAW PRINCIPLES OF SIMILAR EFFECT.</w:t>
      </w:r>
    </w:p>
    <w:p>
      <w:pPr>
        <w:spacing w:after="0" w:line="159"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for indemnity under the bylaws of the Company, as provided for by New Jersey or Delaware law or under any applicable insurance policy with respect to Executive’s liability as an employee, director or officer of the Company,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3(c)or Section 4 of the Employment Agreement. This release does not prevent Executive from cooperating with an investigation conducted by any such governmental agencies, including without limitation the National Labor Relations Board (the “</w:t>
      </w:r>
      <w:r>
        <w:rPr>
          <w:rFonts w:ascii="Times New Roman" w:cs="Times New Roman" w:eastAsia="Times New Roman" w:hAnsi="Times New Roman"/>
          <w:sz w:val="19"/>
          <w:szCs w:val="19"/>
          <w:b w:val="1"/>
          <w:bCs w:val="1"/>
          <w:i w:val="1"/>
          <w:iCs w:val="1"/>
          <w:color w:val="auto"/>
        </w:rPr>
        <w:t>NLRB</w:t>
      </w:r>
      <w:r>
        <w:rPr>
          <w:rFonts w:ascii="Times New Roman" w:cs="Times New Roman" w:eastAsia="Times New Roman" w:hAnsi="Times New Roman"/>
          <w:sz w:val="19"/>
          <w:szCs w:val="19"/>
          <w:color w:val="auto"/>
        </w:rPr>
        <w:t>”). Nothing herein will prevent Executive from participating in an activity permitted by Section 7 of the National Labor Relations Act or from filing an unfair labor practice charge with the NLRB.</w:t>
      </w:r>
    </w:p>
    <w:p>
      <w:pPr>
        <w:spacing w:after="0" w:line="182" w:lineRule="exact"/>
        <w:rPr>
          <w:sz w:val="20"/>
          <w:szCs w:val="20"/>
          <w:color w:val="auto"/>
        </w:rPr>
      </w:pPr>
    </w:p>
    <w:p>
      <w:pPr>
        <w:jc w:val="both"/>
        <w:ind w:firstLine="404"/>
        <w:spacing w:after="0" w:line="245" w:lineRule="auto"/>
        <w:tabs>
          <w:tab w:leader="none" w:pos="83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A-3</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executing this Agreement; (b) Executive has [twenty-one (21)] days within which to consider this Agreement, and the Parties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 day period identified above, Executive hereby acknowledges that Executive has freely and voluntarily chosen to waive the time period allotted for considering this Agreement.</w:t>
      </w:r>
    </w:p>
    <w:p>
      <w:pPr>
        <w:spacing w:after="0" w:line="173" w:lineRule="exact"/>
        <w:rPr>
          <w:sz w:val="20"/>
          <w:szCs w:val="20"/>
          <w:color w:val="auto"/>
        </w:rPr>
      </w:pPr>
    </w:p>
    <w:p>
      <w:pPr>
        <w:ind w:firstLine="404"/>
        <w:spacing w:after="0" w:line="269" w:lineRule="auto"/>
        <w:tabs>
          <w:tab w:leader="none" w:pos="79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Executive acknowledges his ongoing obligations under Section 5 of the Employment Agreement. Sections 5(e) and 5(f) of the Employment Agreement are hereby incorporated by reference and will apply to this Agreement as if set forth herein.</w:t>
      </w:r>
    </w:p>
    <w:p>
      <w:pPr>
        <w:spacing w:after="0" w:line="159" w:lineRule="exact"/>
        <w:rPr>
          <w:rFonts w:ascii="Times New Roman" w:cs="Times New Roman" w:eastAsia="Times New Roman" w:hAnsi="Times New Roman"/>
          <w:sz w:val="20"/>
          <w:szCs w:val="20"/>
          <w:color w:val="auto"/>
        </w:rPr>
      </w:pPr>
    </w:p>
    <w:p>
      <w:pPr>
        <w:jc w:val="both"/>
        <w:ind w:firstLine="404"/>
        <w:spacing w:after="0" w:line="254" w:lineRule="auto"/>
        <w:tabs>
          <w:tab w:leader="none" w:pos="79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4" w:lineRule="exact"/>
        <w:rPr>
          <w:rFonts w:ascii="Times New Roman" w:cs="Times New Roman" w:eastAsia="Times New Roman" w:hAnsi="Times New Roman"/>
          <w:sz w:val="20"/>
          <w:szCs w:val="20"/>
          <w:color w:val="auto"/>
        </w:rPr>
      </w:pPr>
    </w:p>
    <w:p>
      <w:pPr>
        <w:ind w:right="20" w:firstLine="404"/>
        <w:spacing w:after="0" w:line="269" w:lineRule="auto"/>
        <w:tabs>
          <w:tab w:leader="none" w:pos="79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pacing w:after="0" w:line="159" w:lineRule="exact"/>
        <w:rPr>
          <w:rFonts w:ascii="Times New Roman" w:cs="Times New Roman" w:eastAsia="Times New Roman" w:hAnsi="Times New Roman"/>
          <w:sz w:val="20"/>
          <w:szCs w:val="20"/>
          <w:color w:val="auto"/>
        </w:rPr>
      </w:pPr>
    </w:p>
    <w:p>
      <w:pPr>
        <w:ind w:right="20" w:firstLine="404"/>
        <w:spacing w:after="0" w:line="269" w:lineRule="auto"/>
        <w:tabs>
          <w:tab w:leader="none" w:pos="83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 This Agreement shall be subject to the provisions of Sections 9(a), 9(c), and 9(h) of the Employment Agreement.</w:t>
      </w:r>
    </w:p>
    <w:p>
      <w:pPr>
        <w:spacing w:after="0" w:line="159" w:lineRule="exact"/>
        <w:rPr>
          <w:rFonts w:ascii="Times New Roman" w:cs="Times New Roman" w:eastAsia="Times New Roman" w:hAnsi="Times New Roman"/>
          <w:sz w:val="20"/>
          <w:szCs w:val="20"/>
          <w:color w:val="auto"/>
        </w:rPr>
      </w:pPr>
    </w:p>
    <w:p>
      <w:pPr>
        <w:ind w:firstLine="404"/>
        <w:spacing w:after="0" w:line="269" w:lineRule="auto"/>
        <w:tabs>
          <w:tab w:leader="none" w:pos="83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has seven business days after Executive signs this Agreement to revoke it and this Agreement will become effective on the day immediately following the seventh business day after Executive signed this Agreement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58"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A-4</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Dated:</w:t>
      </w: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Print Name: Ambaw Bellete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Name:</w:t>
      </w:r>
    </w:p>
    <w:p>
      <w:pPr>
        <w:spacing w:after="0" w:line="2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A-5</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03" w:name="page204"/>
    <w:bookmarkEnd w:id="203"/>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RESTRICTIVE COVENANT AGREEMENT</w:t>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Attached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04" w:name="page205"/>
    <w:bookmarkEnd w:id="204"/>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2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PERMITTED OUTSIDE ACTIVITIES</w:t>
      </w:r>
    </w:p>
    <w:p>
      <w:pPr>
        <w:spacing w:after="0" w:line="207" w:lineRule="exact"/>
        <w:rPr>
          <w:sz w:val="20"/>
          <w:szCs w:val="20"/>
          <w:color w:val="auto"/>
        </w:rPr>
      </w:pPr>
    </w:p>
    <w:p>
      <w:pPr>
        <w:ind w:left="760" w:hanging="378"/>
        <w:spacing w:after="0"/>
        <w:tabs>
          <w:tab w:leader="none" w:pos="7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OncoSTING </w:t>
      </w:r>
      <w:r>
        <w:rPr>
          <w:rFonts w:ascii="Times New Roman" w:cs="Times New Roman" w:eastAsia="Times New Roman" w:hAnsi="Times New Roman"/>
          <w:sz w:val="22"/>
          <w:szCs w:val="22"/>
          <w:color w:val="auto"/>
        </w:rPr>
        <w:t>– Chairman of the Board</w:t>
      </w:r>
    </w:p>
    <w:p>
      <w:pPr>
        <w:spacing w:after="0" w:line="18"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Combat Medical </w:t>
      </w:r>
      <w:r>
        <w:rPr>
          <w:rFonts w:ascii="Times New Roman" w:cs="Times New Roman" w:eastAsia="Times New Roman" w:hAnsi="Times New Roman"/>
          <w:sz w:val="22"/>
          <w:szCs w:val="22"/>
          <w:color w:val="auto"/>
        </w:rPr>
        <w:t>– on demand if required input on fund raising and market landscape feedback</w:t>
      </w:r>
    </w:p>
    <w:p>
      <w:pPr>
        <w:ind w:left="760" w:hanging="378"/>
        <w:spacing w:after="0" w:line="230" w:lineRule="auto"/>
        <w:tabs>
          <w:tab w:leader="none" w:pos="7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Imagin Medical </w:t>
      </w:r>
      <w:r>
        <w:rPr>
          <w:rFonts w:ascii="Times New Roman" w:cs="Times New Roman" w:eastAsia="Times New Roman" w:hAnsi="Times New Roman"/>
          <w:sz w:val="22"/>
          <w:szCs w:val="22"/>
          <w:color w:val="auto"/>
        </w:rPr>
        <w:t>– on demand Q&amp;A on device regulatory path for Blue Light Cystoscopy equipment</w:t>
      </w:r>
    </w:p>
    <w:p>
      <w:pPr>
        <w:ind w:left="760" w:right="620" w:hanging="378"/>
        <w:spacing w:after="0" w:line="230" w:lineRule="auto"/>
        <w:tabs>
          <w:tab w:leader="none" w:pos="7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Exact Sciences </w:t>
      </w:r>
      <w:r>
        <w:rPr>
          <w:rFonts w:ascii="Times New Roman" w:cs="Times New Roman" w:eastAsia="Times New Roman" w:hAnsi="Times New Roman"/>
          <w:sz w:val="22"/>
          <w:szCs w:val="22"/>
          <w:color w:val="auto"/>
        </w:rPr>
        <w:t>– Prostate Cancer – on demand subject matter expertise – actual work being handles by another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w:t>
      </w:r>
    </w:p>
    <w:p>
      <w:pPr>
        <w:spacing w:after="0" w:line="1" w:lineRule="exact"/>
        <w:rPr>
          <w:rFonts w:ascii="Times New Roman" w:cs="Times New Roman" w:eastAsia="Times New Roman" w:hAnsi="Times New Roman"/>
          <w:sz w:val="22"/>
          <w:szCs w:val="22"/>
          <w:color w:val="auto"/>
        </w:rPr>
      </w:pPr>
    </w:p>
    <w:p>
      <w:pPr>
        <w:ind w:left="760" w:right="220" w:hanging="378"/>
        <w:spacing w:after="0" w:line="230" w:lineRule="auto"/>
        <w:tabs>
          <w:tab w:leader="none" w:pos="7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Asieris – UroViu Partnership </w:t>
      </w:r>
      <w:r>
        <w:rPr>
          <w:rFonts w:ascii="Times New Roman" w:cs="Times New Roman" w:eastAsia="Times New Roman" w:hAnsi="Times New Roman"/>
          <w:sz w:val="22"/>
          <w:szCs w:val="22"/>
          <w:color w:val="auto"/>
        </w:rPr>
        <w:t>- on demand Q&amp;A on device regulatory path for Blue Light Cystoscopy actual work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being handles by another consultant.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Fidia </w:t>
      </w:r>
      <w:r>
        <w:rPr>
          <w:rFonts w:ascii="Times New Roman" w:cs="Times New Roman" w:eastAsia="Times New Roman" w:hAnsi="Times New Roman"/>
          <w:sz w:val="22"/>
          <w:szCs w:val="22"/>
          <w:color w:val="auto"/>
        </w:rPr>
        <w:t>– Work Closing in September 2023</w:t>
      </w:r>
    </w:p>
    <w:p>
      <w:pPr>
        <w:ind w:left="760" w:hanging="378"/>
        <w:spacing w:after="0"/>
        <w:tabs>
          <w:tab w:leader="none" w:pos="76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Valar Labs – Diagnostics </w:t>
      </w:r>
      <w:r>
        <w:rPr>
          <w:rFonts w:ascii="Times New Roman" w:cs="Times New Roman" w:eastAsia="Times New Roman" w:hAnsi="Times New Roman"/>
          <w:sz w:val="21"/>
          <w:szCs w:val="21"/>
          <w:color w:val="auto"/>
        </w:rPr>
        <w:t>– on demand related to Dx go to market strategies – subject matter expertise – limited time.</w:t>
      </w:r>
    </w:p>
    <w:p>
      <w:pPr>
        <w:spacing w:after="0" w:line="1" w:lineRule="exact"/>
        <w:rPr>
          <w:rFonts w:ascii="Times New Roman" w:cs="Times New Roman" w:eastAsia="Times New Roman" w:hAnsi="Times New Roman"/>
          <w:sz w:val="21"/>
          <w:szCs w:val="21"/>
          <w:color w:val="auto"/>
        </w:rPr>
      </w:pPr>
    </w:p>
    <w:p>
      <w:pPr>
        <w:ind w:left="760" w:hanging="378"/>
        <w:spacing w:after="0"/>
        <w:tabs>
          <w:tab w:leader="none" w:pos="7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Nanorobotics </w:t>
      </w:r>
      <w:r>
        <w:rPr>
          <w:rFonts w:ascii="Times New Roman" w:cs="Times New Roman" w:eastAsia="Times New Roman" w:hAnsi="Times New Roman"/>
          <w:sz w:val="22"/>
          <w:szCs w:val="22"/>
          <w:color w:val="auto"/>
        </w:rPr>
        <w:t>– on demand on product development for melanoma asset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EMPLOYMENT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Amended and Restated Employment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Vijay Kasturi, M.D.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effective as of January 9,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currently employs Executive as its Chief Medical Officer pursuant to an Amended and Restated Employment Agreement between Executive and the Company dated December 13, 2023 (the “</w:t>
      </w:r>
      <w:r>
        <w:rPr>
          <w:rFonts w:ascii="Times New Roman" w:cs="Times New Roman" w:eastAsia="Times New Roman" w:hAnsi="Times New Roman"/>
          <w:sz w:val="20"/>
          <w:szCs w:val="20"/>
          <w:b w:val="1"/>
          <w:bCs w:val="1"/>
          <w:i w:val="1"/>
          <w:iCs w:val="1"/>
          <w:color w:val="auto"/>
        </w:rPr>
        <w:t>Prior Agreement</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Parties desire to amend and restate the Prior Agreement on the terms and conditions set forth herein.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right="20" w:firstLine="757"/>
        <w:spacing w:after="0" w:line="269" w:lineRule="auto"/>
        <w:tabs>
          <w:tab w:leader="none" w:pos="1018"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Effective on the Effective Date, the Company shall employ Executive, and Executive shall be employed by the Company, for the period and in the positions set forth in this Section 1, and subject to the other terms and conditions herein provided.</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Section 3(b)). This “at-will” nature of Executive’s employment shall remain unchanged during Executive’s tenure as an employee and may not be changed, except in an express writing signed by Executive and a duly authorized officer of the Company. The term of this Agreement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shall commence on the Effective Date and end on the date this Agreement is terminated under Section 3.</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During the Term, Executive shall serve as Chief Medical Officer of the Company, with such responsibilities, duties and authority normally associated with such position and as may from time to time be reasonably assigned to Executive by the Chief Executive Officer of the Company (the “</w:t>
      </w:r>
      <w:r>
        <w:rPr>
          <w:rFonts w:ascii="Times New Roman" w:cs="Times New Roman" w:eastAsia="Times New Roman" w:hAnsi="Times New Roman"/>
          <w:sz w:val="20"/>
          <w:szCs w:val="20"/>
          <w:b w:val="1"/>
          <w:bCs w:val="1"/>
          <w:i w:val="1"/>
          <w:iCs w:val="1"/>
          <w:color w:val="auto"/>
        </w:rPr>
        <w:t>CEO</w:t>
      </w:r>
      <w:r>
        <w:rPr>
          <w:rFonts w:ascii="Times New Roman" w:cs="Times New Roman" w:eastAsia="Times New Roman" w:hAnsi="Times New Roman"/>
          <w:sz w:val="20"/>
          <w:szCs w:val="20"/>
          <w:color w:val="auto"/>
        </w:rPr>
        <w:t>”). Executive shall report to the CEO.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or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of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Executive shall be permitted to (i) manage Executive’s personal, financial and legal affairs, (ii) participate in trade associations, and (iii) serve on the board of directors of not-for-profit or tax-exempt charitable organizations or, with the consent of the Board (not to be unreasonably withheld), the board of directors of non-competitive for-profit businesses, in each case, subject to compliance with this Agreement and provided that such activities do not materially interfere with Executive’s performance of Executive’s duties and responsibilities hereunder. Executive agrees to observe and comply with the reasonable rules and policies of the Company as adopted by the Company from time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06" w:name="page207"/>
    <w:bookmarkEnd w:id="206"/>
    <w:p>
      <w:pPr>
        <w:spacing w:after="0" w:line="269" w:lineRule="auto"/>
        <w:rPr>
          <w:sz w:val="20"/>
          <w:szCs w:val="20"/>
          <w:color w:val="auto"/>
        </w:rPr>
      </w:pPr>
      <w:r>
        <w:rPr>
          <w:rFonts w:ascii="Times New Roman" w:cs="Times New Roman" w:eastAsia="Times New Roman" w:hAnsi="Times New Roman"/>
          <w:sz w:val="20"/>
          <w:szCs w:val="20"/>
          <w:color w:val="auto"/>
        </w:rPr>
        <w:t>to time (to the extent they do not conflict with the terms of this Agreement), in each case, as amended from time to time, and as delivered or made available to Executive (each, a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57"/>
        <w:spacing w:after="0" w:line="254" w:lineRule="auto"/>
        <w:tabs>
          <w:tab w:leader="none" w:pos="115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Principal Location</w:t>
      </w:r>
      <w:r>
        <w:rPr>
          <w:rFonts w:ascii="Times New Roman" w:cs="Times New Roman" w:eastAsia="Times New Roman" w:hAnsi="Times New Roman"/>
          <w:sz w:val="20"/>
          <w:szCs w:val="20"/>
          <w:color w:val="auto"/>
        </w:rPr>
        <w:t xml:space="preserve">. During the Term, Executive shall perform the services required by this Agreement remotely from his residence in Worcester, Massachusetts,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Parties acknowledge and agree that Executive may be required to travel to other locations as may be necessary to fulfill Executive’s duties and responsibilities hereunder.</w:t>
      </w:r>
    </w:p>
    <w:p>
      <w:pPr>
        <w:spacing w:after="0" w:line="183"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9" w:lineRule="auto"/>
        <w:tabs>
          <w:tab w:leader="none" w:pos="101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Executive shall receive a base salary at a rate of $502,932 per annum, which shall be paid in accordance with the customary payroll practices of the Company and shall be pro-rated for partial years of employment. Such annual base salary shall be reviewed (and may be adjusted for increase, but not decrease) from time to time (such annual base salary, as it may be adjusted from time to time, the “</w:t>
      </w:r>
      <w:r>
        <w:rPr>
          <w:rFonts w:ascii="Times New Roman" w:cs="Times New Roman" w:eastAsia="Times New Roman" w:hAnsi="Times New Roman"/>
          <w:sz w:val="20"/>
          <w:szCs w:val="20"/>
          <w:b w:val="1"/>
          <w:bCs w:val="1"/>
          <w:i w:val="1"/>
          <w:iCs w:val="1"/>
          <w:color w:val="auto"/>
        </w:rPr>
        <w:t>Annual Base Salary</w:t>
      </w:r>
      <w:r>
        <w:rPr>
          <w:rFonts w:ascii="Times New Roman" w:cs="Times New Roman" w:eastAsia="Times New Roman" w:hAnsi="Times New Roman"/>
          <w:sz w:val="20"/>
          <w:szCs w:val="20"/>
          <w:color w:val="auto"/>
        </w:rPr>
        <w:t>”) by the Board or its compensation committee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 Opportunity</w:t>
      </w:r>
      <w:r>
        <w:rPr>
          <w:rFonts w:ascii="Times New Roman" w:cs="Times New Roman" w:eastAsia="Times New Roman" w:hAnsi="Times New Roman"/>
          <w:sz w:val="20"/>
          <w:szCs w:val="20"/>
          <w:color w:val="auto"/>
        </w:rPr>
        <w:t>. During the Term, Executive will be eligible to participate in an annual incentive program established by the Board or Compensation Committee with target level annual incentive compensation opportunities as may be determined by the Board or Compensation Committee from time to time, but with an annual “target level” incentive bonus opportunity (the “</w:t>
      </w:r>
      <w:r>
        <w:rPr>
          <w:rFonts w:ascii="Times New Roman" w:cs="Times New Roman" w:eastAsia="Times New Roman" w:hAnsi="Times New Roman"/>
          <w:sz w:val="20"/>
          <w:szCs w:val="20"/>
          <w:b w:val="1"/>
          <w:bCs w:val="1"/>
          <w:i w:val="1"/>
          <w:iCs w:val="1"/>
          <w:color w:val="auto"/>
        </w:rPr>
        <w:t>Target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Bonus</w:t>
      </w:r>
      <w:r>
        <w:rPr>
          <w:rFonts w:ascii="Times New Roman" w:cs="Times New Roman" w:eastAsia="Times New Roman" w:hAnsi="Times New Roman"/>
          <w:sz w:val="20"/>
          <w:szCs w:val="20"/>
          <w:color w:val="auto"/>
        </w:rPr>
        <w:t>”) of 45% of the Annual Base Salary. The annual bonus payable under the incentive program (“</w:t>
      </w:r>
      <w:r>
        <w:rPr>
          <w:rFonts w:ascii="Times New Roman" w:cs="Times New Roman" w:eastAsia="Times New Roman" w:hAnsi="Times New Roman"/>
          <w:sz w:val="20"/>
          <w:szCs w:val="20"/>
          <w:b w:val="1"/>
          <w:bCs w:val="1"/>
          <w:i w:val="1"/>
          <w:iCs w:val="1"/>
          <w:color w:val="auto"/>
        </w:rPr>
        <w:t>Annual Bonus</w:t>
      </w:r>
      <w:r>
        <w:rPr>
          <w:rFonts w:ascii="Times New Roman" w:cs="Times New Roman" w:eastAsia="Times New Roman" w:hAnsi="Times New Roman"/>
          <w:sz w:val="20"/>
          <w:szCs w:val="20"/>
          <w:color w:val="auto"/>
        </w:rPr>
        <w:t>”) shall be based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achievement of performance goals or such other criteria as may be determined by the Board or Compensation Committee. The payment of any Annual Bonus pursuant to the incentive program shall be subject to Executive’s continued employment with the Company through the date of payment, except as otherwise provided in Section 4. The Annual Bonus shall be paid to Executive when paid generally to other senior executives of the Company, but in any event, to the extent determinable as of such time, not later than March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of the year immediately following the applicable year for which such Annual Bonus is being paid.</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Sign-On Bonus</w:t>
      </w:r>
      <w:r>
        <w:rPr>
          <w:rFonts w:ascii="Times New Roman" w:cs="Times New Roman" w:eastAsia="Times New Roman" w:hAnsi="Times New Roman"/>
          <w:sz w:val="20"/>
          <w:szCs w:val="20"/>
          <w:color w:val="auto"/>
        </w:rPr>
        <w:t>. Pursuant to the Prior Agreement, Executive was paid a one-time signing bonus equal to the amount of $50,000, less any taxable withholdings (the “</w:t>
      </w:r>
      <w:r>
        <w:rPr>
          <w:rFonts w:ascii="Times New Roman" w:cs="Times New Roman" w:eastAsia="Times New Roman" w:hAnsi="Times New Roman"/>
          <w:sz w:val="20"/>
          <w:szCs w:val="20"/>
          <w:b w:val="1"/>
          <w:bCs w:val="1"/>
          <w:i w:val="1"/>
          <w:iCs w:val="1"/>
          <w:color w:val="auto"/>
        </w:rPr>
        <w:t>Sign-On Bonus</w:t>
      </w:r>
      <w:r>
        <w:rPr>
          <w:rFonts w:ascii="Times New Roman" w:cs="Times New Roman" w:eastAsia="Times New Roman" w:hAnsi="Times New Roman"/>
          <w:sz w:val="20"/>
          <w:szCs w:val="20"/>
          <w:color w:val="auto"/>
        </w:rPr>
        <w:t>”). If Executive is terminated for Cause or voluntarily leaves the Company without Good Reason prior to completing twenty-four (24) months of service from August 14, 2023, Executive shall be required to repay to the Company, within thirty (30) days following Executive’s last day of employment with the Company, 100% of the Sign-On Bonus.</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 During the Term, Executive will be eligible to participate and receive awards under the Company’s equity plans as in effect from time to time.</w:t>
      </w:r>
    </w:p>
    <w:p>
      <w:pPr>
        <w:spacing w:after="0" w:line="155"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Initial Option</w:t>
      </w:r>
      <w:r>
        <w:rPr>
          <w:rFonts w:ascii="Times New Roman" w:cs="Times New Roman" w:eastAsia="Times New Roman" w:hAnsi="Times New Roman"/>
          <w:sz w:val="20"/>
          <w:szCs w:val="20"/>
          <w:color w:val="auto"/>
        </w:rPr>
        <w:t>: Pursuant to the Prior Agreement, on August 15, 2023, the Compensation Committee of the Board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approved a grant of stock options to purchase 4,230,000 shares of the Company’s common stock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The Initial Option was granted in accordance with the Company’s 2022 Incentive Award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related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stock option documents. The Initial Option has an exercise price per share equal to the fair market value on the grant date, as determined by the Board. Subject to Executive’s continued employment with the Company, the Initial Option will vest over a four</w:t>
      </w:r>
    </w:p>
    <w:p>
      <w:pPr>
        <w:spacing w:after="0" w:line="4" w:lineRule="exact"/>
        <w:rPr>
          <w:rFonts w:ascii="Times New Roman" w:cs="Times New Roman" w:eastAsia="Times New Roman" w:hAnsi="Times New Roman"/>
          <w:sz w:val="20"/>
          <w:szCs w:val="20"/>
          <w:color w:val="auto"/>
        </w:rPr>
      </w:pPr>
    </w:p>
    <w:p>
      <w:pPr>
        <w:ind w:left="7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year period starting on the August 14, 2023 (the “</w:t>
      </w:r>
      <w:r>
        <w:rPr>
          <w:rFonts w:ascii="Times New Roman" w:cs="Times New Roman" w:eastAsia="Times New Roman" w:hAnsi="Times New Roman"/>
          <w:sz w:val="20"/>
          <w:szCs w:val="20"/>
          <w:b w:val="1"/>
          <w:bCs w:val="1"/>
          <w:i w:val="1"/>
          <w:iCs w:val="1"/>
          <w:color w:val="auto"/>
        </w:rPr>
        <w:t>Vesting Commencement Date</w:t>
      </w:r>
      <w:r>
        <w:rPr>
          <w:rFonts w:ascii="Times New Roman" w:cs="Times New Roman" w:eastAsia="Times New Roman" w:hAnsi="Times New Roman"/>
          <w:sz w:val="20"/>
          <w:szCs w:val="20"/>
          <w:color w:val="auto"/>
        </w:rPr>
        <w:t>”), with 25% of the shares vesting on the date that is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7" w:name="page208"/>
    <w:bookmarkEnd w:id="207"/>
    <w:p>
      <w:pPr>
        <w:ind w:left="760"/>
        <w:spacing w:after="0" w:line="269" w:lineRule="auto"/>
        <w:rPr>
          <w:sz w:val="20"/>
          <w:szCs w:val="20"/>
          <w:color w:val="auto"/>
        </w:rPr>
      </w:pPr>
      <w:r>
        <w:rPr>
          <w:rFonts w:ascii="Times New Roman" w:cs="Times New Roman" w:eastAsia="Times New Roman" w:hAnsi="Times New Roman"/>
          <w:sz w:val="20"/>
          <w:szCs w:val="20"/>
          <w:color w:val="auto"/>
        </w:rPr>
        <w:t>twelve (12) months after the Vesting Commencement Date and the remainder vesting in thirty-six (36) equal monthly installments over the subsequent three (3) year period.</w:t>
      </w:r>
    </w:p>
    <w:p>
      <w:pPr>
        <w:spacing w:after="0" w:line="155" w:lineRule="exact"/>
        <w:rPr>
          <w:sz w:val="20"/>
          <w:szCs w:val="20"/>
          <w:color w:val="auto"/>
        </w:rPr>
      </w:pPr>
    </w:p>
    <w:p>
      <w:pPr>
        <w:jc w:val="both"/>
        <w:ind w:left="760" w:firstLine="745"/>
        <w:spacing w:after="0" w:line="250" w:lineRule="auto"/>
        <w:tabs>
          <w:tab w:leader="none" w:pos="2048"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Milestone Option</w:t>
      </w:r>
      <w:r>
        <w:rPr>
          <w:rFonts w:ascii="Times New Roman" w:cs="Times New Roman" w:eastAsia="Times New Roman" w:hAnsi="Times New Roman"/>
          <w:sz w:val="20"/>
          <w:szCs w:val="20"/>
          <w:color w:val="auto"/>
        </w:rPr>
        <w:t>: Pursuant to the Prior Agreement, on August 15, 2023, the Compensation Committee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Board approved a grant of stock options to purchase 470,000 Shares (the “</w:t>
      </w:r>
      <w:r>
        <w:rPr>
          <w:rFonts w:ascii="Times New Roman" w:cs="Times New Roman" w:eastAsia="Times New Roman" w:hAnsi="Times New Roman"/>
          <w:sz w:val="20"/>
          <w:szCs w:val="20"/>
          <w:b w:val="1"/>
          <w:bCs w:val="1"/>
          <w:i w:val="1"/>
          <w:iCs w:val="1"/>
          <w:color w:val="auto"/>
        </w:rPr>
        <w:t>Milestone Option</w:t>
      </w:r>
      <w:r>
        <w:rPr>
          <w:rFonts w:ascii="Times New Roman" w:cs="Times New Roman" w:eastAsia="Times New Roman" w:hAnsi="Times New Roman"/>
          <w:sz w:val="20"/>
          <w:szCs w:val="20"/>
          <w:color w:val="auto"/>
        </w:rPr>
        <w:t>”). The Milestone Option was granted in accordance with the Plan and related stock option documents. The Milestone Option has an exercise price per share equal to the fair market value on the grant date, as determined by the Board. The Milestone Option will vest as follows:</w:t>
      </w:r>
    </w:p>
    <w:p>
      <w:pPr>
        <w:spacing w:after="0" w:line="175" w:lineRule="exact"/>
        <w:rPr>
          <w:sz w:val="20"/>
          <w:szCs w:val="20"/>
          <w:color w:val="auto"/>
        </w:rPr>
      </w:pPr>
    </w:p>
    <w:p>
      <w:pPr>
        <w:jc w:val="both"/>
        <w:ind w:left="1500" w:firstLine="749"/>
        <w:spacing w:after="0" w:line="259"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9"/>
          <w:szCs w:val="19"/>
          <w:color w:val="auto"/>
        </w:rPr>
        <w:t>235,000 Shares subject to the Milestone Option (the “</w:t>
      </w:r>
      <w:r>
        <w:rPr>
          <w:rFonts w:ascii="Times New Roman" w:cs="Times New Roman" w:eastAsia="Times New Roman" w:hAnsi="Times New Roman"/>
          <w:sz w:val="19"/>
          <w:szCs w:val="19"/>
          <w:b w:val="1"/>
          <w:bCs w:val="1"/>
          <w:i w:val="1"/>
          <w:iCs w:val="1"/>
          <w:color w:val="auto"/>
        </w:rPr>
        <w:t>First Milestone Option</w:t>
      </w:r>
      <w:r>
        <w:rPr>
          <w:rFonts w:ascii="Times New Roman" w:cs="Times New Roman" w:eastAsia="Times New Roman" w:hAnsi="Times New Roman"/>
          <w:sz w:val="19"/>
          <w:szCs w:val="19"/>
          <w:color w:val="auto"/>
        </w:rPr>
        <w:t>”) will be eligible to vest upon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filing with the Federal Drug Administration of the Company’s Biologics License Application (“</w:t>
      </w:r>
      <w:r>
        <w:rPr>
          <w:rFonts w:ascii="Times New Roman" w:cs="Times New Roman" w:eastAsia="Times New Roman" w:hAnsi="Times New Roman"/>
          <w:sz w:val="19"/>
          <w:szCs w:val="19"/>
          <w:b w:val="1"/>
          <w:bCs w:val="1"/>
          <w:i w:val="1"/>
          <w:iCs w:val="1"/>
          <w:color w:val="auto"/>
        </w:rPr>
        <w:t>BLA</w:t>
      </w:r>
      <w:r>
        <w:rPr>
          <w:rFonts w:ascii="Times New Roman" w:cs="Times New Roman" w:eastAsia="Times New Roman" w:hAnsi="Times New Roman"/>
          <w:sz w:val="19"/>
          <w:szCs w:val="19"/>
          <w:color w:val="auto"/>
        </w:rPr>
        <w:t>”) with respect to cretostimogene grenadenorepvec (CG0070), provided such BLA filing occurs on or before December 31, 2025, subject to Executive’s continued employment with the Company through such date; and</w:t>
      </w:r>
    </w:p>
    <w:p>
      <w:pPr>
        <w:spacing w:after="0" w:line="181" w:lineRule="exact"/>
        <w:rPr>
          <w:sz w:val="20"/>
          <w:szCs w:val="20"/>
          <w:color w:val="auto"/>
        </w:rPr>
      </w:pPr>
    </w:p>
    <w:p>
      <w:pPr>
        <w:jc w:val="both"/>
        <w:ind w:left="1500" w:firstLine="754"/>
        <w:spacing w:after="0" w:line="242" w:lineRule="auto"/>
        <w:tabs>
          <w:tab w:leader="none" w:pos="2548"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235,000 Shares subject to the Milestone Option (the “</w:t>
      </w:r>
      <w:r>
        <w:rPr>
          <w:rFonts w:ascii="Times New Roman" w:cs="Times New Roman" w:eastAsia="Times New Roman" w:hAnsi="Times New Roman"/>
          <w:sz w:val="20"/>
          <w:szCs w:val="20"/>
          <w:b w:val="1"/>
          <w:bCs w:val="1"/>
          <w:i w:val="1"/>
          <w:iCs w:val="1"/>
          <w:color w:val="auto"/>
        </w:rPr>
        <w:t>Second Milestone Option</w:t>
      </w:r>
      <w:r>
        <w:rPr>
          <w:rFonts w:ascii="Times New Roman" w:cs="Times New Roman" w:eastAsia="Times New Roman" w:hAnsi="Times New Roman"/>
          <w:sz w:val="20"/>
          <w:szCs w:val="20"/>
          <w:color w:val="auto"/>
        </w:rPr>
        <w:t>”) will be eligible to vest upon the approval by the Federal Drug Administration of the Company’s BLA with respect to cretostimogene grenadenorepvec (CG0070) (“</w:t>
      </w:r>
      <w:r>
        <w:rPr>
          <w:rFonts w:ascii="Times New Roman" w:cs="Times New Roman" w:eastAsia="Times New Roman" w:hAnsi="Times New Roman"/>
          <w:sz w:val="20"/>
          <w:szCs w:val="20"/>
          <w:b w:val="1"/>
          <w:bCs w:val="1"/>
          <w:i w:val="1"/>
          <w:iCs w:val="1"/>
          <w:color w:val="auto"/>
        </w:rPr>
        <w:t>BLA Approval</w:t>
      </w:r>
      <w:r>
        <w:rPr>
          <w:rFonts w:ascii="Times New Roman" w:cs="Times New Roman" w:eastAsia="Times New Roman" w:hAnsi="Times New Roman"/>
          <w:sz w:val="20"/>
          <w:szCs w:val="20"/>
          <w:color w:val="auto"/>
        </w:rPr>
        <w:t>”), provided such BLA Approval occurs on or before December 31, 2026, subject to Executive’s continued employment with the Company through such date.</w:t>
      </w:r>
    </w:p>
    <w:p>
      <w:pPr>
        <w:spacing w:after="0" w:line="187" w:lineRule="exact"/>
        <w:rPr>
          <w:rFonts w:ascii="Times New Roman" w:cs="Times New Roman" w:eastAsia="Times New Roman" w:hAnsi="Times New Roman"/>
          <w:sz w:val="22"/>
          <w:szCs w:val="22"/>
          <w:color w:val="auto"/>
        </w:rPr>
      </w:pPr>
    </w:p>
    <w:p>
      <w:pPr>
        <w:jc w:val="both"/>
        <w:ind w:firstLine="757"/>
        <w:spacing w:after="0" w:line="243" w:lineRule="auto"/>
        <w:tabs>
          <w:tab w:leader="none" w:pos="101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During the Term,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on the same terms and conditions as those applicable to similarly situated senior executives. In addition, during the Term, Executive shall be eligible to participate in any retirement, savings and other employee benefit plans and programs maintained from time to time by the Company for the benefit of its senior executive officers. Nothing contained in this Section 2(e)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 or Paid Time Off</w:t>
      </w:r>
      <w:r>
        <w:rPr>
          <w:rFonts w:ascii="Times New Roman" w:cs="Times New Roman" w:eastAsia="Times New Roman" w:hAnsi="Times New Roman"/>
          <w:sz w:val="20"/>
          <w:szCs w:val="20"/>
          <w:color w:val="auto"/>
        </w:rPr>
        <w:t>. During the Term, Executive shall be entitled to paid personal leave in accordance with the Company’s Policies applicable to similarly situated executives. Any vacation or paid time off shall be taken in the reasonable convenience of Executive. Through the Company’s paid time-off policies Executive will receive paid sick leave as required by state and any applicable local laws.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Travel and Expense Reimbursement Policy.</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and D&amp;O Insurance</w:t>
      </w:r>
      <w:r>
        <w:rPr>
          <w:rFonts w:ascii="Times New Roman" w:cs="Times New Roman" w:eastAsia="Times New Roman" w:hAnsi="Times New Roman"/>
          <w:sz w:val="20"/>
          <w:szCs w:val="20"/>
          <w:color w:val="auto"/>
        </w:rPr>
        <w:t>. The Company shall indemnify Executive (and advance expenses to Executive) to the greatest extent permitted by applicable state law and shall provide</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8" w:name="page209"/>
    <w:bookmarkEnd w:id="208"/>
    <w:p>
      <w:pPr>
        <w:spacing w:after="0" w:line="269" w:lineRule="auto"/>
        <w:rPr>
          <w:sz w:val="20"/>
          <w:szCs w:val="20"/>
          <w:color w:val="auto"/>
        </w:rPr>
      </w:pPr>
      <w:r>
        <w:rPr>
          <w:rFonts w:ascii="Times New Roman" w:cs="Times New Roman" w:eastAsia="Times New Roman" w:hAnsi="Times New Roman"/>
          <w:sz w:val="20"/>
          <w:szCs w:val="20"/>
          <w:color w:val="auto"/>
        </w:rPr>
        <w:t>Executive with coverage under a directors’ and officers’ liability insurance policy to the same extent provided to other senior executives and directors of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9" w:name="page210"/>
    <w:bookmarkEnd w:id="209"/>
    <w:p>
      <w:pPr>
        <w:spacing w:after="0" w:line="200" w:lineRule="exact"/>
        <w:rPr>
          <w:sz w:val="20"/>
          <w:szCs w:val="20"/>
          <w:color w:val="auto"/>
        </w:rPr>
      </w:pPr>
    </w:p>
    <w:p>
      <w:pPr>
        <w:spacing w:after="0" w:line="20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9" w:lineRule="exact"/>
        <w:rPr>
          <w:sz w:val="20"/>
          <w:szCs w:val="20"/>
          <w:color w:val="auto"/>
        </w:rPr>
      </w:pPr>
    </w:p>
    <w:p>
      <w:pPr>
        <w:ind w:left="1020" w:hanging="263"/>
        <w:spacing w:after="0"/>
        <w:tabs>
          <w:tab w:leader="none" w:pos="102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 Executive’s</w:t>
      </w:r>
    </w:p>
    <w:p>
      <w:pPr>
        <w:spacing w:after="0" w:line="2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w:t>
      </w:r>
    </w:p>
    <w:p>
      <w:pPr>
        <w:spacing w:after="0" w:line="18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215"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51"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55"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0"/>
          <w:szCs w:val="20"/>
          <w:b w:val="1"/>
          <w:bCs w:val="1"/>
          <w:i w:val="1"/>
          <w:iCs w:val="1"/>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Termination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Executive delivers a Notice of Termination to the Company, the Company may,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87" w:lineRule="exact"/>
        <w:rPr>
          <w:rFonts w:ascii="Times New Roman" w:cs="Times New Roman" w:eastAsia="Times New Roman" w:hAnsi="Times New Roman"/>
          <w:sz w:val="20"/>
          <w:szCs w:val="20"/>
          <w:color w:val="auto"/>
        </w:rPr>
      </w:pPr>
    </w:p>
    <w:p>
      <w:pPr>
        <w:jc w:val="both"/>
        <w:ind w:firstLine="757"/>
        <w:spacing w:after="0" w:line="264" w:lineRule="auto"/>
        <w:tabs>
          <w:tab w:leader="none" w:pos="1018"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Obligations upon Termination</w:t>
      </w:r>
      <w:r>
        <w:rPr>
          <w:rFonts w:ascii="Times New Roman" w:cs="Times New Roman" w:eastAsia="Times New Roman" w:hAnsi="Times New Roman"/>
          <w:sz w:val="19"/>
          <w:szCs w:val="19"/>
          <w:color w:val="auto"/>
        </w:rPr>
        <w:t xml:space="preserve">. Upon termination of Executive’s employment pursuant to any of the circumstances listed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Executive (or Executive’s estate, if applicable) shall be entitled to receive the following (the “</w:t>
      </w:r>
      <w:r>
        <w:rPr>
          <w:rFonts w:ascii="Times New Roman" w:cs="Times New Roman" w:eastAsia="Times New Roman" w:hAnsi="Times New Roman"/>
          <w:sz w:val="19"/>
          <w:szCs w:val="19"/>
          <w:b w:val="1"/>
          <w:bCs w:val="1"/>
          <w:i w:val="1"/>
          <w:iCs w:val="1"/>
          <w:color w:val="auto"/>
        </w:rPr>
        <w:t>Accrued Obligations</w:t>
      </w:r>
      <w:r>
        <w:rPr>
          <w:rFonts w:ascii="Times New Roman" w:cs="Times New Roman" w:eastAsia="Times New Roman" w:hAnsi="Times New Roman"/>
          <w:sz w:val="19"/>
          <w:szCs w:val="19"/>
          <w:color w:val="auto"/>
        </w:rPr>
        <w:t>”):</w:t>
      </w:r>
    </w:p>
    <w:p>
      <w:pPr>
        <w:ind w:firstLine="8"/>
        <w:spacing w:after="0" w:line="246" w:lineRule="auto"/>
        <w:tabs>
          <w:tab w:leader="none" w:pos="25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Executive’s Annual Base Salary earned through the Date of Termination, but not yet paid to Executive (payable on the Company’s next payroll date or such earlier date as required by applicable law); (ii) any expense</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jc w:val="both"/>
        <w:spacing w:after="0" w:line="243" w:lineRule="auto"/>
        <w:rPr>
          <w:sz w:val="20"/>
          <w:szCs w:val="20"/>
          <w:color w:val="auto"/>
        </w:rPr>
      </w:pPr>
      <w:r>
        <w:rPr>
          <w:rFonts w:ascii="Times New Roman" w:cs="Times New Roman" w:eastAsia="Times New Roman" w:hAnsi="Times New Roman"/>
          <w:sz w:val="20"/>
          <w:szCs w:val="20"/>
          <w:color w:val="auto"/>
        </w:rPr>
        <w:t>reimbursements owed to Executive pursuant to Section 2(g), payable pursuant to the applicable policy;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0"/>
          <w:szCs w:val="20"/>
          <w:b w:val="1"/>
          <w:bCs w:val="1"/>
          <w:i w:val="1"/>
          <w:iCs w:val="1"/>
          <w:color w:val="auto"/>
        </w:rPr>
        <w:t>Company Arrangements</w:t>
      </w:r>
      <w:r>
        <w:rPr>
          <w:rFonts w:ascii="Times New Roman" w:cs="Times New Roman" w:eastAsia="Times New Roman" w:hAnsi="Times New Roman"/>
          <w:sz w:val="20"/>
          <w:szCs w:val="20"/>
          <w:color w:val="auto"/>
        </w:rPr>
        <w:t>”). Except as otherwise expressly required by law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COBRA) or applicable Company Arrangement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for severance benefits shall be to receive the payments and benefits described in this Section 3(c) or Section 4, as applicable.</w:t>
      </w:r>
    </w:p>
    <w:p>
      <w:pPr>
        <w:spacing w:after="0" w:line="189" w:lineRule="exact"/>
        <w:rPr>
          <w:sz w:val="20"/>
          <w:szCs w:val="20"/>
          <w:color w:val="auto"/>
        </w:rPr>
      </w:pPr>
    </w:p>
    <w:p>
      <w:pPr>
        <w:ind w:firstLine="757"/>
        <w:spacing w:after="0" w:line="269" w:lineRule="auto"/>
        <w:tabs>
          <w:tab w:leader="none" w:pos="101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5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Upon termination of Executive’s employment for any reason, unless otherwise specified in a written agreement between Executive and the Company, Executive agrees to return to the Company all documents of the Company and its affiliates (and all copies thereof) and all other Company or Company affiliate property that Executive has in his possession, custody, or control. Such property includes, without limitation: (i) any materials of any kind that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spacing w:after="0" w:line="201"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Resignation from the Company Without Good Reason or Resignation from the Company for Good Reason Prior to a Change in Control or More Than Eighteen (18) Months Following a Change in Control</w:t>
      </w:r>
      <w:r>
        <w:rPr>
          <w:rFonts w:ascii="Times New Roman" w:cs="Times New Roman" w:eastAsia="Times New Roman" w:hAnsi="Times New Roman"/>
          <w:sz w:val="20"/>
          <w:szCs w:val="20"/>
          <w:color w:val="auto"/>
        </w:rPr>
        <w:t>. If Executive’s employment shall terminate as a result of Executive’s death pursuant to Section 3(a)(i) or Disability pursuant to Section 3(a)(ii), pursuant to Section 3(a)(iii)for Cause, pursuant to Section 3(a)(vi) for Executive’s resignation from the Company without Good Reason, or pursuant to Section 3(a)(v) for Executive’s resignation from the Company with Good Reason (if such resignation for Good Reason occurs prior to a Change in Control or more than eighteen (18) months following a Change in Control), then Executive shall not be entitled to any severance payments or benefits, except for the Accrued Obligations as provided in Section 3(c).</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Prior to a Change in Control or More Than Eighteen (18) Months Following a Change in Control</w:t>
      </w:r>
      <w:r>
        <w:rPr>
          <w:rFonts w:ascii="Times New Roman" w:cs="Times New Roman" w:eastAsia="Times New Roman" w:hAnsi="Times New Roman"/>
          <w:sz w:val="20"/>
          <w:szCs w:val="20"/>
          <w:color w:val="auto"/>
        </w:rPr>
        <w:t>. If Executive’s employment terminates without Cause pursuant to Section 3(a)(iv), and such termination without Cause occurs prior to a Change in Control or more than eighteen (18) months following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1" w:name="page212"/>
    <w:bookmarkEnd w:id="211"/>
    <w:p>
      <w:pPr>
        <w:jc w:val="both"/>
        <w:ind w:left="760" w:firstLine="745"/>
        <w:spacing w:after="0" w:line="254" w:lineRule="auto"/>
        <w:tabs>
          <w:tab w:leader="none" w:pos="2048"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Executive’s Annual Base Salary as in effect immediately prior to the Date of Termination, payable in a lump sum on the first regular payroll date following the effective date of Executive’s Release (as defined below);</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prorated to reflect the portion of the year in which the Date of Termination occurs that has elapsed prior to the Date of Termination, payable in a lump sum on the first regular payroll date following the effective date of Executive’s Release (but in no event later than March 15 of the calendar year following the year in which Executive’s Date of Termination occurs);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2048"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then the Company shall directly pay, or reimburse Executive for, the COBRA premiums for Executive and Executive’s covered dependents under such plans during the period commencing on Executive’s Separation from Service and ending upon the earliest of (A) the last day of the twelve (12)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19"/>
          <w:szCs w:val="19"/>
          <w:b w:val="1"/>
          <w:bCs w:val="1"/>
          <w:i w:val="1"/>
          <w:iCs w:val="1"/>
          <w:color w:val="auto"/>
        </w:rPr>
        <w:t>COBRA Continuation Period</w:t>
      </w:r>
      <w:r>
        <w:rPr>
          <w:rFonts w:ascii="Times New Roman" w:cs="Times New Roman" w:eastAsia="Times New Roman" w:hAnsi="Times New Roman"/>
          <w:sz w:val="19"/>
          <w:szCs w:val="19"/>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COBRA Continuation Period; and</w:t>
      </w:r>
    </w:p>
    <w:p>
      <w:pPr>
        <w:spacing w:after="0" w:line="176" w:lineRule="exact"/>
        <w:rPr>
          <w:rFonts w:ascii="Times New Roman" w:cs="Times New Roman" w:eastAsia="Times New Roman" w:hAnsi="Times New Roman"/>
          <w:sz w:val="19"/>
          <w:szCs w:val="19"/>
          <w:color w:val="auto"/>
        </w:rPr>
      </w:pPr>
    </w:p>
    <w:p>
      <w:pPr>
        <w:jc w:val="both"/>
        <w:ind w:left="760" w:firstLine="745"/>
        <w:spacing w:after="0" w:line="243" w:lineRule="auto"/>
        <w:tabs>
          <w:tab w:leader="none" w:pos="2109"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number of the outstanding, unvested Company equity awards held by Executive under any Company equity compensation plans as would have vested during the twelve (12) months following the date of Executive’s Separation from Service had Executive continued in employment or service with the Company during such period shall immediately become vested on the effectiveness of the Release;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performance-based equity award will remain subject to attainment of the relevant performance goals during such twelve (12) months following the date of Executive’s Separation from Service unless a more favorable or alternative provision is contained in an applicable award agreement, and to the extent such performance goals are not attained prior to such deadline, such performance-based equity awards shall not vest pursuant to this clause (iv) and shall be forfeited.</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lieu of the payments and benefits set forth in Section 4(b), in the event Executive’s employment terminates without Cause pursuant to Section 3(a)(iv), or pursuant to Section 3(a)(v) due to Executive’s resignation with Good Reason, in either case, on or within eighteen (18) months following the date of a Change in Control, then subject to Sections 3(e), 4(d) and 9(k), and Executive’s continued compliance with the terms of this Agreement (including, without limitation, Section</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0"/>
          <w:szCs w:val="20"/>
          <w:color w:val="auto"/>
        </w:rPr>
        <w:t>5), the Company shall pay Executive, in addition to the Accrued Obligations set forth in Section 3(c), the following:</w:t>
      </w:r>
    </w:p>
    <w:p>
      <w:pPr>
        <w:spacing w:after="0" w:line="216" w:lineRule="exact"/>
        <w:rPr>
          <w:sz w:val="20"/>
          <w:szCs w:val="20"/>
          <w:color w:val="auto"/>
        </w:rPr>
      </w:pPr>
    </w:p>
    <w:p>
      <w:pPr>
        <w:jc w:val="both"/>
        <w:ind w:left="760" w:firstLine="745"/>
        <w:spacing w:after="0" w:line="254" w:lineRule="auto"/>
        <w:tabs>
          <w:tab w:leader="none" w:pos="2048"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1.5 times Executive’s Annual Base Salary as in effect immediately prior to the Date of Termination (and without regard to any reduction in Annual Base Salary that resulted in Executive’s resignation with Good Reason), payable in a lump sum on the first regular payroll date following the effective date of Executive’s Release;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payable in a lump sum on the first regular payroll date following the effective date of Executive’s Release (but in no event later than March 15 of the calendar year following the year in which Executive’s Date of Termination occurs);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2048"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during the period commencing on Executive’s Separation from Service and ending upon the earliest of (A) the last day of the eighteen (18)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0"/>
          <w:szCs w:val="20"/>
          <w:b w:val="1"/>
          <w:bCs w:val="1"/>
          <w:i w:val="1"/>
          <w:iCs w:val="1"/>
          <w:color w:val="auto"/>
        </w:rPr>
        <w:t>CIC COBRA Continuation Period</w:t>
      </w:r>
      <w:r>
        <w:rPr>
          <w:rFonts w:ascii="Times New Roman" w:cs="Times New Roman" w:eastAsia="Times New Roman" w:hAnsi="Times New Roman"/>
          <w:sz w:val="20"/>
          <w:szCs w:val="20"/>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CIC COBRA Continuation Period; and</w:t>
      </w:r>
    </w:p>
    <w:p>
      <w:pPr>
        <w:spacing w:after="0" w:line="19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outstanding, unvested Company equity awards held by Executive under any Company equity compensation plans shall immediately become 100% vested on the effectiveness of the Release,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performance-based equity award will remain subject to attainment of the relevant performance goals on or prior to the deadline for attainment of such goals as set forth in the applicable award agreement unless a more favorable or alternative provision is contained in an applicable award agreement, and to the extent such performance goals are not attained prior to such deadline, such performance-based equity awards shall not vest pursuant to this clause (iv) and shall be forfeited.</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Notwithstanding the foregoing, it shall be a condition to the Executive’s right to receive the amounts provided for in Sections 4(b) and 4(c) hereof that the Executive execute and deliver to the Company an effective release of claims in substantially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within twenty-one (21) days (or, to the extent required by law, forty-five (45) days) following the Date of Termination and that the Executive not revoke such Release during any applicable revocation period. For the avoidance of doubt, all equity awards eligible for accelerated vesting pursuant to this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3" w:name="page214"/>
    <w:bookmarkEnd w:id="213"/>
    <w:p>
      <w:pPr>
        <w:spacing w:after="0" w:line="269" w:lineRule="auto"/>
        <w:rPr>
          <w:sz w:val="20"/>
          <w:szCs w:val="20"/>
          <w:color w:val="auto"/>
        </w:rPr>
      </w:pPr>
      <w:r>
        <w:rPr>
          <w:rFonts w:ascii="Times New Roman" w:cs="Times New Roman" w:eastAsia="Times New Roman" w:hAnsi="Times New Roman"/>
          <w:sz w:val="20"/>
          <w:szCs w:val="20"/>
          <w:color w:val="auto"/>
        </w:rPr>
        <w:t>Section 4 shall remain outstanding and eligible to vest following the Date of Termination and shall actually vest and become exercisable (if applicable) and non-forfeitable upon the effectiveness of the Release.</w:t>
      </w:r>
    </w:p>
    <w:p>
      <w:pPr>
        <w:spacing w:after="0" w:line="159" w:lineRule="exact"/>
        <w:rPr>
          <w:sz w:val="20"/>
          <w:szCs w:val="20"/>
          <w:color w:val="auto"/>
        </w:rPr>
      </w:pPr>
    </w:p>
    <w:p>
      <w:pPr>
        <w:jc w:val="both"/>
        <w:ind w:firstLine="757"/>
        <w:spacing w:after="0" w:line="244" w:lineRule="auto"/>
        <w:tabs>
          <w:tab w:leader="none" w:pos="115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In the event of a termination of Executive’s employment with the Company, Executive’s sole remedy shall be to receive the payments and benefits described in this Section 4. In addition, Executive acknowledges and agrees that 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state statute.</w:t>
      </w:r>
    </w:p>
    <w:p>
      <w:pPr>
        <w:spacing w:after="0" w:line="195"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9" w:lineRule="auto"/>
        <w:tabs>
          <w:tab w:leader="none" w:pos="1018"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hereby acknowledges that Executive has previously entered into the Company’s standard form of agreement containing confidentiality, intellectual property assignment and other protective covenants (the “</w:t>
      </w:r>
      <w:r>
        <w:rPr>
          <w:rFonts w:ascii="Times New Roman" w:cs="Times New Roman" w:eastAsia="Times New Roman" w:hAnsi="Times New Roman"/>
          <w:sz w:val="20"/>
          <w:szCs w:val="20"/>
          <w:b w:val="1"/>
          <w:bCs w:val="1"/>
          <w:i w:val="1"/>
          <w:iCs w:val="1"/>
          <w:color w:val="auto"/>
        </w:rPr>
        <w:t>Restrictive Covenant Agreement</w:t>
      </w:r>
      <w:r>
        <w:rPr>
          <w:rFonts w:ascii="Times New Roman" w:cs="Times New Roman" w:eastAsia="Times New Roman" w:hAnsi="Times New Roman"/>
          <w:sz w:val="20"/>
          <w:szCs w:val="20"/>
          <w:color w:val="auto"/>
        </w:rPr>
        <w:t xml:space="preserve">”), a copy of which is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Executive shall continue to be bound by the terms and conditions of the Restrictive Covenant Agreement, and hereby agrees that such agreement shall be additional to, and not in limitation of, the covenants contained in this Section 5.</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shall hold in a fiduciary capacity for the benefit of the Company all secret or confidential information, knowledge or data relating to the Company and its subsidiaries and affiliates, which shall have been obtained by Executive in connection with Executive’s employment by the Company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Executive receives actual notice that Executive is or may be required by law or legal process to communicate or divulge any such information, knowledge or data, Executive shall promptly so notify the Company.</w:t>
      </w:r>
    </w:p>
    <w:p>
      <w:pPr>
        <w:spacing w:after="0" w:line="18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employed by the Company, Executive shall not be engaged in any other business activity that would be competitive with the business of the Company and its subsidiaries or affiliates. In addition, while employed by the Company and for a period of twelve (12) months after the Date of Termination, Executive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Executive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5(f), during Executive’s service with the Company and thereafter, excepting any litigation between the Parties, (i) Executive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4" w:name="page215"/>
    <w:bookmarkEnd w:id="214"/>
    <w:p>
      <w:pPr>
        <w:jc w:val="both"/>
        <w:spacing w:after="0" w:line="254" w:lineRule="auto"/>
        <w:rPr>
          <w:sz w:val="20"/>
          <w:szCs w:val="20"/>
          <w:color w:val="auto"/>
        </w:rPr>
      </w:pPr>
      <w:r>
        <w:rPr>
          <w:rFonts w:ascii="Times New Roman" w:cs="Times New Roman" w:eastAsia="Times New Roman" w:hAnsi="Times New Roman"/>
          <w:sz w:val="20"/>
          <w:szCs w:val="20"/>
          <w:color w:val="auto"/>
        </w:rPr>
        <w:t>Company, its affiliates or any of their past or present officers, directors, employees, advisors or agents, and (ii) the Company agrees to instruct its directors and executive officers not to publish or disseminate, directly or indirectly, any statements, whether written or oral, that are or could be harmful to or reflect negatively on Executive’s personal or business reputation or business.</w:t>
      </w:r>
    </w:p>
    <w:p>
      <w:pPr>
        <w:spacing w:after="0" w:line="174" w:lineRule="exact"/>
        <w:rPr>
          <w:sz w:val="20"/>
          <w:szCs w:val="20"/>
          <w:color w:val="auto"/>
        </w:rPr>
      </w:pPr>
    </w:p>
    <w:p>
      <w:pPr>
        <w:jc w:val="both"/>
        <w:ind w:firstLine="757"/>
        <w:spacing w:after="0" w:line="245" w:lineRule="auto"/>
        <w:tabs>
          <w:tab w:leader="none" w:pos="101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recognition of the fact that irreparable injury will result to the Company in the event of a breach by Executive of his obligations under Sections 5(a)-(d) hereof, that monetary damages for such breach would not be readily calculable, and that the Company would not have an adequate remedy at law therefor,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Executive and to cease the payment of any benefits under Section 4(b) or (c) above.</w:t>
      </w:r>
    </w:p>
    <w:p>
      <w:pPr>
        <w:spacing w:after="0" w:line="184" w:lineRule="exact"/>
        <w:rPr>
          <w:rFonts w:ascii="Times New Roman" w:cs="Times New Roman" w:eastAsia="Times New Roman" w:hAnsi="Times New Roman"/>
          <w:sz w:val="20"/>
          <w:szCs w:val="20"/>
          <w:color w:val="auto"/>
        </w:rPr>
      </w:pPr>
    </w:p>
    <w:p>
      <w:pPr>
        <w:jc w:val="both"/>
        <w:ind w:firstLine="757"/>
        <w:spacing w:after="0"/>
        <w:tabs>
          <w:tab w:leader="none" w:pos="101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the Restrictive Covenant Agreement to the contrary, nothing contained in this Agreement shall prohibit either party (or either party’s attorney(s))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 Further, nothing in this Agreement prevents Executive from discussing or disclosing information about unlawful acts in the workplace, such as harassment or discrimination or any other conduct that Executive has reason to believe is unlawful.</w:t>
      </w:r>
    </w:p>
    <w:p>
      <w:pPr>
        <w:spacing w:after="0" w:line="215" w:lineRule="exact"/>
        <w:rPr>
          <w:sz w:val="20"/>
          <w:szCs w:val="20"/>
          <w:color w:val="auto"/>
        </w:rPr>
      </w:pPr>
    </w:p>
    <w:p>
      <w:pPr>
        <w:ind w:left="520" w:hanging="512"/>
        <w:spacing w:after="0"/>
        <w:tabs>
          <w:tab w:leader="none" w:pos="52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jc w:val="both"/>
        <w:spacing w:after="0" w:line="246" w:lineRule="auto"/>
        <w:rPr>
          <w:sz w:val="20"/>
          <w:szCs w:val="20"/>
          <w:color w:val="auto"/>
        </w:rPr>
      </w:pPr>
      <w:r>
        <w:rPr>
          <w:rFonts w:ascii="Times New Roman" w:cs="Times New Roman" w:eastAsia="Times New Roman" w:hAnsi="Times New Roman"/>
          <w:sz w:val="20"/>
          <w:szCs w:val="20"/>
          <w:color w:val="auto"/>
        </w:rPr>
        <w:t>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94" w:lineRule="exact"/>
        <w:rPr>
          <w:sz w:val="20"/>
          <w:szCs w:val="20"/>
          <w:color w:val="auto"/>
        </w:rPr>
      </w:pPr>
    </w:p>
    <w:p>
      <w:pPr>
        <w:ind w:left="520" w:hanging="512"/>
        <w:spacing w:after="0"/>
        <w:tabs>
          <w:tab w:leader="none" w:pos="52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215" w:lineRule="exact"/>
        <w:rPr>
          <w:rFonts w:ascii="Times New Roman" w:cs="Times New Roman" w:eastAsia="Times New Roman" w:hAnsi="Times New Roman"/>
          <w:sz w:val="20"/>
          <w:szCs w:val="20"/>
          <w:color w:val="auto"/>
        </w:rPr>
      </w:pPr>
    </w:p>
    <w:p>
      <w:pPr>
        <w:jc w:val="both"/>
        <w:ind w:firstLine="799"/>
        <w:spacing w:after="0" w:line="249" w:lineRule="auto"/>
        <w:tabs>
          <w:tab w:leader="none" w:pos="1187"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failure by Executive to substantially perform Executive’s duties with the Company (other than any such failure resulting from incapacity due to physical or mental illness), after a written demand for substantial performance is delivered to Executive by the Company or an affiliate that specifically identifies the alleged manner in which Executive has not substantially performed Executive’s duties and after Executive has been provided with a thirty (30) day cure period, or Executive’s deliberate violation of a Company policy;</w:t>
      </w:r>
    </w:p>
    <w:p>
      <w:pPr>
        <w:spacing w:after="0" w:line="193" w:lineRule="exact"/>
        <w:rPr>
          <w:rFonts w:ascii="Times New Roman" w:cs="Times New Roman" w:eastAsia="Times New Roman" w:hAnsi="Times New Roman"/>
          <w:sz w:val="20"/>
          <w:szCs w:val="20"/>
          <w:color w:val="auto"/>
        </w:rPr>
      </w:pPr>
    </w:p>
    <w:p>
      <w:pPr>
        <w:jc w:val="both"/>
        <w:ind w:firstLine="799"/>
        <w:spacing w:after="0" w:line="254" w:lineRule="auto"/>
        <w:tabs>
          <w:tab w:leader="none" w:pos="1187" w:val="left"/>
        </w:tabs>
        <w:numPr>
          <w:ilvl w:val="2"/>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engaging by Executive in illegal conduct or misconduct (including fraud, embezzlement, theft or dishonesty or material violation of any Company policy), or gross negligence, in any case that has caused or is reasonably expected to result in injury to the Company or any affiliate;</w:t>
      </w:r>
    </w:p>
    <w:p>
      <w:pPr>
        <w:spacing w:after="0" w:line="18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2"/>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or plea of no contest to, a felony or any misdemeanor crime involving fraud, moral turpitude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dishonesty;</w:t>
      </w:r>
    </w:p>
    <w:p>
      <w:pPr>
        <w:spacing w:after="0" w:line="20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2"/>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material breach of any written agreement or restrictive covenants with the Company; or</w:t>
      </w:r>
    </w:p>
    <w:p>
      <w:pPr>
        <w:spacing w:after="0" w:line="229" w:lineRule="exact"/>
        <w:rPr>
          <w:rFonts w:ascii="Times New Roman" w:cs="Times New Roman" w:eastAsia="Times New Roman" w:hAnsi="Times New Roman"/>
          <w:sz w:val="20"/>
          <w:szCs w:val="20"/>
          <w:color w:val="auto"/>
        </w:rPr>
      </w:pPr>
    </w:p>
    <w:p>
      <w:pPr>
        <w:jc w:val="both"/>
        <w:ind w:firstLine="799"/>
        <w:spacing w:after="0" w:line="246" w:lineRule="auto"/>
        <w:tabs>
          <w:tab w:leader="none" w:pos="1187" w:val="left"/>
        </w:tabs>
        <w:numPr>
          <w:ilvl w:val="2"/>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violation of any law, rule or regulation relating in any way to the business or activities of the Company or any affiliate, or other law, rule or regulation that is violated, during the course of Executive’s performance of services hereunder that results in Executive’s regulatory suspension or disqualification, including, without limitation, the Generic Drug Enforcement Act of 1992, 21 U.S.C. § 335(a), or any similar legislation applicable in the United States or in any other country where the Company or any affiliate intends to develop its activities.</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 action or inaction based upon direction of the Board or advice of counsel to the Company shall constitute Cause. Poor performance shall not, in and of itself, constitute Cause. No termination of Executive’s employment for Cause shall occur absent a resolution of the Board and the reasonable opportunity for Executive (with Executive’s counsel) to be heard before the Board.</w:t>
      </w:r>
    </w:p>
    <w:p>
      <w:pPr>
        <w:spacing w:after="0" w:line="170" w:lineRule="exact"/>
        <w:rPr>
          <w:sz w:val="20"/>
          <w:szCs w:val="20"/>
          <w:color w:val="auto"/>
        </w:rPr>
      </w:pPr>
    </w:p>
    <w:p>
      <w:pPr>
        <w:ind w:left="1020" w:hanging="263"/>
        <w:spacing w:after="0"/>
        <w:tabs>
          <w:tab w:leader="none" w:pos="102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Company’s 2024 Incentive Award Plan.</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shall mean the Internal Revenue Code of 1986, as amended, and the regulations and guidance promulgated</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p>
      <w:pPr>
        <w:jc w:val="both"/>
        <w:ind w:firstLine="757"/>
        <w:spacing w:after="0" w:line="256" w:lineRule="auto"/>
        <w:tabs>
          <w:tab w:leader="none" w:pos="1018"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Date of Termination</w:t>
      </w:r>
      <w:r>
        <w:rPr>
          <w:rFonts w:ascii="Times New Roman" w:cs="Times New Roman" w:eastAsia="Times New Roman" w:hAnsi="Times New Roman"/>
          <w:sz w:val="20"/>
          <w:szCs w:val="20"/>
          <w:color w:val="auto"/>
        </w:rPr>
        <w:t>” shall mean (i) if Executive’s employment is terminated by Executive’s death, the date of Executive’s death; or (ii) if Executive’s employment is terminated pursuant to Sections 3(a)(ii)-(vi) either the date indicated in the Notice of Termination or the date specified by the Company pursuant to Section 3(b), whichever is earlier.</w:t>
      </w:r>
    </w:p>
    <w:p>
      <w:pPr>
        <w:spacing w:after="0" w:line="168"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xml:space="preserve">” shall mean, at any time the Company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reasonable accommodation, the essential functions of Executive’s positions hereunder for a total of one hundred eighty (180) days within a twelve (12) 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93"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sole purpose of determining Executive’s right to severance payments and benefits as described above, Executive’s resignation will be with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if Executive resigns within one hundred twenty (120) days after any of the following events, unless Executive expressly consents in writing to the applicable event: (i) a reduction in Executive’s Annual Base Salary or Target Bonus, other than a reduction of less than ten percent (10%) (aggregating all prior reductions) that is implemented in connection with a contemporaneous reduction in annual base salaries affecting other senior executives of the Company; (ii) a material decrease in Executive’s authority or areas of responsibility as are commensurate with Executive’s title or position with the Company; (iii) the relocation of Executive’s primary working location to a location that is more than fifty (50) miles from Executive’s home office in Worcester, Massachusetts as of the Effective Date;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196"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2" w:lineRule="auto"/>
        <w:tabs>
          <w:tab w:leader="none" w:pos="1145"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Best Pay Provision</w:t>
      </w:r>
      <w:r>
        <w:rPr>
          <w:rFonts w:ascii="Times New Roman" w:cs="Times New Roman" w:eastAsia="Times New Roman" w:hAnsi="Times New Roman"/>
          <w:sz w:val="20"/>
          <w:szCs w:val="20"/>
          <w:color w:val="auto"/>
        </w:rPr>
        <w:t>. 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20"/>
          <w:szCs w:val="20"/>
          <w:b w:val="1"/>
          <w:bCs w:val="1"/>
          <w:i w:val="1"/>
          <w:iCs w:val="1"/>
          <w:color w:val="auto"/>
        </w:rPr>
        <w:t>Total Payments</w:t>
      </w:r>
      <w:r>
        <w:rPr>
          <w:rFonts w:ascii="Times New Roman" w:cs="Times New Roman" w:eastAsia="Times New Roman" w:hAnsi="Times New Roman"/>
          <w:sz w:val="20"/>
          <w:szCs w:val="20"/>
          <w:color w:val="auto"/>
        </w:rPr>
        <w:t>”) would be subject (in whole or part) to the excise tax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w:t>
      </w:r>
    </w:p>
    <w:p>
      <w:pPr>
        <w:spacing w:after="0" w:line="5"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7" w:name="page218"/>
    <w:bookmarkEnd w:id="217"/>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 (x)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 (y) reduction of any other payments or benefits otherwise payable to Executive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case of clauses (x), (y) and (z), that reduction of any payments or benefits attributable to the acceleration of vesting of Company equity awards shall be first applied to equity awards with later vesting dates;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notwithstanding the foregoing, any such reduction shall be undertaken in a manner that complies with and does not result in the imposition of additional taxes on Executive under Section 409A of the Code. The foregoing reductions shall be made in a manner that results in the maximum economic benefit to Executive on an after-tax basis and, to the extent economically equivalent payments or benefits are subject to reduction, in a pro rata manner.</w:t>
      </w:r>
    </w:p>
    <w:p>
      <w:pPr>
        <w:spacing w:after="0" w:line="187" w:lineRule="exact"/>
        <w:rPr>
          <w:sz w:val="20"/>
          <w:szCs w:val="20"/>
          <w:color w:val="auto"/>
        </w:rPr>
      </w:pPr>
    </w:p>
    <w:p>
      <w:pPr>
        <w:jc w:val="both"/>
        <w:ind w:firstLine="757"/>
        <w:spacing w:after="0"/>
        <w:tabs>
          <w:tab w:leader="none" w:pos="115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Determinations</w:t>
      </w:r>
      <w:r>
        <w:rPr>
          <w:rFonts w:ascii="Times New Roman" w:cs="Times New Roman" w:eastAsia="Times New Roman" w:hAnsi="Times New Roman"/>
          <w:sz w:val="20"/>
          <w:szCs w:val="20"/>
          <w:color w:val="auto"/>
        </w:rPr>
        <w:t>. All determinations regarding the application of this Section 8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0"/>
          <w:szCs w:val="20"/>
          <w:b w:val="1"/>
          <w:bCs w:val="1"/>
          <w:i w:val="1"/>
          <w:iCs w:val="1"/>
          <w:color w:val="auto"/>
        </w:rPr>
        <w:t>280G Firm</w:t>
      </w:r>
      <w:r>
        <w:rPr>
          <w:rFonts w:ascii="Times New Roman" w:cs="Times New Roman" w:eastAsia="Times New Roman" w:hAnsi="Times New Roman"/>
          <w:sz w:val="20"/>
          <w:szCs w:val="20"/>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Executive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w:t>
      </w:r>
    </w:p>
    <w:p>
      <w:pPr>
        <w:spacing w:after="0" w:line="14"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80" w:lineRule="exact"/>
        <w:rPr>
          <w:sz w:val="20"/>
          <w:szCs w:val="20"/>
          <w:color w:val="auto"/>
        </w:rPr>
      </w:pPr>
    </w:p>
    <w:p>
      <w:pPr>
        <w:jc w:val="both"/>
        <w:ind w:firstLine="757"/>
        <w:spacing w:after="0" w:line="242" w:lineRule="auto"/>
        <w:tabs>
          <w:tab w:leader="none" w:pos="1145"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w:t>
      </w:r>
      <w:r>
        <w:rPr>
          <w:rFonts w:ascii="Times New Roman" w:cs="Times New Roman" w:eastAsia="Times New Roman" w:hAnsi="Times New Roman"/>
          <w:sz w:val="20"/>
          <w:szCs w:val="20"/>
          <w:color w:val="auto"/>
        </w:rPr>
        <w:t>. Notwithstanding the foregoing, if any portion of the Total Payments would not be subject to the Excise Tax if the stockholder approval requirements of Section 280G(b)(5) of the Code are satisfied, subject to Executive’s waiver of the rights to such portion of the Total Payments above the safe harbor threshold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Executive under this Agreement or otherwise to the Company’s stockholders for approval in accordance with Treasury Reg. Section 1.280G-1 Q&amp;A 7, the foregoing provisions under this Section 8 shall not apply following such submission and such payments and benefits will be treated in accordance with the results of such vote, except that any reduction in, or waiver above the safe harbor threshold of, such payments or benefits required by such vote will be applied without any application of discretion by Executive and in the order prescribed in Section 8(a).</w:t>
      </w:r>
    </w:p>
    <w:p>
      <w:pPr>
        <w:spacing w:after="0" w:line="212"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 Any suit brought hereon shall be brought in the state or federal courts sitting in the Commonwealth of Massachusetts, the parties hereto hereby waiving any claim or defense that such forum is not convenient or proper. Each party hereby agrees that any such court shall have in personam jurisdiction over it and consents to service of process in any manner authorized by Massachusetts law.</w:t>
      </w:r>
    </w:p>
    <w:p>
      <w:pPr>
        <w:spacing w:after="0" w:line="18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email or certified or registered mail, postage prepaid, as follows:</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CEO of the Company at the Company’s headquarters,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jc w:val="both"/>
        <w:ind w:firstLine="757"/>
        <w:spacing w:after="0" w:line="254" w:lineRule="auto"/>
        <w:tabs>
          <w:tab w:leader="none" w:pos="101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7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the Restrictive Covenant Agreement incorporated herein by reference as set forth in Section 5, and any Release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(including the Prior Agreement). The Parties further intend that this Agreement, the Restrictive Covenant Agreement incorporated herein by reference as set forth in Section 5, and any Release shall constitute the complete and exclusive statement of their terms and that no extrinsic evidence whatsoever may be introduced in any judicial, administrative, or other legal proceeding to vary the terms of such agreements.</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In the event of any dispute or claim relating to, or arising out of Executive’s employment relationship with the Company or its affiliates, including, but not limited, claims of wrongful termination, age, race, gender, disability or other discrimination—but not including claims for sexual harassment or sexual assault—Executive and the Company agree that all such disputes shall be fully and finally resolved by binding arbitration conducted before a single neutral arbitrator pursuant to the rules for arbitration of employment disputes by the American Arbitration Association (available at www.adr.org) in the Commonwealth of Massachusetts.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of law on which the award is based. By executing this Agreement, the Parties are both waiving the right to a jury trial with respect to any such disputes. The</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0" w:name="page221"/>
    <w:bookmarkEnd w:id="220"/>
    <w:p>
      <w:pPr>
        <w:spacing w:after="0" w:line="269" w:lineRule="auto"/>
        <w:rPr>
          <w:sz w:val="20"/>
          <w:szCs w:val="20"/>
          <w:color w:val="auto"/>
        </w:rPr>
      </w:pPr>
      <w:r>
        <w:rPr>
          <w:rFonts w:ascii="Times New Roman" w:cs="Times New Roman" w:eastAsia="Times New Roman" w:hAnsi="Times New Roman"/>
          <w:sz w:val="20"/>
          <w:szCs w:val="20"/>
          <w:color w:val="auto"/>
        </w:rPr>
        <w:t>Company shall bear the costs of the arbitrator, forum and filing fees. Each Party shall bear its own respective attorney fees and all other costs, unless provided by law and awarded by the arbitrator.</w:t>
      </w:r>
    </w:p>
    <w:p>
      <w:pPr>
        <w:spacing w:after="0" w:line="159" w:lineRule="exact"/>
        <w:rPr>
          <w:sz w:val="20"/>
          <w:szCs w:val="20"/>
          <w:color w:val="auto"/>
        </w:rPr>
      </w:pPr>
    </w:p>
    <w:p>
      <w:pPr>
        <w:jc w:val="both"/>
        <w:ind w:firstLine="757"/>
        <w:spacing w:after="0" w:line="245" w:lineRule="auto"/>
        <w:tabs>
          <w:tab w:leader="none" w:pos="101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048"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 from Section 409A and, accordingly, to the maximum extent permitted, this Agreement shall be interpreted to be in compliance therewith. If the Company and Executive agree in good faith that the payments and benefits under this Agreement would not comply with Section 409A, the Parties hereto shall reasonably and in good faith attempt to modify this Agreement to comply with Section 409A while endeavoring to maintain the intended economic benefits hereunder.</w:t>
      </w:r>
    </w:p>
    <w:p>
      <w:pPr>
        <w:spacing w:after="0" w:line="180"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Notwithstanding anything in this Agreement to the contrary, (A) any compensation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and (B) in the event that, with respect to the amounts payable under Sections 4(b) or 4(c), the timing of the delivery of Executive’s Release could cause such amounts to begin in one or another taxable year, to the extent such amounts are subject to Section 409A, then notwithstanding the payment timing set forth in such Sections, such amounts shall not be payable until the later of (1) the payment date specified in such Section or (2) the first business day of the taxable year following Executive’s Separation from Service.</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(x) the expiration of the six-month period measured from the date of Executive’s Separation from Service with the Company or (y) the date of Executive’s death. Upon the first business day following the expiration of the applicable Section 409A period, all payments deferred pursuant to the preceding sentence shall be paid in a lump sum</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1" w:name="page222"/>
    <w:bookmarkEnd w:id="221"/>
    <w:p>
      <w:pPr>
        <w:ind w:left="760"/>
        <w:spacing w:after="0" w:line="269" w:lineRule="auto"/>
        <w:rPr>
          <w:sz w:val="20"/>
          <w:szCs w:val="20"/>
          <w:color w:val="auto"/>
        </w:rPr>
      </w:pPr>
      <w:r>
        <w:rPr>
          <w:rFonts w:ascii="Times New Roman" w:cs="Times New Roman" w:eastAsia="Times New Roman" w:hAnsi="Times New Roman"/>
          <w:sz w:val="20"/>
          <w:szCs w:val="20"/>
          <w:color w:val="auto"/>
        </w:rPr>
        <w:t>to Executive (or Executive’s estate or beneficiaries), and any remaining payments due to Executive under this Agreement shall be paid as otherwise provided herein.</w:t>
      </w:r>
    </w:p>
    <w:p>
      <w:pPr>
        <w:spacing w:after="0" w:line="155" w:lineRule="exact"/>
        <w:rPr>
          <w:sz w:val="20"/>
          <w:szCs w:val="20"/>
          <w:color w:val="auto"/>
        </w:rPr>
      </w:pPr>
    </w:p>
    <w:p>
      <w:pPr>
        <w:jc w:val="both"/>
        <w:ind w:left="760" w:firstLine="745"/>
        <w:spacing w:after="0" w:line="246" w:lineRule="auto"/>
        <w:tabs>
          <w:tab w:leader="none" w:pos="2048"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048"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Installments. </w:t>
      </w:r>
      <w:r>
        <w:rPr>
          <w:rFonts w:ascii="Times New Roman" w:cs="Times New Roman" w:eastAsia="Times New Roman" w:hAnsi="Times New Roman"/>
          <w:sz w:val="20"/>
          <w:szCs w:val="20"/>
          <w:color w:val="auto"/>
        </w:rPr>
        <w:t>Executive’s right to receive any installment payments under this Agreement, including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Notwithstanding anything to the contrary in this Agreement, the provisions of Sections 5 through 9 will survive the termination of Executive’s employment and the termination of the Term.</w:t>
      </w:r>
    </w:p>
    <w:p>
      <w:pPr>
        <w:spacing w:after="0" w:line="169" w:lineRule="exact"/>
        <w:rPr>
          <w:sz w:val="20"/>
          <w:szCs w:val="20"/>
          <w:color w:val="auto"/>
        </w:rPr>
      </w:pPr>
    </w:p>
    <w:p>
      <w:pPr>
        <w:ind w:left="520" w:hanging="512"/>
        <w:spacing w:after="0"/>
        <w:tabs>
          <w:tab w:leader="none" w:pos="52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Acknowledgement</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2" w:name="page223"/>
    <w:bookmarkEnd w:id="222"/>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date and year first above written.</w:t>
      </w:r>
    </w:p>
    <w:p>
      <w:pPr>
        <w:spacing w:after="0" w:line="2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By: /s/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-10795</wp:posOffset>
            </wp:positionV>
            <wp:extent cx="179705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1797050" cy="8255"/>
                    </a:xfrm>
                    <a:prstGeom prst="rect">
                      <a:avLst/>
                    </a:prstGeom>
                    <a:noFill/>
                  </pic:spPr>
                </pic:pic>
              </a:graphicData>
            </a:graphic>
          </wp:anchor>
        </w:drawing>
      </w:r>
    </w:p>
    <w:p>
      <w:pPr>
        <w:spacing w:after="0" w:line="20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Name: Arthur Kuan</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5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/s/ Vijay Kasturi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-10795</wp:posOffset>
            </wp:positionV>
            <wp:extent cx="17589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20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Print Name: Vijay Kasturi, M.D.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854710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440" w:right="1440" w:bottom="1440" w:gutter="0" w:footer="0" w:header="0"/>
        </w:sectPr>
      </w:pPr>
    </w:p>
    <w:bookmarkStart w:id="223" w:name="page224"/>
    <w:bookmarkEnd w:id="223"/>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16"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20"/>
          <w:szCs w:val="20"/>
          <w:color w:val="auto"/>
        </w:rPr>
        <w:t xml:space="preserve">This Separation Agreement and Release (“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Vijay Kasturi, M.D.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(collectively referred to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Capitalized terms used but not defined in this Agreement shall have the meanings set forth in the Employment Agreement (as defined below).</w:t>
      </w:r>
    </w:p>
    <w:p>
      <w:pPr>
        <w:spacing w:after="0" w:line="186"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WHEREAS, the Parties have previously entered into that certain Amended and Restated Employment Agreement, effective as of January 9, 2025 (the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and that certain Restrictive Covenant Agreement (as defined in the Employment Agreement); and</w:t>
      </w:r>
    </w:p>
    <w:p>
      <w:pPr>
        <w:spacing w:after="0" w:line="188" w:lineRule="exact"/>
        <w:rPr>
          <w:sz w:val="20"/>
          <w:szCs w:val="20"/>
          <w:color w:val="auto"/>
        </w:rPr>
      </w:pPr>
    </w:p>
    <w:p>
      <w:pPr>
        <w:jc w:val="both"/>
        <w:ind w:right="20" w:firstLine="614"/>
        <w:spacing w:after="0" w:line="250" w:lineRule="auto"/>
        <w:rPr>
          <w:sz w:val="20"/>
          <w:szCs w:val="20"/>
          <w:color w:val="auto"/>
        </w:rPr>
      </w:pPr>
      <w:r>
        <w:rPr>
          <w:rFonts w:ascii="Times New Roman" w:cs="Times New Roman" w:eastAsia="Times New Roman" w:hAnsi="Times New Roman"/>
          <w:sz w:val="20"/>
          <w:szCs w:val="20"/>
          <w:color w:val="auto"/>
        </w:rPr>
        <w:t>WHEREAS, in connection with Executive’s termination of employment with the Company or a subsidiary or affiliate of the Company effective [________], 20[__], the Parties wish to resolve any and all disputes, claims, complaints, grievances, charges, actions,</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petitions, and demands that Executive may have against the Company and any of the Releases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cs="Times New Roman" w:eastAsia="Times New Roman" w:hAnsi="Times New Roman"/>
          <w:sz w:val="20"/>
          <w:szCs w:val="20"/>
          <w:b w:val="1"/>
          <w:bCs w:val="1"/>
          <w:i w:val="1"/>
          <w:iCs w:val="1"/>
          <w:color w:val="auto"/>
        </w:rPr>
        <w:t>Retained Claims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88" w:lineRule="exact"/>
        <w:rPr>
          <w:sz w:val="20"/>
          <w:szCs w:val="20"/>
          <w:color w:val="auto"/>
        </w:rPr>
      </w:pPr>
    </w:p>
    <w:p>
      <w:pPr>
        <w:jc w:val="both"/>
        <w:ind w:firstLine="404"/>
        <w:spacing w:after="0" w:line="246" w:lineRule="auto"/>
        <w:tabs>
          <w:tab w:leader="none" w:pos="805"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and Benefits; Salary and Benefits</w:t>
      </w:r>
      <w:r>
        <w:rPr>
          <w:rFonts w:ascii="Times New Roman" w:cs="Times New Roman" w:eastAsia="Times New Roman" w:hAnsi="Times New Roman"/>
          <w:sz w:val="20"/>
          <w:szCs w:val="20"/>
          <w:color w:val="auto"/>
        </w:rPr>
        <w:t>.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1(c) of the Employment Agreement, subject to and in accordance with the terms thereof.</w:t>
      </w:r>
    </w:p>
    <w:p>
      <w:pPr>
        <w:spacing w:after="0" w:line="198" w:lineRule="exact"/>
        <w:rPr>
          <w:rFonts w:ascii="Times New Roman" w:cs="Times New Roman" w:eastAsia="Times New Roman" w:hAnsi="Times New Roman"/>
          <w:sz w:val="20"/>
          <w:szCs w:val="20"/>
          <w:color w:val="auto"/>
        </w:rPr>
      </w:pPr>
    </w:p>
    <w:p>
      <w:pPr>
        <w:jc w:val="both"/>
        <w:ind w:firstLine="404"/>
        <w:spacing w:after="0" w:line="242" w:lineRule="auto"/>
        <w:tabs>
          <w:tab w:leader="none" w:pos="81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related to Executive’s employment 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relating to Executive’s employment with the Company or its subsidiaries or termination therefrom,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89" w:lineRule="exact"/>
        <w:rPr>
          <w:sz w:val="20"/>
          <w:szCs w:val="20"/>
          <w:color w:val="auto"/>
        </w:rPr>
      </w:pPr>
    </w:p>
    <w:p>
      <w:pPr>
        <w:ind w:right="20" w:firstLine="799"/>
        <w:spacing w:after="0" w:line="269" w:lineRule="auto"/>
        <w:tabs>
          <w:tab w:leader="none" w:pos="1187"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and the termination of that relationship;</w:t>
      </w:r>
    </w:p>
    <w:p>
      <w:pPr>
        <w:spacing w:after="0" w:line="159" w:lineRule="exact"/>
        <w:rPr>
          <w:rFonts w:ascii="Times New Roman" w:cs="Times New Roman" w:eastAsia="Times New Roman" w:hAnsi="Times New Roman"/>
          <w:sz w:val="20"/>
          <w:szCs w:val="20"/>
          <w:color w:val="auto"/>
        </w:rPr>
      </w:pPr>
    </w:p>
    <w:p>
      <w:pPr>
        <w:jc w:val="both"/>
        <w:ind w:right="20" w:firstLine="799"/>
        <w:spacing w:after="0" w:line="254" w:lineRule="auto"/>
        <w:tabs>
          <w:tab w:leader="none" w:pos="1187"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74" w:lineRule="exact"/>
        <w:rPr>
          <w:rFonts w:ascii="Times New Roman" w:cs="Times New Roman" w:eastAsia="Times New Roman" w:hAnsi="Times New Roman"/>
          <w:sz w:val="20"/>
          <w:szCs w:val="20"/>
          <w:color w:val="auto"/>
        </w:rPr>
      </w:pPr>
    </w:p>
    <w:p>
      <w:pPr>
        <w:ind w:firstLine="799"/>
        <w:spacing w:after="0" w:line="246" w:lineRule="auto"/>
        <w:tabs>
          <w:tab w:leader="none" w:pos="1187"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4" w:lineRule="exact"/>
        <w:rPr>
          <w:rFonts w:ascii="Times New Roman" w:cs="Times New Roman" w:eastAsia="Times New Roman" w:hAnsi="Times New Roman"/>
          <w:sz w:val="20"/>
          <w:szCs w:val="20"/>
          <w:color w:val="auto"/>
        </w:rPr>
      </w:pPr>
    </w:p>
    <w:p>
      <w:pPr>
        <w:jc w:val="both"/>
        <w:ind w:firstLine="799"/>
        <w:spacing w:after="0" w:line="255" w:lineRule="auto"/>
        <w:tabs>
          <w:tab w:leader="none" w:pos="1187" w:val="left"/>
        </w:tabs>
        <w:numPr>
          <w:ilvl w:val="1"/>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Massachusetts Fair Employment Practices Act; the Massachusetts Equal Rights Act; the Massachusetts Labor and Industry Code (Mass. Gen. Laws c. 149) (including without limitation the Massachusetts Payment of Wages Law (Mass. Gen. Laws c. 149, § 148) and the Massachusetts Non-Competition Agreement Act (Mass. Gen. Laws c. 149,</w:t>
      </w:r>
    </w:p>
    <w:p>
      <w:pPr>
        <w:spacing w:after="0" w:line="3" w:lineRule="exact"/>
        <w:rPr>
          <w:rFonts w:ascii="Times New Roman" w:cs="Times New Roman" w:eastAsia="Times New Roman" w:hAnsi="Times New Roman"/>
          <w:sz w:val="19"/>
          <w:szCs w:val="19"/>
          <w:color w:val="auto"/>
        </w:rPr>
      </w:pPr>
    </w:p>
    <w:p>
      <w:pPr>
        <w:ind w:firstLine="8"/>
        <w:spacing w:after="0" w:line="246" w:lineRule="auto"/>
        <w:tabs>
          <w:tab w:leader="none" w:pos="16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24L)); the Massachusetts Minimum Fair Wages Law (Mass. Gen. Laws c. 151); and the Massachusetts Family and Medical Leave Act, each as amended, or any other federal, state or local statute or ordinance;</w:t>
      </w:r>
    </w:p>
    <w:p>
      <w:pPr>
        <w:spacing w:after="0" w:line="181"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15"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215" w:lineRule="exact"/>
        <w:rPr>
          <w:rFonts w:ascii="Times New Roman" w:cs="Times New Roman" w:eastAsia="Times New Roman" w:hAnsi="Times New Roman"/>
          <w:sz w:val="20"/>
          <w:szCs w:val="20"/>
          <w:color w:val="auto"/>
        </w:rPr>
      </w:pPr>
    </w:p>
    <w:p>
      <w:pPr>
        <w:ind w:right="20" w:firstLine="799"/>
        <w:spacing w:after="0" w:line="269" w:lineRule="auto"/>
        <w:tabs>
          <w:tab w:leader="none" w:pos="1187"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59" w:lineRule="exact"/>
        <w:rPr>
          <w:rFonts w:ascii="Times New Roman" w:cs="Times New Roman" w:eastAsia="Times New Roman" w:hAnsi="Times New Roman"/>
          <w:sz w:val="20"/>
          <w:szCs w:val="20"/>
          <w:color w:val="auto"/>
        </w:rPr>
      </w:pPr>
    </w:p>
    <w:p>
      <w:pPr>
        <w:ind w:right="40" w:firstLine="799"/>
        <w:spacing w:after="0" w:line="269" w:lineRule="auto"/>
        <w:tabs>
          <w:tab w:leader="none" w:pos="1187"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59"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16"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EXECUTIVE ACKNOWLEDGES THAT EXECUTIVE HAS BEEN ADVISED BY LEGAL COUNSEL AND IS FAMILIAR WITH THE PROVISIONS OF CALIFORNIA CIVIL CODE SECTION 1542, WHICH PROVIDES AS FOLLOWS:</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89" w:lineRule="exact"/>
        <w:rPr>
          <w:sz w:val="20"/>
          <w:szCs w:val="20"/>
          <w:color w:val="auto"/>
        </w:rPr>
      </w:pPr>
    </w:p>
    <w:p>
      <w:pPr>
        <w:jc w:val="both"/>
        <w:ind w:left="760" w:right="9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20"/>
          <w:szCs w:val="20"/>
          <w:color w:val="auto"/>
        </w:rPr>
        <w:t>EXECUTIVE, BEING AWARE OF SAID CODE SECTION, HEREBY EXPRESSLY WAIVES ANY RIGHTS EXECUTIVE MAY HAVE THEREUNDER, AS WELL AS UNDER ANY OTHER STATUTES OR COMMON LAW PRINCIPLES OF SIMILAR EFFECT.</w:t>
      </w:r>
    </w:p>
    <w:p>
      <w:pPr>
        <w:spacing w:after="0" w:line="15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for indemnity under the bylaws of the Company, as provided for by Massachusetts or Delaware law or under any applicable insurance policy with respect to Executive’s liability as an employee, director or officer of the Company,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1(c) or Section 4 of the Employment Agreement. This release does not prevent Executive from cooperating with an investigation conducted by any such governmental agencies, including without limitation the National Labor Relations Board (the “NLRB”). Nothing herein will prevent Executive from participating in an activity permitted by Section 7 of the National Labor Relations Act or from filing an unfair labor practice charge with the NLRB.</w:t>
      </w:r>
    </w:p>
    <w:p>
      <w:pPr>
        <w:spacing w:after="0" w:line="185" w:lineRule="exact"/>
        <w:rPr>
          <w:sz w:val="20"/>
          <w:szCs w:val="20"/>
          <w:color w:val="auto"/>
        </w:rPr>
      </w:pPr>
    </w:p>
    <w:p>
      <w:pPr>
        <w:jc w:val="both"/>
        <w:ind w:firstLine="404"/>
        <w:spacing w:after="0" w:line="242" w:lineRule="auto"/>
        <w:tabs>
          <w:tab w:leader="none" w:pos="832"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has the right to and should consult with an attorney prior to executing this Agreement; (b) Executive has [twenty-one (21)] days within which to consider this Agreement, and the Parties agree that such time period to review this Agreement shall not be extended upon any material or immaterial changes to this Agreement; (c) Executive has seven (7) business days following Executive’s execution of this Agreement to revoke this Agreement pursuant to written notice to the General Counsel of the Company; (d) this Agreement shall not be effective until after</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revocation period has expired without revocation;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 day period identified above, Executive hereby acknowledges that Executive has freely and voluntarily chosen to waive the time period allotted for considering this Agreement. To revoke this Agreement, Executive must notify the Company in writing sent to the Chief Executive Officer of the Company, and such revocation must be received no later than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after Executive signs this Agreement.</w:t>
      </w:r>
    </w:p>
    <w:p>
      <w:pPr>
        <w:spacing w:after="0" w:line="192" w:lineRule="exact"/>
        <w:rPr>
          <w:sz w:val="20"/>
          <w:szCs w:val="20"/>
          <w:color w:val="auto"/>
        </w:rPr>
      </w:pPr>
    </w:p>
    <w:p>
      <w:pPr>
        <w:ind w:left="800" w:hanging="396"/>
        <w:spacing w:after="0"/>
        <w:tabs>
          <w:tab w:leader="none" w:pos="8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99"/>
        <w:spacing w:after="0" w:line="254" w:lineRule="auto"/>
        <w:tabs>
          <w:tab w:leader="none" w:pos="1187"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his ongoing obligations under Section 5 of the Employment Agreement. Sections 5(e) and 5(f) of the Employment Agreement are hereby incorporated by reference and will apply to this Agreement as if set forth herein. The enforcement terms set forth therein shall apply to this Section 4.</w:t>
      </w:r>
    </w:p>
    <w:p>
      <w:pPr>
        <w:spacing w:after="0" w:line="174" w:lineRule="exact"/>
        <w:rPr>
          <w:rFonts w:ascii="Times New Roman" w:cs="Times New Roman" w:eastAsia="Times New Roman" w:hAnsi="Times New Roman"/>
          <w:sz w:val="20"/>
          <w:szCs w:val="20"/>
          <w:color w:val="auto"/>
        </w:rPr>
      </w:pPr>
    </w:p>
    <w:p>
      <w:pPr>
        <w:jc w:val="both"/>
        <w:ind w:firstLine="799"/>
        <w:spacing w:after="0" w:line="241" w:lineRule="auto"/>
        <w:tabs>
          <w:tab w:leader="none" w:pos="1187"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during the course of his employment with the Company, he became become familiar with the trade secrets of the Company and with other Confidential Information (as defined in the Restrictive Covenant Agreement) concerning the Company and its predecessors and that Executive’s services were of special, unique and extraordinary value to the Company. Therefore, Executive agrees that, during the period of one year immediately following the termination of Executive’s employment (the “</w:t>
      </w:r>
      <w:r>
        <w:rPr>
          <w:rFonts w:ascii="Times New Roman" w:cs="Times New Roman" w:eastAsia="Times New Roman" w:hAnsi="Times New Roman"/>
          <w:sz w:val="20"/>
          <w:szCs w:val="20"/>
          <w:b w:val="1"/>
          <w:bCs w:val="1"/>
          <w:i w:val="1"/>
          <w:iCs w:val="1"/>
          <w:color w:val="auto"/>
        </w:rPr>
        <w:t>Non-Competition Restricted Period</w:t>
      </w:r>
      <w:r>
        <w:rPr>
          <w:rFonts w:ascii="Times New Roman" w:cs="Times New Roman" w:eastAsia="Times New Roman" w:hAnsi="Times New Roman"/>
          <w:sz w:val="20"/>
          <w:szCs w:val="20"/>
          <w:color w:val="auto"/>
        </w:rPr>
        <w:t>”), Executive shall not directly or indirectly own any interest in, manage, control, participate in, consult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render services for, be employed in an executive, managerial, administrative or other capacity by, or in any manner engage in, any business or entity competing with the Business (as defined in the Restrictive Covenant Agreement) in any country in which Executive had a material presence or the Company conducts business during the last two years of Executive’s employment or in which the Company has material plans to conduct business as of the termination of Executive’s employment. Nothing herein shall prohibit Executive from being a passive owner of not more than 2% of the outstanding stock of any class of a corporation which is publicly traded, so long as Executive has no active participation in the business of such corporation. In the event Executive breaches his fiduciary duty to the Company or unlawfully takes, physically or electronically, property belonging to the Company as reasonably determined by the Company, the Non-Competition Restricted Period as defined above shall be extended for one additional year, for a maximum period of two years immediately following his termination of employment from the Company. Further, in the event Executive breaches this Section 4(b), the Non-Competition Restricted Period shall extend for each day of Executive’s non-compliance, so as to give the Company the bargained for benefit of Executive’s non-competition covenants.</w:t>
      </w:r>
    </w:p>
    <w:p>
      <w:pPr>
        <w:spacing w:after="0" w:line="193" w:lineRule="exact"/>
        <w:rPr>
          <w:rFonts w:ascii="Times New Roman" w:cs="Times New Roman" w:eastAsia="Times New Roman" w:hAnsi="Times New Roman"/>
          <w:sz w:val="20"/>
          <w:szCs w:val="20"/>
          <w:color w:val="auto"/>
        </w:rPr>
      </w:pPr>
    </w:p>
    <w:p>
      <w:pPr>
        <w:jc w:val="both"/>
        <w:ind w:firstLine="799"/>
        <w:spacing w:after="0" w:line="249" w:lineRule="auto"/>
        <w:tabs>
          <w:tab w:leader="none" w:pos="1187"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enforcement of this Section 4,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79" w:lineRule="exact"/>
        <w:rPr>
          <w:rFonts w:ascii="Times New Roman" w:cs="Times New Roman" w:eastAsia="Times New Roman" w:hAnsi="Times New Roman"/>
          <w:sz w:val="20"/>
          <w:szCs w:val="20"/>
          <w:color w:val="auto"/>
        </w:rPr>
      </w:pPr>
    </w:p>
    <w:p>
      <w:pPr>
        <w:ind w:right="40" w:firstLine="799"/>
        <w:spacing w:after="0" w:line="269" w:lineRule="auto"/>
        <w:tabs>
          <w:tab w:leader="none" w:pos="1187"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the restrictions contained in this Section 4 are reasonable and that Executive has been provided an opportunity to review the provisions of this Agreement with his legal counsel.</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89" w:lineRule="exact"/>
        <w:rPr>
          <w:sz w:val="20"/>
          <w:szCs w:val="20"/>
          <w:color w:val="auto"/>
        </w:rPr>
      </w:pPr>
    </w:p>
    <w:p>
      <w:pPr>
        <w:jc w:val="both"/>
        <w:ind w:firstLine="404"/>
        <w:spacing w:after="0" w:line="254" w:lineRule="auto"/>
        <w:tabs>
          <w:tab w:leader="none" w:pos="79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4" w:lineRule="exact"/>
        <w:rPr>
          <w:rFonts w:ascii="Times New Roman" w:cs="Times New Roman" w:eastAsia="Times New Roman" w:hAnsi="Times New Roman"/>
          <w:sz w:val="20"/>
          <w:szCs w:val="20"/>
          <w:color w:val="auto"/>
        </w:rPr>
      </w:pPr>
    </w:p>
    <w:p>
      <w:pPr>
        <w:ind w:right="20" w:firstLine="404"/>
        <w:spacing w:after="0" w:line="269" w:lineRule="auto"/>
        <w:tabs>
          <w:tab w:leader="none" w:pos="79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pacing w:after="0" w:line="159" w:lineRule="exact"/>
        <w:rPr>
          <w:rFonts w:ascii="Times New Roman" w:cs="Times New Roman" w:eastAsia="Times New Roman" w:hAnsi="Times New Roman"/>
          <w:sz w:val="20"/>
          <w:szCs w:val="20"/>
          <w:color w:val="auto"/>
        </w:rPr>
      </w:pPr>
    </w:p>
    <w:p>
      <w:pPr>
        <w:ind w:firstLine="404"/>
        <w:spacing w:after="0" w:line="269" w:lineRule="auto"/>
        <w:tabs>
          <w:tab w:leader="none" w:pos="84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 This Agreement shall be subject to the provisions of Sections 1(a), 1(c), and (h) of the Employment Agreement.</w:t>
      </w:r>
    </w:p>
    <w:p>
      <w:pPr>
        <w:spacing w:after="0" w:line="159" w:lineRule="exact"/>
        <w:rPr>
          <w:rFonts w:ascii="Times New Roman" w:cs="Times New Roman" w:eastAsia="Times New Roman" w:hAnsi="Times New Roman"/>
          <w:sz w:val="20"/>
          <w:szCs w:val="20"/>
          <w:color w:val="auto"/>
        </w:rPr>
      </w:pPr>
    </w:p>
    <w:p>
      <w:pPr>
        <w:ind w:firstLine="404"/>
        <w:spacing w:after="0" w:line="269" w:lineRule="auto"/>
        <w:tabs>
          <w:tab w:leader="none" w:pos="80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has seven (7) business days after Executive signs this Agreement to revoke it and this Agreement will become effective on the day immediately following the seventh business day after Executive signed this Agreement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5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15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the Employment Agreement and the Restrictive Covenant Agreement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Employment Agreement and the Restrictive Covenant Agreement shall constitute the complete and exclusive statement of their terms and that no extrinsic evidence whatsoever may be introduced in any judicial, administrative, or other legal proceeding to vary the terms of such agreements.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Dated:</w:t>
      </w: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Print Name: Vijay Kasturi, M.D.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Name:</w:t>
      </w:r>
    </w:p>
    <w:p>
      <w:pPr>
        <w:spacing w:after="0" w:line="2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29" w:name="page230"/>
    <w:bookmarkEnd w:id="229"/>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RESTRICTIVE COVENANT AGREEMENT</w:t>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Attached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|US-DOCS\146309447.3||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EMPLOYMENT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Amended and Restated Employment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Corleen Roche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effective as of January 9,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currently employs Executive as its Chief Financial Officer pursuant to an Employment Agreement between Executive and the Company dated January 16, 2024 (the “</w:t>
      </w:r>
      <w:r>
        <w:rPr>
          <w:rFonts w:ascii="Times New Roman" w:cs="Times New Roman" w:eastAsia="Times New Roman" w:hAnsi="Times New Roman"/>
          <w:sz w:val="20"/>
          <w:szCs w:val="20"/>
          <w:b w:val="1"/>
          <w:bCs w:val="1"/>
          <w:i w:val="1"/>
          <w:iCs w:val="1"/>
          <w:color w:val="auto"/>
        </w:rPr>
        <w:t>Prior Agreement</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Parties desire to amend and restate the Prior Agreement on the terms and conditions set forth herein.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ind w:left="520" w:hanging="512"/>
        <w:spacing w:after="0"/>
        <w:tabs>
          <w:tab w:leader="none" w:pos="5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right="20" w:firstLine="757"/>
        <w:spacing w:after="0" w:line="269" w:lineRule="auto"/>
        <w:tabs>
          <w:tab w:leader="none" w:pos="101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Effective on the Effective Date, the Company shall employ Executive, and Executive shall be employed by the Company, for the period and in the positions set forth in this Section 1, and subject to the other terms and conditions herein provided.</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Section 3(b)). This “at-will” nature of Executive’s employment shall remain unchanged during Executive’s tenure as an employee and may not be changed, except in an express writing signed by Executive and a duly authorized officer of the Company. The term of this Agreement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shall commence on the Effective Date and end on the date this Agreement is terminated under Section 3.</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During the Term, Executive shall serve as Chief Financial Officer of the Company, with such responsibilities, duties and authority normally associated with such position and as may from time to time be reasonably assigned to Executive by the Chief Executive Officer of the Company (the “</w:t>
      </w:r>
      <w:r>
        <w:rPr>
          <w:rFonts w:ascii="Times New Roman" w:cs="Times New Roman" w:eastAsia="Times New Roman" w:hAnsi="Times New Roman"/>
          <w:sz w:val="20"/>
          <w:szCs w:val="20"/>
          <w:b w:val="1"/>
          <w:bCs w:val="1"/>
          <w:i w:val="1"/>
          <w:iCs w:val="1"/>
          <w:color w:val="auto"/>
        </w:rPr>
        <w:t>CEO</w:t>
      </w:r>
      <w:r>
        <w:rPr>
          <w:rFonts w:ascii="Times New Roman" w:cs="Times New Roman" w:eastAsia="Times New Roman" w:hAnsi="Times New Roman"/>
          <w:sz w:val="20"/>
          <w:szCs w:val="20"/>
          <w:color w:val="auto"/>
        </w:rPr>
        <w:t>”). Executive shall report to the CEO.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or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of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Executive shall be permitted to (i) manage Executive’s personal, financial and legal affairs, (ii) participate in trade associations, and (iii) serve on the board of directors of not-for-profit or tax-exempt charitable organizations or, with the consent of the Board (not to be unreasonably withheld), the board of directors of non-competitive for-profit businesses, in each case, subject to compliance with this Agreement and provided that such activities do not materially interfere with Executive’s performance of Executive’s duties and responsibilities hereunder. Executive agrees to observe and comply with the reasonable rules and policies of the Company as adopted by the Company from time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31" w:name="page232"/>
    <w:bookmarkEnd w:id="231"/>
    <w:p>
      <w:pPr>
        <w:spacing w:after="0" w:line="269" w:lineRule="auto"/>
        <w:rPr>
          <w:sz w:val="20"/>
          <w:szCs w:val="20"/>
          <w:color w:val="auto"/>
        </w:rPr>
      </w:pPr>
      <w:r>
        <w:rPr>
          <w:rFonts w:ascii="Times New Roman" w:cs="Times New Roman" w:eastAsia="Times New Roman" w:hAnsi="Times New Roman"/>
          <w:sz w:val="20"/>
          <w:szCs w:val="20"/>
          <w:color w:val="auto"/>
        </w:rPr>
        <w:t>to time (to the extent they do not conflict with the terms of this Agreement), in each case, as amended from time to time, and as delivered or made available to Executive (each, a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57"/>
        <w:spacing w:after="0" w:line="254" w:lineRule="auto"/>
        <w:tabs>
          <w:tab w:leader="none" w:pos="1158"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Principal Location</w:t>
      </w:r>
      <w:r>
        <w:rPr>
          <w:rFonts w:ascii="Times New Roman" w:cs="Times New Roman" w:eastAsia="Times New Roman" w:hAnsi="Times New Roman"/>
          <w:sz w:val="20"/>
          <w:szCs w:val="20"/>
          <w:color w:val="auto"/>
        </w:rPr>
        <w:t xml:space="preserve">. During the Term, Executive shall perform the services required by this Agreement remotely from her residence in the Philadelphia, Pennsylvania metropolitan area,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Parties acknowledge and agree that Executive may be required to travel to other locations as may be necessary to fulfill Executive’s duties and responsibilities hereunder.</w:t>
      </w:r>
    </w:p>
    <w:p>
      <w:pPr>
        <w:spacing w:after="0" w:line="183"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66" w:lineRule="auto"/>
        <w:tabs>
          <w:tab w:leader="none" w:pos="1018"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Base Salary</w:t>
      </w:r>
      <w:r>
        <w:rPr>
          <w:rFonts w:ascii="Times New Roman" w:cs="Times New Roman" w:eastAsia="Times New Roman" w:hAnsi="Times New Roman"/>
          <w:sz w:val="19"/>
          <w:szCs w:val="19"/>
          <w:color w:val="auto"/>
        </w:rPr>
        <w:t>. During the Term, Executive shall receive a base salary at a rate initially of $485,777 per annum, which shall be paid in accordance with the customary payroll practices of the Company and shall be pro-rated for partial years of employment. Such annual base salary shall be reviewed (and may be adjusted for increase, but not decrease) from time to time (such annual base salary, as it may be adjusted from time to time, the “</w:t>
      </w:r>
      <w:r>
        <w:rPr>
          <w:rFonts w:ascii="Times New Roman" w:cs="Times New Roman" w:eastAsia="Times New Roman" w:hAnsi="Times New Roman"/>
          <w:sz w:val="19"/>
          <w:szCs w:val="19"/>
          <w:b w:val="1"/>
          <w:bCs w:val="1"/>
          <w:i w:val="1"/>
          <w:iCs w:val="1"/>
          <w:color w:val="auto"/>
        </w:rPr>
        <w:t>Annual Base Salary</w:t>
      </w:r>
      <w:r>
        <w:rPr>
          <w:rFonts w:ascii="Times New Roman" w:cs="Times New Roman" w:eastAsia="Times New Roman" w:hAnsi="Times New Roman"/>
          <w:sz w:val="19"/>
          <w:szCs w:val="19"/>
          <w:color w:val="auto"/>
        </w:rPr>
        <w:t>”) by the Board or its compensation committee (“</w:t>
      </w:r>
      <w:r>
        <w:rPr>
          <w:rFonts w:ascii="Times New Roman" w:cs="Times New Roman" w:eastAsia="Times New Roman" w:hAnsi="Times New Roman"/>
          <w:sz w:val="19"/>
          <w:szCs w:val="19"/>
          <w:b w:val="1"/>
          <w:bCs w:val="1"/>
          <w:i w:val="1"/>
          <w:iCs w:val="1"/>
          <w:color w:val="auto"/>
        </w:rPr>
        <w:t>Compensation Committee</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firstLine="757"/>
        <w:spacing w:after="0" w:line="242" w:lineRule="auto"/>
        <w:tabs>
          <w:tab w:leader="none" w:pos="1018"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 Opportunity</w:t>
      </w:r>
      <w:r>
        <w:rPr>
          <w:rFonts w:ascii="Times New Roman" w:cs="Times New Roman" w:eastAsia="Times New Roman" w:hAnsi="Times New Roman"/>
          <w:sz w:val="20"/>
          <w:szCs w:val="20"/>
          <w:color w:val="auto"/>
        </w:rPr>
        <w:t>. During the Term, Executive will be eligible to participate in an annual incentive program established by the Board or Compensation Committee with target level annual incentive compensation opportunities as may be determined by the Board or Compensation Committee from time to time, but with an annual “target level” incentive bonus opportunity (the “</w:t>
      </w:r>
      <w:r>
        <w:rPr>
          <w:rFonts w:ascii="Times New Roman" w:cs="Times New Roman" w:eastAsia="Times New Roman" w:hAnsi="Times New Roman"/>
          <w:sz w:val="20"/>
          <w:szCs w:val="20"/>
          <w:b w:val="1"/>
          <w:bCs w:val="1"/>
          <w:i w:val="1"/>
          <w:iCs w:val="1"/>
          <w:color w:val="auto"/>
        </w:rPr>
        <w:t>Target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Bonus</w:t>
      </w:r>
      <w:r>
        <w:rPr>
          <w:rFonts w:ascii="Times New Roman" w:cs="Times New Roman" w:eastAsia="Times New Roman" w:hAnsi="Times New Roman"/>
          <w:sz w:val="20"/>
          <w:szCs w:val="20"/>
          <w:color w:val="auto"/>
        </w:rPr>
        <w:t>”) of 45% of the Annual Base Salary. The annual bonus payable under the incentive program (“</w:t>
      </w:r>
      <w:r>
        <w:rPr>
          <w:rFonts w:ascii="Times New Roman" w:cs="Times New Roman" w:eastAsia="Times New Roman" w:hAnsi="Times New Roman"/>
          <w:sz w:val="20"/>
          <w:szCs w:val="20"/>
          <w:b w:val="1"/>
          <w:bCs w:val="1"/>
          <w:i w:val="1"/>
          <w:iCs w:val="1"/>
          <w:color w:val="auto"/>
        </w:rPr>
        <w:t>Annual Bonus</w:t>
      </w:r>
      <w:r>
        <w:rPr>
          <w:rFonts w:ascii="Times New Roman" w:cs="Times New Roman" w:eastAsia="Times New Roman" w:hAnsi="Times New Roman"/>
          <w:sz w:val="20"/>
          <w:szCs w:val="20"/>
          <w:color w:val="auto"/>
        </w:rPr>
        <w:t>”) shall be based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achievement of performance goals or such other criteria as may be determined by the Board or Compensation Committee. The payment of any Annual Bonus pursuant to the incentive program shall be subject to Executive’s continued employment with the Company through the date of payment, except as otherwise provided in Section 4. The Annual Bonus shall be paid to Executive when paid generally to other senior executives of the Company, but in any event, to the extent determinable as of such time, not later than March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of the year immediately following the applicable year for which such Annual Bonus is being paid. The Executive’s annual Bonus for 2024 shall be pro-rated to reflect the portion of such year following January 16, 2024.</w:t>
      </w:r>
    </w:p>
    <w:p>
      <w:pPr>
        <w:spacing w:after="0" w:line="192"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Sign-On Bonus</w:t>
      </w:r>
      <w:r>
        <w:rPr>
          <w:rFonts w:ascii="Times New Roman" w:cs="Times New Roman" w:eastAsia="Times New Roman" w:hAnsi="Times New Roman"/>
          <w:sz w:val="20"/>
          <w:szCs w:val="20"/>
          <w:color w:val="auto"/>
        </w:rPr>
        <w:t>. Under the Prior Agreement, Executive acknowledges that she received a one-time signing bonus equal to the amount of $30,000, less any taxable withholdings (the “</w:t>
      </w:r>
      <w:r>
        <w:rPr>
          <w:rFonts w:ascii="Times New Roman" w:cs="Times New Roman" w:eastAsia="Times New Roman" w:hAnsi="Times New Roman"/>
          <w:sz w:val="20"/>
          <w:szCs w:val="20"/>
          <w:b w:val="1"/>
          <w:bCs w:val="1"/>
          <w:i w:val="1"/>
          <w:iCs w:val="1"/>
          <w:color w:val="auto"/>
        </w:rPr>
        <w:t>Sign-On Bonus</w:t>
      </w:r>
      <w:r>
        <w:rPr>
          <w:rFonts w:ascii="Times New Roman" w:cs="Times New Roman" w:eastAsia="Times New Roman" w:hAnsi="Times New Roman"/>
          <w:sz w:val="20"/>
          <w:szCs w:val="20"/>
          <w:color w:val="auto"/>
        </w:rPr>
        <w:t>”). If Executive is terminated for Cause or voluntarily leaves the Company without Good Reason prior to completing twenty-four (24) months of service from the Effective Date, Executive shall be required to repay to the Company, within thirty (30) days following Executive’s last day of employment with the Company, 100% of the Sign-On Bonus.</w:t>
      </w:r>
    </w:p>
    <w:p>
      <w:pPr>
        <w:spacing w:after="0" w:line="18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 During the Term, Executive will be eligible to participate and receive awards under the Company’s equity plans as in effect from time to time. Under the Prior Agreement, the Compensation Committee of the Board approved a grant of stock options to purchase 4,700,000 shares of the Company’s common stock (which number does not give effect to the reverse stock split implemented by the Company in connection with the Company’s initial public offering (the “</w:t>
      </w:r>
      <w:r>
        <w:rPr>
          <w:rFonts w:ascii="Times New Roman" w:cs="Times New Roman" w:eastAsia="Times New Roman" w:hAnsi="Times New Roman"/>
          <w:sz w:val="20"/>
          <w:szCs w:val="20"/>
          <w:b w:val="1"/>
          <w:bCs w:val="1"/>
          <w:i w:val="1"/>
          <w:iCs w:val="1"/>
          <w:color w:val="auto"/>
        </w:rPr>
        <w:t>IPO</w:t>
      </w:r>
      <w:r>
        <w:rPr>
          <w:rFonts w:ascii="Times New Roman" w:cs="Times New Roman" w:eastAsia="Times New Roman" w:hAnsi="Times New Roman"/>
          <w:sz w:val="20"/>
          <w:szCs w:val="20"/>
          <w:color w:val="auto"/>
        </w:rPr>
        <w:t>”), and was adjusted accordingly prior to grant to reflect the effect of such reverse stock split) (the “</w:t>
      </w:r>
      <w:r>
        <w:rPr>
          <w:rFonts w:ascii="Times New Roman" w:cs="Times New Roman" w:eastAsia="Times New Roman" w:hAnsi="Times New Roman"/>
          <w:sz w:val="20"/>
          <w:szCs w:val="20"/>
          <w:b w:val="1"/>
          <w:bCs w:val="1"/>
          <w:i w:val="1"/>
          <w:iCs w:val="1"/>
          <w:color w:val="auto"/>
        </w:rPr>
        <w:t>Initial Option</w:t>
      </w:r>
      <w:r>
        <w:rPr>
          <w:rFonts w:ascii="Times New Roman" w:cs="Times New Roman" w:eastAsia="Times New Roman" w:hAnsi="Times New Roman"/>
          <w:sz w:val="20"/>
          <w:szCs w:val="20"/>
          <w:color w:val="auto"/>
        </w:rPr>
        <w:t>”). The grant date of the Initial Option was the date upon which the Company’s Registration Statement on Form S-1 filed with the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relating to the IPO became effective. The Initial Option was granted in accordance with the Company’s 2024 Incentive Award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related stock option documents. The Initial Option has an exercise price per share equal to the fair market value on the grant date, which is equal to the initial price to the public of a share of the Company’s common stock</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2" w:name="page233"/>
    <w:bookmarkEnd w:id="232"/>
    <w:p>
      <w:pPr>
        <w:jc w:val="both"/>
        <w:spacing w:after="0" w:line="254" w:lineRule="auto"/>
        <w:rPr>
          <w:sz w:val="20"/>
          <w:szCs w:val="20"/>
          <w:color w:val="auto"/>
        </w:rPr>
      </w:pPr>
      <w:r>
        <w:rPr>
          <w:rFonts w:ascii="Times New Roman" w:cs="Times New Roman" w:eastAsia="Times New Roman" w:hAnsi="Times New Roman"/>
          <w:sz w:val="20"/>
          <w:szCs w:val="20"/>
          <w:color w:val="auto"/>
        </w:rPr>
        <w:t>in the IPO. Subject to Executive’s continued employment with the Company, the Initial Option will vest over a four (4) year period starting on the effective date of the Prior Agreement, with 25% of the shares vesting on the date that is twelve (12) months after the effective date of the Prior Agreement and the remainder vesting in thirty-six (36) equal monthly installments over the subsequent three (3) year period.</w:t>
      </w:r>
    </w:p>
    <w:p>
      <w:pPr>
        <w:spacing w:after="0" w:line="174" w:lineRule="exact"/>
        <w:rPr>
          <w:sz w:val="20"/>
          <w:szCs w:val="20"/>
          <w:color w:val="auto"/>
        </w:rPr>
      </w:pPr>
    </w:p>
    <w:p>
      <w:pPr>
        <w:jc w:val="both"/>
        <w:ind w:firstLine="757"/>
        <w:spacing w:after="0" w:line="243" w:lineRule="auto"/>
        <w:tabs>
          <w:tab w:leader="none" w:pos="101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During the Term,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on the same terms and conditions as those applicable to similarly situated senior executives. In addition, during the Term, Executive shall be eligible to participate in any retirement, savings and other employee benefit plans and programs maintained from time to time by the Company for the benefit of its senior executive officers. Nothing contained in this Section 2(e)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 or Paid Time Off</w:t>
      </w:r>
      <w:r>
        <w:rPr>
          <w:rFonts w:ascii="Times New Roman" w:cs="Times New Roman" w:eastAsia="Times New Roman" w:hAnsi="Times New Roman"/>
          <w:sz w:val="20"/>
          <w:szCs w:val="20"/>
          <w:color w:val="auto"/>
        </w:rPr>
        <w:t>. During the Term, Executive shall be entitled to paid personal leave in accordance with the Company’s Policies applicable to similarly situated executives. Any vacation or paid time off shall be taken in the reasonable convenience of Executive. Through the Company’s paid time-off policies Executive will receive paid sick leave as required by state and any applicable local laws.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Travel and Expense Reimbursement Policy.</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and D&amp;O Insurance</w:t>
      </w:r>
      <w:r>
        <w:rPr>
          <w:rFonts w:ascii="Times New Roman" w:cs="Times New Roman" w:eastAsia="Times New Roman" w:hAnsi="Times New Roman"/>
          <w:sz w:val="20"/>
          <w:szCs w:val="20"/>
          <w:color w:val="auto"/>
        </w:rPr>
        <w:t>. The Company shall indemnify Executive (and advance expenses to Executive) to the greatest extent permitted by applicable state law and shall provide Executive with coverage under a directors’ and officers’ liability insurance policy to the same extent provided to other senior executives and directors of the Company.</w:t>
      </w:r>
    </w:p>
    <w:p>
      <w:pPr>
        <w:spacing w:after="0" w:line="184" w:lineRule="exact"/>
        <w:rPr>
          <w:sz w:val="20"/>
          <w:szCs w:val="20"/>
          <w:color w:val="auto"/>
        </w:rPr>
      </w:pPr>
    </w:p>
    <w:p>
      <w:pPr>
        <w:ind w:left="520" w:hanging="512"/>
        <w:spacing w:after="0"/>
        <w:tabs>
          <w:tab w:leader="none" w:pos="52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 of Employment</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9" w:lineRule="exact"/>
        <w:rPr>
          <w:sz w:val="20"/>
          <w:szCs w:val="20"/>
          <w:color w:val="auto"/>
        </w:rPr>
      </w:pPr>
    </w:p>
    <w:p>
      <w:pPr>
        <w:ind w:left="1020" w:hanging="263"/>
        <w:spacing w:after="0"/>
        <w:tabs>
          <w:tab w:leader="none" w:pos="102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 Executive’s</w:t>
      </w:r>
    </w:p>
    <w:p>
      <w:pPr>
        <w:spacing w:after="0" w:line="2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w:t>
      </w:r>
    </w:p>
    <w:p>
      <w:pPr>
        <w:spacing w:after="0" w:line="18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3" w:name="page234"/>
    <w:bookmarkEnd w:id="233"/>
    <w:p>
      <w:pPr>
        <w:ind w:left="2040" w:hanging="535"/>
        <w:spacing w:after="0"/>
        <w:tabs>
          <w:tab w:leader="none" w:pos="2040" w:val="left"/>
        </w:tabs>
        <w:numPr>
          <w:ilvl w:val="2"/>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215"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2"/>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51"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2"/>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55"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0"/>
          <w:szCs w:val="20"/>
          <w:b w:val="1"/>
          <w:bCs w:val="1"/>
          <w:i w:val="1"/>
          <w:iCs w:val="1"/>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Termination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Executive delivers a Notice of Termination to the Company, the Company may,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87" w:lineRule="exact"/>
        <w:rPr>
          <w:rFonts w:ascii="Times New Roman" w:cs="Times New Roman" w:eastAsia="Times New Roman" w:hAnsi="Times New Roman"/>
          <w:sz w:val="20"/>
          <w:szCs w:val="20"/>
          <w:color w:val="auto"/>
        </w:rPr>
      </w:pPr>
    </w:p>
    <w:p>
      <w:pPr>
        <w:jc w:val="both"/>
        <w:ind w:firstLine="757"/>
        <w:spacing w:after="0" w:line="264" w:lineRule="auto"/>
        <w:tabs>
          <w:tab w:leader="none" w:pos="1018"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Obligations upon Termination</w:t>
      </w:r>
      <w:r>
        <w:rPr>
          <w:rFonts w:ascii="Times New Roman" w:cs="Times New Roman" w:eastAsia="Times New Roman" w:hAnsi="Times New Roman"/>
          <w:sz w:val="19"/>
          <w:szCs w:val="19"/>
          <w:color w:val="auto"/>
        </w:rPr>
        <w:t xml:space="preserve">. Upon termination of Executive’s employment pursuant to any of the circumstances listed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Executive (or Executive’s estate, if applicable) shall be entitled to receive the following (the “</w:t>
      </w:r>
      <w:r>
        <w:rPr>
          <w:rFonts w:ascii="Times New Roman" w:cs="Times New Roman" w:eastAsia="Times New Roman" w:hAnsi="Times New Roman"/>
          <w:sz w:val="19"/>
          <w:szCs w:val="19"/>
          <w:b w:val="1"/>
          <w:bCs w:val="1"/>
          <w:i w:val="1"/>
          <w:iCs w:val="1"/>
          <w:color w:val="auto"/>
        </w:rPr>
        <w:t>Accrued Obligations</w:t>
      </w:r>
      <w:r>
        <w:rPr>
          <w:rFonts w:ascii="Times New Roman" w:cs="Times New Roman" w:eastAsia="Times New Roman" w:hAnsi="Times New Roman"/>
          <w:sz w:val="19"/>
          <w:szCs w:val="19"/>
          <w:color w:val="auto"/>
        </w:rPr>
        <w:t>”):</w:t>
      </w:r>
    </w:p>
    <w:p>
      <w:pPr>
        <w:jc w:val="both"/>
        <w:ind w:firstLine="8"/>
        <w:spacing w:after="0"/>
        <w:tabs>
          <w:tab w:leader="none" w:pos="25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Executive’s Annual Base Salary earned through the Date of Termination, but not yet paid to Executive (payable on the Company’s next payroll date or such earlier date as required by applicable law); (ii) any expense reimbursements owed to Executive pursuant to Section 2(f), payable pursuant to the applicable policy;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0"/>
          <w:szCs w:val="20"/>
          <w:b w:val="1"/>
          <w:bCs w:val="1"/>
          <w:i w:val="1"/>
          <w:iCs w:val="1"/>
          <w:color w:val="auto"/>
        </w:rPr>
        <w:t>Company Arrangements</w:t>
      </w:r>
      <w:r>
        <w:rPr>
          <w:rFonts w:ascii="Times New Roman" w:cs="Times New Roman" w:eastAsia="Times New Roman" w:hAnsi="Times New Roman"/>
          <w:sz w:val="20"/>
          <w:szCs w:val="20"/>
          <w:color w:val="auto"/>
        </w:rPr>
        <w:t>”). Except as otherwise expressly required by law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COBRA) or applicable Company Arrangement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for severance benefits shall be to receive the payments and benefits described in this Section 3(c) or Section 4, as applicable.</w:t>
      </w:r>
    </w:p>
    <w:p>
      <w:pPr>
        <w:spacing w:after="0" w:line="18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Upon termination of Executive’s employment for any reason, unless otherwise specified in a written agreement between Executive and the Company, Executive agrees to return</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4" w:name="page235"/>
    <w:bookmarkEnd w:id="234"/>
    <w:p>
      <w:pPr>
        <w:jc w:val="both"/>
        <w:spacing w:after="0" w:line="243" w:lineRule="auto"/>
        <w:rPr>
          <w:sz w:val="20"/>
          <w:szCs w:val="20"/>
          <w:color w:val="auto"/>
        </w:rPr>
      </w:pPr>
      <w:r>
        <w:rPr>
          <w:rFonts w:ascii="Times New Roman" w:cs="Times New Roman" w:eastAsia="Times New Roman" w:hAnsi="Times New Roman"/>
          <w:sz w:val="20"/>
          <w:szCs w:val="20"/>
          <w:color w:val="auto"/>
        </w:rPr>
        <w:t>to the Company all documents of the Company and its affiliates (and all copies thereof) and all other Company or Company affiliate property that Executive has in her possession, custody, or control. Such property includes, without limitation: (i) any materials of any kind that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w:t>
      </w:r>
    </w:p>
    <w:p>
      <w:pPr>
        <w:spacing w:after="0" w:line="195" w:lineRule="exact"/>
        <w:rPr>
          <w:sz w:val="20"/>
          <w:szCs w:val="20"/>
          <w:color w:val="auto"/>
        </w:rPr>
      </w:pPr>
    </w:p>
    <w:p>
      <w:pPr>
        <w:ind w:left="520" w:hanging="512"/>
        <w:spacing w:after="0"/>
        <w:tabs>
          <w:tab w:leader="none" w:pos="520" w:val="left"/>
        </w:tabs>
        <w:numPr>
          <w:ilvl w:val="0"/>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Resignation from the Company Without Good Reason or Resignation from the Company for Good Reason Prior to a Change in Control or More Than Eighteen (18) Months Following a Change in Control</w:t>
      </w:r>
      <w:r>
        <w:rPr>
          <w:rFonts w:ascii="Times New Roman" w:cs="Times New Roman" w:eastAsia="Times New Roman" w:hAnsi="Times New Roman"/>
          <w:sz w:val="20"/>
          <w:szCs w:val="20"/>
          <w:color w:val="auto"/>
        </w:rPr>
        <w:t>. If Executive’s employment shall terminate as a result of Executive’s death pursuant to Section 3(a)(i) or Disability pursuant to Section 3(a)(ii), pursuant to Section 3(a)(iii) for Cause, pursuant to Section 3(a)(iv) for Executive’s resignation from the Company without Good Reason, or pursuant to Section 3(a)(v) for Executive’s resignation from the Company with Good Reason (if such resignation for Good Reason occurs prior to a Change in Control or more than eighteen (18) months following a Change in Control), then Executive shall not be entitled to any severance payments or benefits, except for the Accrued Obligations as provided in Section 3(c).</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Prior to a Change in Control or More Than Eighteen (18) Months Following a Change in Control</w:t>
      </w:r>
      <w:r>
        <w:rPr>
          <w:rFonts w:ascii="Times New Roman" w:cs="Times New Roman" w:eastAsia="Times New Roman" w:hAnsi="Times New Roman"/>
          <w:sz w:val="20"/>
          <w:szCs w:val="20"/>
          <w:color w:val="auto"/>
        </w:rPr>
        <w:t>. If Executive’s employment terminates without Cause pursuant to Section 3(a)(iv), and such termination without Cause occurs prior to a Change in Control or more than eighteen (18) months following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Executive’s Annual Base Salary as in effect immediately prior to the Date of Termination, payable in a lump sum on the first regular payroll date following the effective date of Executive’s Release (as defined below);</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prorated to reflect the portion of the year in which the Date of Termination occurs that has elapsed prior to the Date of Termination, payable in a lump sum on the first regular payroll date following the effective date of Executive’s Release (but in no event later than March 15 of the calendar year following the year in which Executive’s Date of Termination occurs);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then the Company shall directly pay, or reimburse Executive for, the COBRA premiums for Executive and Executive’s covered dependents under such plans during the period commencing on Executive’s Separation from Service and ending upon the earliest of (A) the last day of the twelve (12) month</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5" w:name="page236"/>
    <w:bookmarkEnd w:id="235"/>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0"/>
          <w:szCs w:val="20"/>
          <w:b w:val="1"/>
          <w:bCs w:val="1"/>
          <w:i w:val="1"/>
          <w:iCs w:val="1"/>
          <w:color w:val="auto"/>
        </w:rPr>
        <w:t>COBRA Continuation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Period</w:t>
      </w:r>
      <w:r>
        <w:rPr>
          <w:rFonts w:ascii="Times New Roman" w:cs="Times New Roman" w:eastAsia="Times New Roman" w:hAnsi="Times New Roman"/>
          <w:sz w:val="20"/>
          <w:szCs w:val="20"/>
          <w:color w:val="auto"/>
        </w:rPr>
        <w:t>”). Notwithstanding the foregoing, if the Company determines it cannot provide the foregoing benefit without potentially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her covered dependents based on the cost sharing levels in effect on the Date of Termination, which payments shall for the remainder of the COBRA Continuation Period; and</w:t>
      </w:r>
    </w:p>
    <w:p>
      <w:pPr>
        <w:spacing w:after="0" w:line="190" w:lineRule="exact"/>
        <w:rPr>
          <w:sz w:val="20"/>
          <w:szCs w:val="20"/>
          <w:color w:val="auto"/>
        </w:rPr>
      </w:pPr>
    </w:p>
    <w:p>
      <w:pPr>
        <w:jc w:val="both"/>
        <w:ind w:left="760" w:firstLine="745"/>
        <w:spacing w:after="0" w:line="243" w:lineRule="auto"/>
        <w:tabs>
          <w:tab w:leader="none" w:pos="2109"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number of the outstanding, unvested Company equity awards held by Executive under any Company equity compensation plans as would have vested during the twelve (12) months following the date of Executive’s Separation from Service had Executive continued in employment or service with the Company during such period shall immediately become vested on the effectiveness of the Release;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performance-based equity award will remain subject to attainment of the relevant performance goals during such twelve (12) months following the date of Executive’s Separation from Service unless a more favorable or alternative provision is contained in an applicable award agreement, and to the extent such performance goals are not attained prior to such deadline, such performance-based equity awards shall not vest pursuant to this clause (iv) and shall be forfeited.</w:t>
      </w:r>
    </w:p>
    <w:p>
      <w:pPr>
        <w:spacing w:after="0" w:line="18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lieu of the payments and benefits set forth in Section 4(b), in the event Executive’s employment terminates without Cause pursuant to Section 3(a)(iv), or pursuant to Section 3(a)(v) due to Executive’s resignation with Good Reason, in either case, on or within eighteen (18) months following the date of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1.5 times Executive’s Annual Base Salary as in effect immediately prior to the Date of Termination (and without regard to any reduction in Annual Base Salary that resulted in Executive’s resignation with Good Reason), payable in a lump sum on the first regular payroll date following the effective date of Executive’s Release;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payable in a lump sum on the first regular payroll date following the effective date of Executive’s Release (but in no event later than March 15 of the calendar year following the year in which Executive’s Date of Termination occurs);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74" w:lineRule="auto"/>
        <w:tabs>
          <w:tab w:leader="none" w:pos="2048"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during the period commencing on</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6" w:name="page237"/>
    <w:bookmarkEnd w:id="236"/>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Executive’s Separation from Service and ending upon the earliest of (A) the last day of the eighteen (18)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0"/>
          <w:szCs w:val="20"/>
          <w:b w:val="1"/>
          <w:bCs w:val="1"/>
          <w:i w:val="1"/>
          <w:iCs w:val="1"/>
          <w:color w:val="auto"/>
        </w:rPr>
        <w:t>CIC COBRA Continuation Period</w:t>
      </w:r>
      <w:r>
        <w:rPr>
          <w:rFonts w:ascii="Times New Roman" w:cs="Times New Roman" w:eastAsia="Times New Roman" w:hAnsi="Times New Roman"/>
          <w:sz w:val="20"/>
          <w:szCs w:val="20"/>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her covered dependents based on the cost sharing levels in effect on the Date of Termination, which payments shall for the remainder of the CIC COBRA Continuation Period; and</w:t>
      </w:r>
    </w:p>
    <w:p>
      <w:pPr>
        <w:spacing w:after="0" w:line="187" w:lineRule="exact"/>
        <w:rPr>
          <w:sz w:val="20"/>
          <w:szCs w:val="20"/>
          <w:color w:val="auto"/>
        </w:rPr>
      </w:pPr>
    </w:p>
    <w:p>
      <w:pPr>
        <w:jc w:val="both"/>
        <w:ind w:left="760" w:firstLine="745"/>
        <w:spacing w:after="0" w:line="245" w:lineRule="auto"/>
        <w:tabs>
          <w:tab w:leader="none" w:pos="2048"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outstanding, unvested Company equity awards held by Executive under any Company equity compensation plans shall immediately become 100% vested on the effectiveness of the Release,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performance-based equity award will remain subject to attainment of the relevant performance goals on or prior to the deadline for attainment of such goals as set forth in the applicable award agreement unless a more favorable or alternative provision is contained in an applicable award agreement, and to the extent such performance goals are not attained prior to such deadline, such performance-based equity awards shall not vest pursuant to this clause (iv) and shall be forfeited.</w:t>
      </w:r>
    </w:p>
    <w:p>
      <w:pPr>
        <w:spacing w:after="0" w:line="184" w:lineRule="exact"/>
        <w:rPr>
          <w:rFonts w:ascii="Times New Roman" w:cs="Times New Roman" w:eastAsia="Times New Roman" w:hAnsi="Times New Roman"/>
          <w:sz w:val="20"/>
          <w:szCs w:val="20"/>
          <w:color w:val="auto"/>
        </w:rPr>
      </w:pPr>
    </w:p>
    <w:p>
      <w:pPr>
        <w:jc w:val="both"/>
        <w:ind w:firstLine="757"/>
        <w:spacing w:after="0" w:line="260" w:lineRule="auto"/>
        <w:tabs>
          <w:tab w:leader="none" w:pos="1018"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xml:space="preserve">. Notwithstanding the foregoing, it shall be a condition to the Executive’s right to receive the amounts provided for in Sections 4(b) and 4(c) hereof that the Executive execute and deliver to the Company an effective release of claims in substantially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within twenty-one (21) days (or, to the extent required by law, forty-five (45) days) following the Date of Termination and that the Executive not revoke such Release during any applicable revocation period. For the avoidance of doubt, all equity awards eligible for accelerated vesting pursuant to this Section 4 shall remain outstanding and eligible to vest following the Date of Termination and shall actually vest and become exercisable (if applicable) and non-forfeitable upon the effectiveness of the Release.</w:t>
      </w:r>
    </w:p>
    <w:p>
      <w:pPr>
        <w:spacing w:after="0" w:line="172" w:lineRule="exact"/>
        <w:rPr>
          <w:rFonts w:ascii="Times New Roman" w:cs="Times New Roman" w:eastAsia="Times New Roman" w:hAnsi="Times New Roman"/>
          <w:sz w:val="19"/>
          <w:szCs w:val="19"/>
          <w:color w:val="auto"/>
        </w:rPr>
      </w:pPr>
    </w:p>
    <w:p>
      <w:pPr>
        <w:jc w:val="both"/>
        <w:ind w:firstLine="757"/>
        <w:spacing w:after="0" w:line="244" w:lineRule="auto"/>
        <w:tabs>
          <w:tab w:leader="none" w:pos="115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In the event of a termination of Executive’s employment with the Company, Executive’s sole remedy shall be to receive the payments and benefits described in this Section 4. In addition, Executive acknowledges and agrees that she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state statute.</w:t>
      </w:r>
    </w:p>
    <w:p>
      <w:pPr>
        <w:spacing w:after="0" w:line="195"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firstLine="757"/>
        <w:spacing w:after="0" w:line="269" w:lineRule="auto"/>
        <w:tabs>
          <w:tab w:leader="none" w:pos="101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her commencement of employment, Executive shall enter into the Company’s standard form of agreement containing confidentiality, intellectual property assignment and</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7" w:name="page238"/>
    <w:bookmarkEnd w:id="237"/>
    <w:p>
      <w:pPr>
        <w:jc w:val="both"/>
        <w:spacing w:after="0" w:line="256" w:lineRule="auto"/>
        <w:rPr>
          <w:sz w:val="20"/>
          <w:szCs w:val="20"/>
          <w:color w:val="auto"/>
        </w:rPr>
      </w:pPr>
      <w:r>
        <w:rPr>
          <w:rFonts w:ascii="Times New Roman" w:cs="Times New Roman" w:eastAsia="Times New Roman" w:hAnsi="Times New Roman"/>
          <w:sz w:val="20"/>
          <w:szCs w:val="20"/>
          <w:color w:val="auto"/>
        </w:rPr>
        <w:t>other protective covenants (the “</w:t>
      </w:r>
      <w:r>
        <w:rPr>
          <w:rFonts w:ascii="Times New Roman" w:cs="Times New Roman" w:eastAsia="Times New Roman" w:hAnsi="Times New Roman"/>
          <w:sz w:val="20"/>
          <w:szCs w:val="20"/>
          <w:b w:val="1"/>
          <w:bCs w:val="1"/>
          <w:i w:val="1"/>
          <w:iCs w:val="1"/>
          <w:color w:val="auto"/>
        </w:rPr>
        <w:t>Restrictive Covenant Agreement</w:t>
      </w:r>
      <w:r>
        <w:rPr>
          <w:rFonts w:ascii="Times New Roman" w:cs="Times New Roman" w:eastAsia="Times New Roman" w:hAnsi="Times New Roman"/>
          <w:sz w:val="20"/>
          <w:szCs w:val="20"/>
          <w:color w:val="auto"/>
        </w:rPr>
        <w:t xml:space="preserve">”), which is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Executive shall be bound by the terms and conditions of the Restrictive Covenant Agreement, and hereby agrees that such agreement shall be additional to, and not in limitation of, the covenants contained in this Section 5.</w:t>
      </w:r>
    </w:p>
    <w:p>
      <w:pPr>
        <w:spacing w:after="0" w:line="173" w:lineRule="exact"/>
        <w:rPr>
          <w:sz w:val="20"/>
          <w:szCs w:val="20"/>
          <w:color w:val="auto"/>
        </w:rPr>
      </w:pPr>
    </w:p>
    <w:p>
      <w:pPr>
        <w:jc w:val="both"/>
        <w:ind w:firstLine="757"/>
        <w:spacing w:after="0" w:line="243" w:lineRule="auto"/>
        <w:tabs>
          <w:tab w:leader="none" w:pos="10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shall hold in a fiduciary capacity for the benefit of the Company all secret or confidential information, knowledge or data relating to the Company and its subsidiaries and affiliates, which shall have been obtained by Executive in connection with Executive’s employment by the Company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Executive receives actual notice that Executive is or may be required by law or legal process to communicate or divulge any such information, knowledge or data, Executive shall promptly so notify the Company.</w:t>
      </w:r>
    </w:p>
    <w:p>
      <w:pPr>
        <w:spacing w:after="0" w:line="18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employed by the Company, Executive shall not be engaged in any other business activity that would be competitive with the business of the Company and its subsidiaries or affiliates. In addition, while employed by the Company and for a period of twelve (12) months after the Date of Termination, Executive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Executive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w:t>
      </w:r>
    </w:p>
    <w:p>
      <w:pPr>
        <w:spacing w:after="0" w:line="18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5(f), during Executive’s service with the Company and thereafter, excepting any litigation between the Parties, (i) Executive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 and (ii) the Company agrees to instruct its directors and executive officers not to publish or disseminate, directly or indirectly, any statements, whether written or oral, that are or could be harmful to or reflect negatively on Executive’s personal or business reputation or business.</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recognition of the fact that irreparable injury will result to the Company in the event of a breach by Executive of her obligations under Sections 5(a)-(d) hereof, that monetary damages for such breach would not be readily calculable, and that the Company would not have an adequate remedy at law therefor,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Executive and to cease the payment of any benefits under Section 4(b) or (c) above.</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the Restrictive Covenant Agreement to the contrary, nothing contained in this Agreement shall prohibit either party (or either party’s attorney(s)) from (i) communicating directly with, filing a charge with, reporting possible violations of federal law or</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8" w:name="page239"/>
    <w:bookmarkEnd w:id="238"/>
    <w:p>
      <w:pPr>
        <w:jc w:val="both"/>
        <w:spacing w:after="0" w:line="241" w:lineRule="auto"/>
        <w:rPr>
          <w:sz w:val="20"/>
          <w:szCs w:val="20"/>
          <w:color w:val="auto"/>
        </w:rPr>
      </w:pPr>
      <w:r>
        <w:rPr>
          <w:rFonts w:ascii="Times New Roman" w:cs="Times New Roman" w:eastAsia="Times New Roman" w:hAnsi="Times New Roman"/>
          <w:sz w:val="20"/>
          <w:szCs w:val="20"/>
          <w:color w:val="auto"/>
        </w:rPr>
        <w:t>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 Further, nothing in this Agreement prevents Executive from discussing or disclosing information about unlawful acts in the workplace, such as harassment or discrimination or any other conduct that Executive has reason to believe is unlawful.</w:t>
      </w:r>
    </w:p>
    <w:p>
      <w:pPr>
        <w:spacing w:after="0" w:line="198" w:lineRule="exact"/>
        <w:rPr>
          <w:sz w:val="20"/>
          <w:szCs w:val="20"/>
          <w:color w:val="auto"/>
        </w:rPr>
      </w:pPr>
    </w:p>
    <w:p>
      <w:pPr>
        <w:ind w:left="520" w:hanging="512"/>
        <w:spacing w:after="0"/>
        <w:tabs>
          <w:tab w:leader="none" w:pos="520"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82" w:lineRule="exact"/>
        <w:rPr>
          <w:sz w:val="20"/>
          <w:szCs w:val="20"/>
          <w:color w:val="auto"/>
        </w:rPr>
      </w:pPr>
    </w:p>
    <w:p>
      <w:pPr>
        <w:ind w:left="520" w:hanging="512"/>
        <w:spacing w:after="0"/>
        <w:tabs>
          <w:tab w:leader="none" w:pos="520" w:val="left"/>
        </w:tabs>
        <w:numPr>
          <w:ilvl w:val="0"/>
          <w:numId w:val="1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215" w:lineRule="exact"/>
        <w:rPr>
          <w:rFonts w:ascii="Times New Roman" w:cs="Times New Roman" w:eastAsia="Times New Roman" w:hAnsi="Times New Roman"/>
          <w:sz w:val="20"/>
          <w:szCs w:val="20"/>
          <w:color w:val="auto"/>
        </w:rPr>
      </w:pPr>
    </w:p>
    <w:p>
      <w:pPr>
        <w:jc w:val="both"/>
        <w:ind w:firstLine="799"/>
        <w:spacing w:after="0" w:line="247" w:lineRule="auto"/>
        <w:tabs>
          <w:tab w:leader="none" w:pos="1187"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failure by Executive to substantially perform Executive’s duties with the Company (other than any such failure resulting from incapacity due to physical or mental illness), after a written demand for substantial performance is delivered to Executive by the Company or an affiliate that specifically identifies the alleged manner in which Executive has not substantially performed Executive’s</w:t>
      </w: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0"/>
          <w:szCs w:val="20"/>
          <w:color w:val="auto"/>
        </w:rPr>
        <w:t>duties and after Executive has been provided with a thirty (30) day cure period, or Executive’s deliberate violation of a Company policy;</w:t>
      </w:r>
    </w:p>
    <w:p>
      <w:pPr>
        <w:spacing w:after="0" w:line="229" w:lineRule="exact"/>
        <w:rPr>
          <w:sz w:val="20"/>
          <w:szCs w:val="20"/>
          <w:color w:val="auto"/>
        </w:rPr>
      </w:pPr>
    </w:p>
    <w:p>
      <w:pPr>
        <w:jc w:val="both"/>
        <w:ind w:firstLine="799"/>
        <w:spacing w:after="0" w:line="254" w:lineRule="auto"/>
        <w:tabs>
          <w:tab w:leader="none" w:pos="1187"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engaging by Executive in illegal conduct or misconduct (including fraud, embezzlement, theft or dishonesty or material violation of any Company policy), or gross negligence, in any case that has caused or is reasonably expected to result in injury to the Company or any affiliate;</w:t>
      </w:r>
    </w:p>
    <w:p>
      <w:pPr>
        <w:spacing w:after="0" w:line="18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or plea of no contest to, a felony or any misdemeanor crime involving fraud, moral turpitude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dishonesty;</w:t>
      </w:r>
    </w:p>
    <w:p>
      <w:pPr>
        <w:spacing w:after="0" w:line="20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material breach of any written agreement or restrictive covenants with the Company; or</w:t>
      </w:r>
    </w:p>
    <w:p>
      <w:pPr>
        <w:spacing w:after="0" w:line="229" w:lineRule="exact"/>
        <w:rPr>
          <w:rFonts w:ascii="Times New Roman" w:cs="Times New Roman" w:eastAsia="Times New Roman" w:hAnsi="Times New Roman"/>
          <w:sz w:val="20"/>
          <w:szCs w:val="20"/>
          <w:color w:val="auto"/>
        </w:rPr>
      </w:pPr>
    </w:p>
    <w:p>
      <w:pPr>
        <w:jc w:val="both"/>
        <w:ind w:firstLine="799"/>
        <w:spacing w:after="0" w:line="246" w:lineRule="auto"/>
        <w:tabs>
          <w:tab w:leader="none" w:pos="1187"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violation of any law, rule or regulation relating in any way to the business or activities of the Company or any affiliate, or other law, rule or regulation that is violated, during the course of Executive’s performance of services hereunder that results in Executive’s regulatory suspension or disqualification, including, without limitation, the Generic Drug Enforcement Act of 1992, 21 U.S.C. § 335(a), or any similar legislation applicable in the United States or in any other country where the Company or any affiliate intends to develop its activities.</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 action or inaction based upon direction of the Board or advice of counsel to the Company shall constitute Cause. Poor performance shall not, in and of itself, constitute Cause. No termination of Executive’s employment for Cause shall occur absent a resolution of the Board and the reasonable opportunity for Executive (with Executive’s counsel) to be heard before the Board.</w:t>
      </w:r>
    </w:p>
    <w:p>
      <w:pPr>
        <w:spacing w:after="0" w:line="170" w:lineRule="exact"/>
        <w:rPr>
          <w:sz w:val="20"/>
          <w:szCs w:val="20"/>
          <w:color w:val="auto"/>
        </w:rPr>
      </w:pPr>
    </w:p>
    <w:p>
      <w:pPr>
        <w:ind w:left="1020" w:hanging="263"/>
        <w:spacing w:after="0"/>
        <w:tabs>
          <w:tab w:leader="none" w:pos="10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Company’s 2024 Incentive Award Plan.</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shall mean the Internal Revenue Code of 1986, as amended, and the regulations and guidance promulgated</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8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Date of Termination</w:t>
      </w:r>
      <w:r>
        <w:rPr>
          <w:rFonts w:ascii="Times New Roman" w:cs="Times New Roman" w:eastAsia="Times New Roman" w:hAnsi="Times New Roman"/>
          <w:sz w:val="20"/>
          <w:szCs w:val="20"/>
          <w:color w:val="auto"/>
        </w:rPr>
        <w:t>” shall mean (i) if Executive’s employment is terminated by Executive’s death, the date of Executive’s death; or (ii) if Executive’s employment is terminated pursuant to Sections 3(a)(ii)-(vi) either the date indicated in the Notice of Termination or the date specified by the Company pursuant to Section(b), whichever is earlier.</w:t>
      </w:r>
    </w:p>
    <w:p>
      <w:pPr>
        <w:spacing w:after="0" w:line="168"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xml:space="preserve">” shall mean, at any time the Company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if the long-term disability plan contains multiple definitions of disability, “Disability” shall refer to that definition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reasonable accommodation, the essential functions of Executive’s positions hereunder for a total of one hundred eighty (180) days within a twelve (12) month period as a result of incapacity due to mental or physical illness as determined by a physician selected by the Company or its insurers and acceptable to Executive or Executive’s legal representative, with such agreement as to</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0" w:name="page241"/>
    <w:bookmarkEnd w:id="240"/>
    <w:p>
      <w:pPr>
        <w:spacing w:after="0" w:line="269" w:lineRule="auto"/>
        <w:rPr>
          <w:sz w:val="20"/>
          <w:szCs w:val="20"/>
          <w:color w:val="auto"/>
        </w:rPr>
      </w:pPr>
      <w:r>
        <w:rPr>
          <w:rFonts w:ascii="Times New Roman" w:cs="Times New Roman" w:eastAsia="Times New Roman" w:hAnsi="Times New Roman"/>
          <w:sz w:val="20"/>
          <w:szCs w:val="20"/>
          <w:color w:val="auto"/>
        </w:rPr>
        <w:t>acceptability not to be unreasonably withheld or delayed. Any refusal by Executive to submit to a medical examination for the purpose of determining Disability shall be deemed to constitute conclusive evidence of Executive’s Disability.</w:t>
      </w:r>
    </w:p>
    <w:p>
      <w:pPr>
        <w:spacing w:after="0" w:line="159" w:lineRule="exact"/>
        <w:rPr>
          <w:sz w:val="20"/>
          <w:szCs w:val="20"/>
          <w:color w:val="auto"/>
        </w:rPr>
      </w:pPr>
    </w:p>
    <w:p>
      <w:pPr>
        <w:jc w:val="both"/>
        <w:ind w:firstLine="757"/>
        <w:spacing w:after="0" w:line="242" w:lineRule="auto"/>
        <w:tabs>
          <w:tab w:leader="none" w:pos="1018"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sole purpose of determining Executive’s right to severance payments and benefits as described above, Executive’s resignation will be with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if Executive resigns within one hundred twenty (120) days after any of the following events, unless Executive expressly consents in writing to the applicable event: (i) a reduction in Executive’s Annual Base Salary or Target Bonus, other than a reduction of less than ten percent (10%) (aggregating all prior reductions) that is implemented in connection with a contemporaneous reduction in annual base salaries affecting other senior executives of the Company; (ii) a material decrease in Executive’s authority or areas of responsibility as are commensurate with Executive’s title or position with the Company; (iii) the relocation of Executive’s primary working location to a location that is more than fifty (50) miles from Executive’s home office in the Philadelphia, Pennsylvania metropolitan area as of the Effective Date; or (iv) the Company’s breach of a material provision of this Agreement. Notwithstanding the foregoing, no Good Reason will have occurred unless and until: (a) Executive has provided the Company, within sixty</w:t>
      </w:r>
    </w:p>
    <w:p>
      <w:pPr>
        <w:jc w:val="both"/>
        <w:ind w:firstLine="8"/>
        <w:spacing w:after="0" w:line="241" w:lineRule="auto"/>
        <w:tabs>
          <w:tab w:leader="none" w:pos="40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198" w:lineRule="exact"/>
        <w:rPr>
          <w:sz w:val="20"/>
          <w:szCs w:val="20"/>
          <w:color w:val="auto"/>
        </w:rPr>
      </w:pPr>
    </w:p>
    <w:p>
      <w:pPr>
        <w:ind w:left="520" w:hanging="512"/>
        <w:spacing w:after="0"/>
        <w:tabs>
          <w:tab w:leader="none" w:pos="520" w:val="left"/>
        </w:tabs>
        <w:numPr>
          <w:ilvl w:val="0"/>
          <w:numId w:val="2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tabs>
          <w:tab w:leader="none" w:pos="1145"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Best Pay Provision</w:t>
      </w:r>
      <w:r>
        <w:rPr>
          <w:rFonts w:ascii="Times New Roman" w:cs="Times New Roman" w:eastAsia="Times New Roman" w:hAnsi="Times New Roman"/>
          <w:sz w:val="20"/>
          <w:szCs w:val="20"/>
          <w:color w:val="auto"/>
        </w:rPr>
        <w:t>. 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20"/>
          <w:szCs w:val="20"/>
          <w:b w:val="1"/>
          <w:bCs w:val="1"/>
          <w:i w:val="1"/>
          <w:iCs w:val="1"/>
          <w:color w:val="auto"/>
        </w:rPr>
        <w:t>Total Payments</w:t>
      </w:r>
      <w:r>
        <w:rPr>
          <w:rFonts w:ascii="Times New Roman" w:cs="Times New Roman" w:eastAsia="Times New Roman" w:hAnsi="Times New Roman"/>
          <w:sz w:val="20"/>
          <w:szCs w:val="20"/>
          <w:color w:val="auto"/>
        </w:rPr>
        <w:t>”) would be subject (in whole or part) to the excise tax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xml:space="preserve">”)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sentence shall not apply if, immediately before the change in ownership or control on which such Total Payments are contingent or otherwise relate, no stock in the Company is readily tradeable on an established securities market or otherwise (as determined in accordance with Treasury Reg. Section 1.280G-1 Q&amp;A 6).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 (x)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 (y) reduction of any other payments or benefits otherwise payable to Executive on a pro-rata basis or such other manner that complies with Section 409A of the Code, but excluding any payment attributable to the</w:t>
      </w:r>
    </w:p>
    <w:p>
      <w:pPr>
        <w:spacing w:after="0" w:line="12"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1" w:name="page242"/>
    <w:bookmarkEnd w:id="241"/>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in case of clauses (x), (y) and (z), that reduction of any payments or benefits attributable to the acceleration of vesting of Company equity awards shall be first applied to equity awards with later vesting dates;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notwithstanding the foregoing, any such reduction shall be undertaken in a manner that complies with and does not result in the imposition of additional taxes on Executive under Section 409A of the Code. The foregoing reductions shall be made in a manner that results in the maximum economic benefit to Executive on an after-tax basis and, to the extent economically equivalent payments or benefits are subject to reduction, in a pro rata manner.</w:t>
      </w:r>
    </w:p>
    <w:p>
      <w:pPr>
        <w:spacing w:after="0" w:line="172" w:lineRule="exact"/>
        <w:rPr>
          <w:sz w:val="20"/>
          <w:szCs w:val="20"/>
          <w:color w:val="auto"/>
        </w:rPr>
      </w:pPr>
    </w:p>
    <w:p>
      <w:pPr>
        <w:jc w:val="both"/>
        <w:ind w:firstLine="757"/>
        <w:spacing w:after="0" w:line="241" w:lineRule="auto"/>
        <w:tabs>
          <w:tab w:leader="none" w:pos="1158"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Determinations</w:t>
      </w:r>
      <w:r>
        <w:rPr>
          <w:rFonts w:ascii="Times New Roman" w:cs="Times New Roman" w:eastAsia="Times New Roman" w:hAnsi="Times New Roman"/>
          <w:sz w:val="20"/>
          <w:szCs w:val="20"/>
          <w:color w:val="auto"/>
        </w:rPr>
        <w:t>. All determinations regarding the application of this Section 8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0"/>
          <w:szCs w:val="20"/>
          <w:b w:val="1"/>
          <w:bCs w:val="1"/>
          <w:i w:val="1"/>
          <w:iCs w:val="1"/>
          <w:color w:val="auto"/>
        </w:rPr>
        <w:t>280G Firm</w:t>
      </w:r>
      <w:r>
        <w:rPr>
          <w:rFonts w:ascii="Times New Roman" w:cs="Times New Roman" w:eastAsia="Times New Roman" w:hAnsi="Times New Roman"/>
          <w:sz w:val="20"/>
          <w:szCs w:val="20"/>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Executive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88"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5"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w:t>
      </w:r>
      <w:r>
        <w:rPr>
          <w:rFonts w:ascii="Times New Roman" w:cs="Times New Roman" w:eastAsia="Times New Roman" w:hAnsi="Times New Roman"/>
          <w:sz w:val="20"/>
          <w:szCs w:val="20"/>
          <w:color w:val="auto"/>
        </w:rPr>
        <w:t>. Notwithstanding the foregoing, if any portion of the Total Payments would not be subject to the Excise Tax if the stockholder approval requirements of Section 280G(b)(5) of the Code are satisfied, subject to Executive’s waiver of the rights to such portion of the Total Payments above the safe harbor threshold in accordance with and to the extent required by Section 280G of the Code with respect to any portion of the Total Payments that would otherwise be subject to excise tax imposed by Section 4999 of the Code (before giving effect to any reduction in the Total Payments contemplated above), the Company shall use its reasonable best efforts to cause such payments to be submitted for such approval prior to the event giving rise to such payments. To the extent the Company submits any payment or benefit payable to Executive under this Agreement or otherwise to the Company’s stockholders for approval in accordance with Treasury Reg. Section 1.280G-1 Q&amp;A 7, the foregoing provisions under this Section 8 shall not apply following such submission and such payments and benefits will be treated in accordance</w:t>
      </w: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with the results of such vote, except that any reduction in, or waiver above the safe harbor threshold of, such payments or benefits required by such vote will be applied without any application of discretion by Executive and in the order prescribed in Section 8(a).</w:t>
      </w:r>
    </w:p>
    <w:p>
      <w:pPr>
        <w:spacing w:after="0" w:line="182" w:lineRule="exact"/>
        <w:rPr>
          <w:sz w:val="20"/>
          <w:szCs w:val="20"/>
          <w:color w:val="auto"/>
        </w:rPr>
      </w:pPr>
    </w:p>
    <w:p>
      <w:pPr>
        <w:ind w:left="520" w:hanging="512"/>
        <w:spacing w:after="0"/>
        <w:tabs>
          <w:tab w:leader="none" w:pos="520" w:val="left"/>
        </w:tabs>
        <w:numPr>
          <w:ilvl w:val="0"/>
          <w:numId w:val="2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Commonwealth of Pennsylvania without reference to the principles of conflicts of law of the Commonwealth of Pennsylvania or any other jurisdiction that would result in the application of the laws of a jurisdiction other than the Commonwealth of Pennsylvania, and where applicable, the laws of the United States. Any suit brought hereon shall be brought in the state or federal courts sitting in the Commonwealth of Pennsylvania, the parties hereto hereby waiving any claim or defense that such forum is not convenient or proper. Each party hereby agrees that any such court shall have in personam jurisdiction over it and consents to service of process in any manner authorized by Pennsylvania law.</w:t>
      </w:r>
    </w:p>
    <w:p>
      <w:pPr>
        <w:spacing w:after="0" w:line="18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email or certified or registered mail, postage prepaid, as follows:</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CEO of the Company at the Company’s headquarters,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7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the Restrictive Covenant Agreement incorporated herein by reference as set forth in Section 5, and any Release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Restrictive Covenant Agreement incorporated herein by reference as set forth in Section 5, and any Release shall constitute the complete and exclusive statement of their terms and that no extrinsic evidence whatsoever may be introduced in any judicial, administrative, or other legal proceeding to vary the terms of such agreements.</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This Agreement may not be modified, amended, or terminated except by an instrument in writing, signed by Executive and a duly authorized officer of Company. By an instrument in writing similarly executed, Executive or a duly authorized officer of the Company may waive</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compliance by the other Party with any specifically identified provision of this Agreement that such other Party was or is obligated to comply with or perform;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0" w:lineRule="exact"/>
        <w:rPr>
          <w:sz w:val="20"/>
          <w:szCs w:val="20"/>
          <w:color w:val="auto"/>
        </w:rPr>
      </w:pPr>
    </w:p>
    <w:p>
      <w:pPr>
        <w:jc w:val="both"/>
        <w:ind w:firstLine="757"/>
        <w:spacing w:after="0" w:line="242" w:lineRule="auto"/>
        <w:tabs>
          <w:tab w:leader="none" w:pos="101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92"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In the event of any dispute or claim relating to, or arising out of Executive’s employment relationship with the Company or its affiliates, including, but not limited, claims of wrongful termination, age, race, gender, disability or other discrimination—but not including claims for sexual harassment or sexual assault—Executive and the Company agree that all such disputes shall be fully and finally resolved by binding arbitration conducted before a single neutral arbitrator pursuant to the rules for arbitration of employment disputes by the American Arbitration Association (available at www.adr.org) in Philadelphia County, Pennsylvania.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of law on which the award is based. By executing this Agreement, the Parties are both waiving the right to a jury trial with respect to any such disputes. The Company shall bear the costs of the arbitrator, forum and filing fees. Each Party shall bear its own respective attorney fees and all other costs, unless provided by law and awarded by the arbitrator.</w:t>
      </w:r>
    </w:p>
    <w:p>
      <w:pPr>
        <w:spacing w:after="0" w:line="192"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arise.</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4" w:name="page245"/>
    <w:bookmarkEnd w:id="244"/>
    <w:p>
      <w:pPr>
        <w:ind w:left="1020" w:hanging="263"/>
        <w:spacing w:after="0"/>
        <w:tabs>
          <w:tab w:leader="none" w:pos="102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048"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 from Section 409A and, accordingly, to the maximum extent permitted, this Agreement shall be interpreted to be in compliance therewith. If the Company and Executive agree in good faith that the payments and benefits under this Agreement would not comply with Section 409A, the Parties hereto shall reasonably and in good faith attempt to modify this Agreement to comply with Section 409A while endeavoring to maintain the intended economic benefits hereunder.</w:t>
      </w:r>
    </w:p>
    <w:p>
      <w:pPr>
        <w:spacing w:after="0" w:line="180"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Notwithstanding anything in this Agreement to the contrary, (A) any compensation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and (B) in the event that, with respect to the amounts payable under Sections 4(b) or 4(c), the timing of the delivery of Executive’s Release could cause such amounts to begin in one or another taxable year, to the extent such amounts are subject to Section 409A, then notwithstanding the payment timing set forth in such Sections, such amounts shall not be payable until the later of (1) the payment date specified in such Section or (2) the first business day of the taxable year following Executive’s Separation from Service.</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(x) the expiration of the six-month period measured from the date of Executive’s Separation from Service with the Company or (y)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048"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Installments. </w:t>
      </w:r>
      <w:r>
        <w:rPr>
          <w:rFonts w:ascii="Times New Roman" w:cs="Times New Roman" w:eastAsia="Times New Roman" w:hAnsi="Times New Roman"/>
          <w:sz w:val="20"/>
          <w:szCs w:val="20"/>
          <w:color w:val="auto"/>
        </w:rPr>
        <w:t>Executive’s right to receive any installment payments under this Agreement, including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5" w:name="page246"/>
    <w:bookmarkEnd w:id="245"/>
    <w:p>
      <w:pPr>
        <w:ind w:firstLine="757"/>
        <w:spacing w:after="0" w:line="269" w:lineRule="auto"/>
        <w:tabs>
          <w:tab w:leader="none" w:pos="1018"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Notwithstanding anything to the contrary in this Agreement, the provisions of Sections 5 through 9 will survive the termination of Executive’s employment and the termination of the Term.</w:t>
      </w:r>
    </w:p>
    <w:p>
      <w:pPr>
        <w:spacing w:after="0" w:line="168"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Acknowledgement</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6" w:name="page247"/>
    <w:bookmarkEnd w:id="246"/>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date and year first above written.</w:t>
      </w:r>
    </w:p>
    <w:p>
      <w:pPr>
        <w:spacing w:after="0" w:line="2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By: /s/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-10795</wp:posOffset>
            </wp:positionV>
            <wp:extent cx="179705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1">
                      <a:extLst>
                        <a:ext uri="{28A0092B-C50C-407E-A947-70E740481C1C}"/>
                      </a:extLst>
                    </a:blip>
                    <a:srcRect/>
                    <a:stretch>
                      <a:fillRect/>
                    </a:stretch>
                  </pic:blipFill>
                  <pic:spPr bwMode="auto">
                    <a:xfrm>
                      <a:off x="0" y="0"/>
                      <a:ext cx="1797050" cy="8255"/>
                    </a:xfrm>
                    <a:prstGeom prst="rect">
                      <a:avLst/>
                    </a:prstGeom>
                    <a:noFill/>
                  </pic:spPr>
                </pic:pic>
              </a:graphicData>
            </a:graphic>
          </wp:anchor>
        </w:drawing>
      </w:r>
    </w:p>
    <w:p>
      <w:pPr>
        <w:spacing w:after="0" w:line="20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Name: Arthur Kuan</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5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/s/ Corleen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-10795</wp:posOffset>
            </wp:positionV>
            <wp:extent cx="175895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2">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20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Print Name: Corleen Roche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854710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440" w:right="1440" w:bottom="1440" w:gutter="0" w:footer="0" w:header="0"/>
        </w:sectPr>
      </w:pPr>
    </w:p>
    <w:bookmarkStart w:id="247" w:name="page248"/>
    <w:bookmarkEnd w:id="24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16"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20"/>
          <w:szCs w:val="20"/>
          <w:color w:val="auto"/>
        </w:rPr>
        <w:t>This Separation Agreement and Release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Corleen Roche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(collectively referred to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Capitalized terms used but not defined in this Agreement shall have the meanings set forth in the Employment Agreement (as defined below).</w:t>
      </w:r>
    </w:p>
    <w:p>
      <w:pPr>
        <w:spacing w:after="0" w:line="186"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WHEREAS, the Parties have previously entered into that certain Amended and Restated Employment Agreement, effective as of January 9, 2025 (the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and that certain Restrictive Covenant Agreement (as defined in the Employment Agreement); and</w:t>
      </w:r>
    </w:p>
    <w:p>
      <w:pPr>
        <w:spacing w:after="0" w:line="188" w:lineRule="exact"/>
        <w:rPr>
          <w:sz w:val="20"/>
          <w:szCs w:val="20"/>
          <w:color w:val="auto"/>
        </w:rPr>
      </w:pPr>
    </w:p>
    <w:p>
      <w:pPr>
        <w:jc w:val="both"/>
        <w:ind w:right="20" w:firstLine="614"/>
        <w:spacing w:after="0" w:line="250" w:lineRule="auto"/>
        <w:rPr>
          <w:sz w:val="20"/>
          <w:szCs w:val="20"/>
          <w:color w:val="auto"/>
        </w:rPr>
      </w:pPr>
      <w:r>
        <w:rPr>
          <w:rFonts w:ascii="Times New Roman" w:cs="Times New Roman" w:eastAsia="Times New Roman" w:hAnsi="Times New Roman"/>
          <w:sz w:val="20"/>
          <w:szCs w:val="20"/>
          <w:color w:val="auto"/>
        </w:rPr>
        <w:t>WHEREAS, in connection with Executive’s termination of employment with the Company or a subsidiary or affiliate of the Company effective [________], 20[__], the Parties wish to resolve any and all disputes, claims, complaints, grievances, charges, actions,</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petitions, and demands that Executive may have against the Company and any of the Releases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cs="Times New Roman" w:eastAsia="Times New Roman" w:hAnsi="Times New Roman"/>
          <w:sz w:val="20"/>
          <w:szCs w:val="20"/>
          <w:b w:val="1"/>
          <w:bCs w:val="1"/>
          <w:i w:val="1"/>
          <w:iCs w:val="1"/>
          <w:color w:val="auto"/>
        </w:rPr>
        <w:t>Retained Claims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88" w:lineRule="exact"/>
        <w:rPr>
          <w:sz w:val="20"/>
          <w:szCs w:val="20"/>
          <w:color w:val="auto"/>
        </w:rPr>
      </w:pPr>
    </w:p>
    <w:p>
      <w:pPr>
        <w:jc w:val="both"/>
        <w:ind w:firstLine="404"/>
        <w:spacing w:after="0" w:line="246" w:lineRule="auto"/>
        <w:tabs>
          <w:tab w:leader="none" w:pos="80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and Benefits; Salary and Benefits</w:t>
      </w:r>
      <w:r>
        <w:rPr>
          <w:rFonts w:ascii="Times New Roman" w:cs="Times New Roman" w:eastAsia="Times New Roman" w:hAnsi="Times New Roman"/>
          <w:sz w:val="20"/>
          <w:szCs w:val="20"/>
          <w:color w:val="auto"/>
        </w:rPr>
        <w:t>.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3(c) of the Employment Agreement, subject to and in accordance with the terms thereof.</w:t>
      </w:r>
    </w:p>
    <w:p>
      <w:pPr>
        <w:spacing w:after="0" w:line="198" w:lineRule="exact"/>
        <w:rPr>
          <w:rFonts w:ascii="Times New Roman" w:cs="Times New Roman" w:eastAsia="Times New Roman" w:hAnsi="Times New Roman"/>
          <w:sz w:val="20"/>
          <w:szCs w:val="20"/>
          <w:color w:val="auto"/>
        </w:rPr>
      </w:pPr>
    </w:p>
    <w:p>
      <w:pPr>
        <w:jc w:val="both"/>
        <w:ind w:firstLine="404"/>
        <w:spacing w:after="0" w:line="242" w:lineRule="auto"/>
        <w:tabs>
          <w:tab w:leader="none" w:pos="81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related to Executive’s employment 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relating to Executive’s employment with the Company or its subsidiaries or termination therefrom,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89" w:lineRule="exact"/>
        <w:rPr>
          <w:sz w:val="20"/>
          <w:szCs w:val="20"/>
          <w:color w:val="auto"/>
        </w:rPr>
      </w:pPr>
    </w:p>
    <w:p>
      <w:pPr>
        <w:ind w:right="20" w:firstLine="799"/>
        <w:spacing w:after="0" w:line="269" w:lineRule="auto"/>
        <w:tabs>
          <w:tab w:leader="none" w:pos="118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and the termination of that relationship;</w:t>
      </w:r>
    </w:p>
    <w:p>
      <w:pPr>
        <w:spacing w:after="0" w:line="159" w:lineRule="exact"/>
        <w:rPr>
          <w:rFonts w:ascii="Times New Roman" w:cs="Times New Roman" w:eastAsia="Times New Roman" w:hAnsi="Times New Roman"/>
          <w:sz w:val="20"/>
          <w:szCs w:val="20"/>
          <w:color w:val="auto"/>
        </w:rPr>
      </w:pPr>
    </w:p>
    <w:p>
      <w:pPr>
        <w:jc w:val="both"/>
        <w:ind w:right="20" w:firstLine="799"/>
        <w:spacing w:after="0" w:line="254" w:lineRule="auto"/>
        <w:tabs>
          <w:tab w:leader="none" w:pos="118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74" w:lineRule="exact"/>
        <w:rPr>
          <w:rFonts w:ascii="Times New Roman" w:cs="Times New Roman" w:eastAsia="Times New Roman" w:hAnsi="Times New Roman"/>
          <w:sz w:val="20"/>
          <w:szCs w:val="20"/>
          <w:color w:val="auto"/>
        </w:rPr>
      </w:pPr>
    </w:p>
    <w:p>
      <w:pPr>
        <w:ind w:firstLine="799"/>
        <w:spacing w:after="0" w:line="246" w:lineRule="auto"/>
        <w:tabs>
          <w:tab w:leader="none" w:pos="118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4" w:lineRule="exact"/>
        <w:rPr>
          <w:rFonts w:ascii="Times New Roman" w:cs="Times New Roman" w:eastAsia="Times New Roman" w:hAnsi="Times New Roman"/>
          <w:sz w:val="20"/>
          <w:szCs w:val="20"/>
          <w:color w:val="auto"/>
        </w:rPr>
      </w:pPr>
    </w:p>
    <w:p>
      <w:pPr>
        <w:jc w:val="both"/>
        <w:ind w:firstLine="799"/>
        <w:spacing w:after="0" w:line="245" w:lineRule="auto"/>
        <w:tabs>
          <w:tab w:leader="none" w:pos="118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Pennsylvania Human Relations Act; and the Pennsylvania Whistleblower Law, each as amended, or any other federal, state or local statute or ordinance;</w:t>
      </w:r>
    </w:p>
    <w:p>
      <w:pPr>
        <w:spacing w:after="0" w:line="184"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15"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215" w:lineRule="exact"/>
        <w:rPr>
          <w:rFonts w:ascii="Times New Roman" w:cs="Times New Roman" w:eastAsia="Times New Roman" w:hAnsi="Times New Roman"/>
          <w:sz w:val="20"/>
          <w:szCs w:val="20"/>
          <w:color w:val="auto"/>
        </w:rPr>
      </w:pPr>
    </w:p>
    <w:p>
      <w:pPr>
        <w:ind w:right="20" w:firstLine="799"/>
        <w:spacing w:after="0" w:line="269" w:lineRule="auto"/>
        <w:tabs>
          <w:tab w:leader="none" w:pos="118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59" w:lineRule="exact"/>
        <w:rPr>
          <w:rFonts w:ascii="Times New Roman" w:cs="Times New Roman" w:eastAsia="Times New Roman" w:hAnsi="Times New Roman"/>
          <w:sz w:val="20"/>
          <w:szCs w:val="20"/>
          <w:color w:val="auto"/>
        </w:rPr>
      </w:pPr>
    </w:p>
    <w:p>
      <w:pPr>
        <w:ind w:right="40" w:firstLine="799"/>
        <w:spacing w:after="0" w:line="269" w:lineRule="auto"/>
        <w:tabs>
          <w:tab w:leader="none" w:pos="118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59"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16"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EXECUTIVE ACKNOWLEDGES THAT EXECUTIVE HAS BEEN ADVISED BY LEGAL COUNSEL AND IS FAMILIAR WITH THE PROVISIONS OF CALIFORNIA CIVIL CODE SECTION 1542, WHICH PROVIDES AS FOLLOWS:</w:t>
      </w:r>
    </w:p>
    <w:p>
      <w:pPr>
        <w:spacing w:after="0" w:line="159" w:lineRule="exact"/>
        <w:rPr>
          <w:sz w:val="20"/>
          <w:szCs w:val="20"/>
          <w:color w:val="auto"/>
        </w:rPr>
      </w:pPr>
    </w:p>
    <w:p>
      <w:pPr>
        <w:jc w:val="both"/>
        <w:ind w:left="760" w:right="940"/>
        <w:spacing w:after="0" w:line="254"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89" w:lineRule="exact"/>
        <w:rPr>
          <w:sz w:val="20"/>
          <w:szCs w:val="20"/>
          <w:color w:val="auto"/>
        </w:rPr>
      </w:pPr>
    </w:p>
    <w:p>
      <w:pPr>
        <w:ind w:left="760" w:right="940"/>
        <w:spacing w:after="0" w:line="269" w:lineRule="auto"/>
        <w:rPr>
          <w:sz w:val="20"/>
          <w:szCs w:val="20"/>
          <w:color w:val="auto"/>
        </w:rPr>
      </w:pPr>
      <w:r>
        <w:rPr>
          <w:rFonts w:ascii="Times New Roman" w:cs="Times New Roman" w:eastAsia="Times New Roman" w:hAnsi="Times New Roman"/>
          <w:sz w:val="20"/>
          <w:szCs w:val="20"/>
          <w:color w:val="auto"/>
        </w:rPr>
        <w:t>THAT, IF KNOWN BY HIM OR HER, WOULD HAVE MATERIALLY AFFECTED HIS OR HER SETTLEMENT WITH THE DEBTOR OR RELEASED PARTY.”</w:t>
      </w:r>
    </w:p>
    <w:p>
      <w:pPr>
        <w:spacing w:after="0" w:line="159"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20"/>
          <w:szCs w:val="20"/>
          <w:color w:val="auto"/>
        </w:rPr>
        <w:t>EXECUTIVE, BEING AWARE OF SAID CODE SECTION, HEREBY EXPRESSLY WAIVES ANY RIGHTS EXECUTIVE MAY HAVE THEREUNDER, AS WELL AS UNDER ANY OTHER STATUTES OR COMMON LAW PRINCIPLES OF SIMILAR EFFECT.</w:t>
      </w:r>
    </w:p>
    <w:p>
      <w:pPr>
        <w:spacing w:after="0" w:line="15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for indemnity under the bylaws of the Company, as provided for by Pennsylvania or Delaware law or under any applicable insurance policy with respect to Executive’s liability as an employee, director or officer of the Company,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1(c) or Section 4 of the Employment Agreement. This release does not prevent Executive from cooperating with an investigation conducted by any such governmental agencies, including without limitation the National Labor Relations Board (the “NLRB”). Nothing herein will prevent Executive from participating in an activity permitted by Section 7 of the National Labor Relations Act or from filing an unfair labor practice charge with the NLRB.</w:t>
      </w:r>
    </w:p>
    <w:p>
      <w:pPr>
        <w:spacing w:after="0" w:line="185" w:lineRule="exact"/>
        <w:rPr>
          <w:sz w:val="20"/>
          <w:szCs w:val="20"/>
          <w:color w:val="auto"/>
        </w:rPr>
      </w:pPr>
    </w:p>
    <w:p>
      <w:pPr>
        <w:jc w:val="both"/>
        <w:ind w:firstLine="404"/>
        <w:spacing w:after="0" w:line="242" w:lineRule="auto"/>
        <w:tabs>
          <w:tab w:leader="none" w:pos="832"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has the right to and should consult with an attorney prior to executing this Agreement; (b) Executive has [twenty-one (21)] days within which to consider this Agreement, and the Parties agree that such time period to review this Agreement shall not be extended upon any material or immaterial changes to this Agreement; (c) Executive has seven (7) business days following Executive’s execution of this Agreement to revoke this Agreement pursuant to written notice to the General Counsel of the Company; (d) this Agreement shall not be effective until after the revocation period has expired without revocation; and (e) nothing in this Agreement prevents or precludes Executive from challenging or seeking a determination in good faith of the validity of this waiver under the ADEA, nor does it impose any condition precedent, penalties, or costs for doing so, unless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8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specifically authorized by federal law. In the event Executive signs this Agreement and returns it to the Company in less than the [twenty-one (21)] day period identified above, Executive hereby acknowledges that Executive has freely and voluntarily chosen to waive the time period allotted for considering this Agreement. To revoke this Agreement, Executive must notify the Company in writing sent to the Chief Executive Officer of the Company, and such revocation must be received no later than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after Executive signs this Agreement.</w:t>
      </w:r>
    </w:p>
    <w:p>
      <w:pPr>
        <w:spacing w:after="0" w:line="189" w:lineRule="exact"/>
        <w:rPr>
          <w:sz w:val="20"/>
          <w:szCs w:val="20"/>
          <w:color w:val="auto"/>
        </w:rPr>
      </w:pPr>
    </w:p>
    <w:p>
      <w:pPr>
        <w:ind w:firstLine="404"/>
        <w:spacing w:after="0" w:line="269" w:lineRule="auto"/>
        <w:tabs>
          <w:tab w:leader="none" w:pos="81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w:t>
      </w:r>
      <w:r>
        <w:rPr>
          <w:rFonts w:ascii="Times New Roman" w:cs="Times New Roman" w:eastAsia="Times New Roman" w:hAnsi="Times New Roman"/>
          <w:sz w:val="20"/>
          <w:szCs w:val="20"/>
          <w:color w:val="auto"/>
        </w:rPr>
        <w:t>. Executive acknowledges her ongoing obligations under Section 5 of the Employment Agreement. Sections 5(e) and 5(f) of the Employment Agreement are hereby incorporated by reference and will apply to this Agreement as if set forth herein.</w:t>
      </w:r>
    </w:p>
    <w:p>
      <w:pPr>
        <w:spacing w:after="0" w:line="159" w:lineRule="exact"/>
        <w:rPr>
          <w:rFonts w:ascii="Times New Roman" w:cs="Times New Roman" w:eastAsia="Times New Roman" w:hAnsi="Times New Roman"/>
          <w:sz w:val="20"/>
          <w:szCs w:val="20"/>
          <w:color w:val="auto"/>
        </w:rPr>
      </w:pPr>
    </w:p>
    <w:p>
      <w:pPr>
        <w:jc w:val="both"/>
        <w:ind w:firstLine="404"/>
        <w:spacing w:after="0" w:line="254" w:lineRule="auto"/>
        <w:tabs>
          <w:tab w:leader="none" w:pos="791"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4" w:lineRule="exact"/>
        <w:rPr>
          <w:rFonts w:ascii="Times New Roman" w:cs="Times New Roman" w:eastAsia="Times New Roman" w:hAnsi="Times New Roman"/>
          <w:sz w:val="20"/>
          <w:szCs w:val="20"/>
          <w:color w:val="auto"/>
        </w:rPr>
      </w:pPr>
    </w:p>
    <w:p>
      <w:pPr>
        <w:ind w:right="20" w:firstLine="404"/>
        <w:spacing w:after="0" w:line="269" w:lineRule="auto"/>
        <w:tabs>
          <w:tab w:leader="none" w:pos="791"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pacing w:after="0" w:line="159" w:lineRule="exact"/>
        <w:rPr>
          <w:rFonts w:ascii="Times New Roman" w:cs="Times New Roman" w:eastAsia="Times New Roman" w:hAnsi="Times New Roman"/>
          <w:sz w:val="20"/>
          <w:szCs w:val="20"/>
          <w:color w:val="auto"/>
        </w:rPr>
      </w:pPr>
    </w:p>
    <w:p>
      <w:pPr>
        <w:ind w:firstLine="404"/>
        <w:spacing w:after="0" w:line="269" w:lineRule="auto"/>
        <w:tabs>
          <w:tab w:leader="none" w:pos="84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 This Agreement shall be subject to the provisions of Sections 1(a), 1(c), and (h) of the Employment Agreement.</w:t>
      </w:r>
    </w:p>
    <w:p>
      <w:pPr>
        <w:spacing w:after="0" w:line="159" w:lineRule="exact"/>
        <w:rPr>
          <w:rFonts w:ascii="Times New Roman" w:cs="Times New Roman" w:eastAsia="Times New Roman" w:hAnsi="Times New Roman"/>
          <w:sz w:val="20"/>
          <w:szCs w:val="20"/>
          <w:color w:val="auto"/>
        </w:rPr>
      </w:pPr>
    </w:p>
    <w:p>
      <w:pPr>
        <w:ind w:firstLine="404"/>
        <w:spacing w:after="0" w:line="269" w:lineRule="auto"/>
        <w:tabs>
          <w:tab w:leader="none" w:pos="80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has seven (7) business days after Executive signs this Agreement to revoke it and this Agreement will become effective on the day immediately following the seventh business day after Executive signed this Agreement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58"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158"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the Employment Agreement and the Restrictive Covenant Agreement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Employment Agreement and the Restrictive Covenant Agreement shall constitute the complete and exclusive statement of their terms and that no extrinsic evidence whatsoever may be introduced in any judicial, administrative, or other legal proceeding to vary the terms of such agreements.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Dated:</w:t>
      </w: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Print Name: Corleen Roche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Name: _________________________</w:t>
      </w:r>
    </w:p>
    <w:p>
      <w:pPr>
        <w:spacing w:after="0" w:line="2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Title: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2" w:name="page253"/>
    <w:bookmarkEnd w:id="252"/>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RESTRICTIVE COVENANT AGREEMENT</w:t>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Attached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|US-DOCS\147387363.2||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EMPLOYMENT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Amended and Restated Employment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Joshua F. Patterson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effective as of January 9,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currently employs Executive as its General Counsel and Chief Compliance Officer pursuant to an Employment Agreement between Executive and the Company dated May 13, 2024 (the “</w:t>
      </w:r>
      <w:r>
        <w:rPr>
          <w:rFonts w:ascii="Times New Roman" w:cs="Times New Roman" w:eastAsia="Times New Roman" w:hAnsi="Times New Roman"/>
          <w:sz w:val="20"/>
          <w:szCs w:val="20"/>
          <w:b w:val="1"/>
          <w:bCs w:val="1"/>
          <w:i w:val="1"/>
          <w:iCs w:val="1"/>
          <w:color w:val="auto"/>
        </w:rPr>
        <w:t>Prior Agreement</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Parties desire to amend and restate the Prior Agreement on the terms and conditions set forth herein.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ind w:left="520" w:hanging="512"/>
        <w:spacing w:after="0"/>
        <w:tabs>
          <w:tab w:leader="none" w:pos="520" w:val="left"/>
        </w:tabs>
        <w:numPr>
          <w:ilvl w:val="0"/>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right="20" w:firstLine="757"/>
        <w:spacing w:after="0" w:line="269" w:lineRule="auto"/>
        <w:tabs>
          <w:tab w:leader="none" w:pos="1018"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Effective on the Effective Date, the Company shall employ Executive, and Executive shall be employed by the Company, for the period and in the positions set forth in this Section 1, and subject to the other terms and conditions herein provided.</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Section 3(b)). This “at-will” nature of Executive’s employment shall remain unchanged during Executive’s tenure as an employee and may not be changed, except in an express writing signed by Executive and a duly authorized officer of the Company. The term of this Agreement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shall commence on the Effective Date and end on the date this Agreement is terminated under Section 3.</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During the Term, Executive shall serve as General Counsel and Chief Compliance Officer of the Company, with such responsibilities, duties and authority normally associated with such position and as may from time to time be reasonably assigned to Executive by the Chief Executive Officer of the Company (the “</w:t>
      </w:r>
      <w:r>
        <w:rPr>
          <w:rFonts w:ascii="Times New Roman" w:cs="Times New Roman" w:eastAsia="Times New Roman" w:hAnsi="Times New Roman"/>
          <w:sz w:val="20"/>
          <w:szCs w:val="20"/>
          <w:b w:val="1"/>
          <w:bCs w:val="1"/>
          <w:i w:val="1"/>
          <w:iCs w:val="1"/>
          <w:color w:val="auto"/>
        </w:rPr>
        <w:t>CEO</w:t>
      </w:r>
      <w:r>
        <w:rPr>
          <w:rFonts w:ascii="Times New Roman" w:cs="Times New Roman" w:eastAsia="Times New Roman" w:hAnsi="Times New Roman"/>
          <w:sz w:val="20"/>
          <w:szCs w:val="20"/>
          <w:color w:val="auto"/>
        </w:rPr>
        <w:t>”). Executive shall report to the CEO.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or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of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Executive shall be permitted to (i) manage Executive’s personal, financial and legal affairs, (ii) participate in trade associations, and (iii) serve on the board of directors of not-for-profit or tax-exempt charitable organizations or, with the consent of the Board (not to be unreasonably withheld), the board of directors of non-competitive for-profit businesses, in each case, subject to compliance with this Agreement and provided that such activities do not materially interfere with Executive’s performance of Executive’s duties and responsibilities hereunder. Executive agrees to observe and comply with the reasonable rules and policies of the Company as adopted by the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54" w:name="page255"/>
    <w:bookmarkEnd w:id="254"/>
    <w:p>
      <w:pPr>
        <w:ind w:right="20"/>
        <w:spacing w:after="0" w:line="269" w:lineRule="auto"/>
        <w:rPr>
          <w:sz w:val="20"/>
          <w:szCs w:val="20"/>
          <w:color w:val="auto"/>
        </w:rPr>
      </w:pPr>
      <w:r>
        <w:rPr>
          <w:rFonts w:ascii="Times New Roman" w:cs="Times New Roman" w:eastAsia="Times New Roman" w:hAnsi="Times New Roman"/>
          <w:sz w:val="20"/>
          <w:szCs w:val="20"/>
          <w:color w:val="auto"/>
        </w:rPr>
        <w:t>from time to time (to the extent they do not conflict with the terms of this Agreement), in each case, as amended from time to time, and as delivered or made available to Executive (each, a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57"/>
        <w:spacing w:after="0" w:line="254" w:lineRule="auto"/>
        <w:tabs>
          <w:tab w:leader="none" w:pos="1158"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Principal Location</w:t>
      </w:r>
      <w:r>
        <w:rPr>
          <w:rFonts w:ascii="Times New Roman" w:cs="Times New Roman" w:eastAsia="Times New Roman" w:hAnsi="Times New Roman"/>
          <w:sz w:val="20"/>
          <w:szCs w:val="20"/>
          <w:color w:val="auto"/>
        </w:rPr>
        <w:t xml:space="preserve">. During the Term, Executive shall perform the services required by this Agreement remotely from his residence in Wilton, Connecticut,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Parties acknowledge and agree that Executive may be required to travel to other locations as may be necessary to fulfill Executive’s duties and responsibilities hereunder.</w:t>
      </w:r>
    </w:p>
    <w:p>
      <w:pPr>
        <w:spacing w:after="0" w:line="183"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66" w:lineRule="auto"/>
        <w:tabs>
          <w:tab w:leader="none" w:pos="1018" w:val="left"/>
        </w:tabs>
        <w:numPr>
          <w:ilvl w:val="1"/>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Base Salary</w:t>
      </w:r>
      <w:r>
        <w:rPr>
          <w:rFonts w:ascii="Times New Roman" w:cs="Times New Roman" w:eastAsia="Times New Roman" w:hAnsi="Times New Roman"/>
          <w:sz w:val="19"/>
          <w:szCs w:val="19"/>
          <w:color w:val="auto"/>
        </w:rPr>
        <w:t>. During the Term, Executive shall receive a base salary at a rate initially of $461,523 per annum, which shall be paid in accordance with the customary payroll practices of the Company and shall be pro-rated for partial years of employment. Such annual base salary shall be reviewed (and may be adjusted for increase, but not decrease) from time to time (such annual base salary, as it may be adjusted from time to time, the “</w:t>
      </w:r>
      <w:r>
        <w:rPr>
          <w:rFonts w:ascii="Times New Roman" w:cs="Times New Roman" w:eastAsia="Times New Roman" w:hAnsi="Times New Roman"/>
          <w:sz w:val="19"/>
          <w:szCs w:val="19"/>
          <w:b w:val="1"/>
          <w:bCs w:val="1"/>
          <w:i w:val="1"/>
          <w:iCs w:val="1"/>
          <w:color w:val="auto"/>
        </w:rPr>
        <w:t>Annual Base Salary</w:t>
      </w:r>
      <w:r>
        <w:rPr>
          <w:rFonts w:ascii="Times New Roman" w:cs="Times New Roman" w:eastAsia="Times New Roman" w:hAnsi="Times New Roman"/>
          <w:sz w:val="19"/>
          <w:szCs w:val="19"/>
          <w:color w:val="auto"/>
        </w:rPr>
        <w:t>”) by the Board or its compensation committee (“</w:t>
      </w:r>
      <w:r>
        <w:rPr>
          <w:rFonts w:ascii="Times New Roman" w:cs="Times New Roman" w:eastAsia="Times New Roman" w:hAnsi="Times New Roman"/>
          <w:sz w:val="19"/>
          <w:szCs w:val="19"/>
          <w:b w:val="1"/>
          <w:bCs w:val="1"/>
          <w:i w:val="1"/>
          <w:iCs w:val="1"/>
          <w:color w:val="auto"/>
        </w:rPr>
        <w:t>Compensation Committee</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firstLine="757"/>
        <w:spacing w:after="0" w:line="242" w:lineRule="auto"/>
        <w:tabs>
          <w:tab w:leader="none" w:pos="1018"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Bonus Opportunity</w:t>
      </w:r>
      <w:r>
        <w:rPr>
          <w:rFonts w:ascii="Times New Roman" w:cs="Times New Roman" w:eastAsia="Times New Roman" w:hAnsi="Times New Roman"/>
          <w:sz w:val="20"/>
          <w:szCs w:val="20"/>
          <w:color w:val="auto"/>
        </w:rPr>
        <w:t>. During the Term, Executive will be eligible to participate in an annual incentive program established by the Board or Compensation Committee with target level annual incentive compensation opportunities as may be determined by the Board or Compensation Committee from time to time, but with an annual “target level” incentive bonus opportunity (the “</w:t>
      </w:r>
      <w:r>
        <w:rPr>
          <w:rFonts w:ascii="Times New Roman" w:cs="Times New Roman" w:eastAsia="Times New Roman" w:hAnsi="Times New Roman"/>
          <w:sz w:val="20"/>
          <w:szCs w:val="20"/>
          <w:b w:val="1"/>
          <w:bCs w:val="1"/>
          <w:i w:val="1"/>
          <w:iCs w:val="1"/>
          <w:color w:val="auto"/>
        </w:rPr>
        <w:t>Target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Bonus</w:t>
      </w:r>
      <w:r>
        <w:rPr>
          <w:rFonts w:ascii="Times New Roman" w:cs="Times New Roman" w:eastAsia="Times New Roman" w:hAnsi="Times New Roman"/>
          <w:sz w:val="20"/>
          <w:szCs w:val="20"/>
          <w:color w:val="auto"/>
        </w:rPr>
        <w:t>”) of 45% of the Annual Base Salary. The annual bonus payable under the incentive program (“</w:t>
      </w:r>
      <w:r>
        <w:rPr>
          <w:rFonts w:ascii="Times New Roman" w:cs="Times New Roman" w:eastAsia="Times New Roman" w:hAnsi="Times New Roman"/>
          <w:sz w:val="20"/>
          <w:szCs w:val="20"/>
          <w:b w:val="1"/>
          <w:bCs w:val="1"/>
          <w:i w:val="1"/>
          <w:iCs w:val="1"/>
          <w:color w:val="auto"/>
        </w:rPr>
        <w:t>Annual Bonus</w:t>
      </w:r>
      <w:r>
        <w:rPr>
          <w:rFonts w:ascii="Times New Roman" w:cs="Times New Roman" w:eastAsia="Times New Roman" w:hAnsi="Times New Roman"/>
          <w:sz w:val="20"/>
          <w:szCs w:val="20"/>
          <w:color w:val="auto"/>
        </w:rPr>
        <w:t>”) shall be based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achievement of performance goals or such other criteria as may be determined by the Board or Compensation Committee. The payment of any Annual Bonus pursuant to the incentive program shall be subject to Executive’s continued employment with the Company through the date of payment, except as otherwise provided in Section 4. The Annual Bonus shall be paid to Executive when paid generally to other senior executives of the Company, but in any event, to the extent determinable as of such time, not later than March 15 of the year immediately following the applicable year for which such Annual Bonus is being paid. The Executive’s annual Bonus for 2024 shall be pro-rated to reflect the portion of such year following the effective date of the Prior Agreement.</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 During the Term, Executive will be eligible to participate and receive awards under the Company’s equity plans as in effect from time to time. Under the Prior Agreement, the Compensation Committee of the Board approved a grant of stock options to purchase 100,000 shares of the Company’s common stock (the “</w:t>
      </w:r>
      <w:r>
        <w:rPr>
          <w:rFonts w:ascii="Times New Roman" w:cs="Times New Roman" w:eastAsia="Times New Roman" w:hAnsi="Times New Roman"/>
          <w:sz w:val="20"/>
          <w:szCs w:val="20"/>
          <w:b w:val="1"/>
          <w:bCs w:val="1"/>
          <w:i w:val="1"/>
          <w:iCs w:val="1"/>
          <w:color w:val="auto"/>
        </w:rPr>
        <w:t>Initial Option</w:t>
      </w:r>
      <w:r>
        <w:rPr>
          <w:rFonts w:ascii="Times New Roman" w:cs="Times New Roman" w:eastAsia="Times New Roman" w:hAnsi="Times New Roman"/>
          <w:sz w:val="20"/>
          <w:szCs w:val="20"/>
          <w:color w:val="auto"/>
        </w:rPr>
        <w:t>”). The Initial Option was granted in accordance with the Company’s 2024 Incentive Award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related stock option documents. The Initial Option has an exercise price per share equal to the fair market value of the Company’s common stock on the grant date. Subject to Executive’s continued employment with the Company, the Initial Option will vest over a four (4) year period starting on the first day of the calendar month following the calendar month in which the effective date of the Prior Agreement occurs (the “</w:t>
      </w:r>
      <w:r>
        <w:rPr>
          <w:rFonts w:ascii="Times New Roman" w:cs="Times New Roman" w:eastAsia="Times New Roman" w:hAnsi="Times New Roman"/>
          <w:sz w:val="20"/>
          <w:szCs w:val="20"/>
          <w:b w:val="1"/>
          <w:bCs w:val="1"/>
          <w:i w:val="1"/>
          <w:iCs w:val="1"/>
          <w:color w:val="auto"/>
        </w:rPr>
        <w:t>Vesting Commencement Date</w:t>
      </w:r>
      <w:r>
        <w:rPr>
          <w:rFonts w:ascii="Times New Roman" w:cs="Times New Roman" w:eastAsia="Times New Roman" w:hAnsi="Times New Roman"/>
          <w:sz w:val="20"/>
          <w:szCs w:val="20"/>
          <w:color w:val="auto"/>
        </w:rPr>
        <w:t>”), with 25% of the shares vesting on the date that is twelve (12) months after the Vesting Commencement Date and the remainder vesting in thirty-six (36) equal monthly installments over the subsequent three (3) year period.</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During the Term,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including any medical, life, hospitalization, dental, disability, accidental death and dismemberment and travel accident insurance plans and programs on the same terms and conditions as those applicable to similarly situated senior executives.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5" w:name="page256"/>
    <w:bookmarkEnd w:id="255"/>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during the Term, Executive shall be eligible to participate in any retirement, savings and other employee benefit plans and programs maintained from time to time by the Company for the benefit of its senior executive officers. Nothing contained in this Section 2(d)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185" w:lineRule="exact"/>
        <w:rPr>
          <w:sz w:val="20"/>
          <w:szCs w:val="20"/>
          <w:color w:val="auto"/>
        </w:rPr>
      </w:pPr>
    </w:p>
    <w:p>
      <w:pPr>
        <w:jc w:val="both"/>
        <w:ind w:firstLine="757"/>
        <w:spacing w:after="0" w:line="249"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 or Paid Time Off</w:t>
      </w:r>
      <w:r>
        <w:rPr>
          <w:rFonts w:ascii="Times New Roman" w:cs="Times New Roman" w:eastAsia="Times New Roman" w:hAnsi="Times New Roman"/>
          <w:sz w:val="20"/>
          <w:szCs w:val="20"/>
          <w:color w:val="auto"/>
        </w:rPr>
        <w:t>. During the Term, Executive shall be entitled to paid personal leave in accordance with the Company’s Policies applicable to similarly situated executives. Any vacation or paid time off shall be taken for the reasonable convenience of Executive. Through the Company’s paid time-off policies Executive will receive paid sick leave as required by state and any applicable local laws.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Travel and Expense Reimbursement Policy.</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and D&amp;O Insurance</w:t>
      </w:r>
      <w:r>
        <w:rPr>
          <w:rFonts w:ascii="Times New Roman" w:cs="Times New Roman" w:eastAsia="Times New Roman" w:hAnsi="Times New Roman"/>
          <w:sz w:val="20"/>
          <w:szCs w:val="20"/>
          <w:color w:val="auto"/>
        </w:rPr>
        <w:t>. The Company shall indemnify Executive (and advance expenses to Executive) to the greatest extent permitted by applicable state law and shall provide Executive with coverage under a directors’ and officers’ liability insurance policy to the same extent provided to other senior executives and directors of the Company.</w:t>
      </w:r>
    </w:p>
    <w:p>
      <w:pPr>
        <w:spacing w:after="0" w:line="184" w:lineRule="exact"/>
        <w:rPr>
          <w:sz w:val="20"/>
          <w:szCs w:val="20"/>
          <w:color w:val="auto"/>
        </w:rPr>
      </w:pPr>
    </w:p>
    <w:p>
      <w:pPr>
        <w:ind w:left="520" w:hanging="512"/>
        <w:spacing w:after="0"/>
        <w:tabs>
          <w:tab w:leader="none" w:pos="520"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 of Employment</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9" w:lineRule="exact"/>
        <w:rPr>
          <w:sz w:val="20"/>
          <w:szCs w:val="20"/>
          <w:color w:val="auto"/>
        </w:rPr>
      </w:pPr>
    </w:p>
    <w:p>
      <w:pPr>
        <w:ind w:left="1020" w:hanging="263"/>
        <w:spacing w:after="0"/>
        <w:tabs>
          <w:tab w:leader="none" w:pos="10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If Executive has incurred a Disability (as defined below), the Company may terminate Executive’s</w:t>
      </w:r>
    </w:p>
    <w:p>
      <w:pPr>
        <w:spacing w:after="0" w:line="2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w:t>
      </w:r>
    </w:p>
    <w:p>
      <w:pPr>
        <w:spacing w:after="0" w:line="18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215"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with Good Reason (as defined below).</w:t>
      </w:r>
    </w:p>
    <w:p>
      <w:pPr>
        <w:spacing w:after="0" w:line="151"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for any reason other than Good Reason or for no reason.</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6" w:name="page257"/>
    <w:bookmarkEnd w:id="256"/>
    <w:p>
      <w:pPr>
        <w:jc w:val="both"/>
        <w:ind w:firstLine="757"/>
        <w:spacing w:after="0" w:line="242" w:lineRule="auto"/>
        <w:tabs>
          <w:tab w:leader="none" w:pos="1018"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 w:cs="Times New Roman" w:eastAsia="Times New Roman" w:hAnsi="Times New Roman"/>
          <w:sz w:val="20"/>
          <w:szCs w:val="20"/>
          <w:b w:val="1"/>
          <w:bCs w:val="1"/>
          <w:i w:val="1"/>
          <w:iCs w:val="1"/>
          <w:color w:val="auto"/>
        </w:rPr>
        <w:t>Notice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Termination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Executive delivers a Notice of Termination to the Company, the Company may,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87" w:lineRule="exact"/>
        <w:rPr>
          <w:rFonts w:ascii="Times New Roman" w:cs="Times New Roman" w:eastAsia="Times New Roman" w:hAnsi="Times New Roman"/>
          <w:sz w:val="20"/>
          <w:szCs w:val="20"/>
          <w:color w:val="auto"/>
        </w:rPr>
      </w:pPr>
    </w:p>
    <w:p>
      <w:pPr>
        <w:jc w:val="both"/>
        <w:ind w:firstLine="757"/>
        <w:spacing w:after="0" w:line="264" w:lineRule="auto"/>
        <w:tabs>
          <w:tab w:leader="none" w:pos="1018" w:val="left"/>
        </w:tabs>
        <w:numPr>
          <w:ilvl w:val="1"/>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Obligations upon Termination</w:t>
      </w:r>
      <w:r>
        <w:rPr>
          <w:rFonts w:ascii="Times New Roman" w:cs="Times New Roman" w:eastAsia="Times New Roman" w:hAnsi="Times New Roman"/>
          <w:sz w:val="19"/>
          <w:szCs w:val="19"/>
          <w:color w:val="auto"/>
        </w:rPr>
        <w:t xml:space="preserve">. Upon termination of Executive’s employment pursuant to any of the circumstances listed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Executive (or Executive’s estate, if applicable) shall be entitled to receive the following (the “</w:t>
      </w:r>
      <w:r>
        <w:rPr>
          <w:rFonts w:ascii="Times New Roman" w:cs="Times New Roman" w:eastAsia="Times New Roman" w:hAnsi="Times New Roman"/>
          <w:sz w:val="19"/>
          <w:szCs w:val="19"/>
          <w:b w:val="1"/>
          <w:bCs w:val="1"/>
          <w:i w:val="1"/>
          <w:iCs w:val="1"/>
          <w:color w:val="auto"/>
        </w:rPr>
        <w:t>Accrued Obligations</w:t>
      </w:r>
      <w:r>
        <w:rPr>
          <w:rFonts w:ascii="Times New Roman" w:cs="Times New Roman" w:eastAsia="Times New Roman" w:hAnsi="Times New Roman"/>
          <w:sz w:val="19"/>
          <w:szCs w:val="19"/>
          <w:color w:val="auto"/>
        </w:rPr>
        <w:t>”):</w:t>
      </w:r>
    </w:p>
    <w:p>
      <w:pPr>
        <w:jc w:val="both"/>
        <w:ind w:firstLine="8"/>
        <w:spacing w:after="0"/>
        <w:tabs>
          <w:tab w:leader="none" w:pos="257"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Executive’s Annual Base Salary earned through the Date of Termination, but not yet paid to Executive (payable on the Company’s next payroll date or such earlier date as required by applicable law); (ii) any expense reimbursements owed to Executive pursuant to Section 2(f), payable pursuant to the applicable policy;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0"/>
          <w:szCs w:val="20"/>
          <w:b w:val="1"/>
          <w:bCs w:val="1"/>
          <w:i w:val="1"/>
          <w:iCs w:val="1"/>
          <w:color w:val="auto"/>
        </w:rPr>
        <w:t>Company Arrangements</w:t>
      </w:r>
      <w:r>
        <w:rPr>
          <w:rFonts w:ascii="Times New Roman" w:cs="Times New Roman" w:eastAsia="Times New Roman" w:hAnsi="Times New Roman"/>
          <w:sz w:val="20"/>
          <w:szCs w:val="20"/>
          <w:color w:val="auto"/>
        </w:rPr>
        <w:t>”). Except as otherwise expressly required by law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COBRA) or applicable Company Arrangement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for severance benefits shall be to receive the payments and benefits described in this Section 3(c) or Section 4, as applicable.</w:t>
      </w:r>
    </w:p>
    <w:p>
      <w:pPr>
        <w:spacing w:after="0" w:line="18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5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Upon termination of Executive’s employment for any reason, unless otherwise specified in a written agreement between Executive and the Company, Executive agrees to return to the Company all documents of the Company and its affiliates (and all copies thereof) and all other Company or Company affiliate property that Executive has in his possession, custody, or control. Such property includes, without limitation: (i) any materials of any kind that Executive knows contain or embody any proprietary or confidential information of the Company or an affiliate of the Company (and all reproductions thereof), (ii) computers (including, but not limited to, laptop computers, desktop computers and similar devices) and other portable electronic devices (including, but not limited to, tablet computers), cellular phones/smartphones, credit cards, phone cards, entry cards, identification badges and keys, and (iii) any correspondence, drawings, manuals, letters, notes, notebooks, reports, programs, plans, proposals, financial documents, or any other documents concerning the customers, business plans, marketing</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7" w:name="page258"/>
    <w:bookmarkEnd w:id="257"/>
    <w:p>
      <w:pPr>
        <w:spacing w:after="0" w:line="269" w:lineRule="auto"/>
        <w:rPr>
          <w:sz w:val="20"/>
          <w:szCs w:val="20"/>
          <w:color w:val="auto"/>
        </w:rPr>
      </w:pPr>
      <w:r>
        <w:rPr>
          <w:rFonts w:ascii="Times New Roman" w:cs="Times New Roman" w:eastAsia="Times New Roman" w:hAnsi="Times New Roman"/>
          <w:sz w:val="20"/>
          <w:szCs w:val="20"/>
          <w:color w:val="auto"/>
        </w:rPr>
        <w:t>strategies, products and/or processes of the Company or any of its affiliates and any information received from the Company or any of its affiliates regarding third parties.</w:t>
      </w:r>
    </w:p>
    <w:p>
      <w:pPr>
        <w:spacing w:after="0" w:line="169" w:lineRule="exact"/>
        <w:rPr>
          <w:sz w:val="20"/>
          <w:szCs w:val="20"/>
          <w:color w:val="auto"/>
        </w:rPr>
      </w:pPr>
    </w:p>
    <w:p>
      <w:pPr>
        <w:ind w:left="520" w:hanging="512"/>
        <w:spacing w:after="0"/>
        <w:tabs>
          <w:tab w:leader="none" w:pos="520"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Resignation from the Company Without Good Reason or Resignation from the Company for Good Reason Prior to a Change in Control or More Than Eighteen (18) Months Following a Change in Control</w:t>
      </w:r>
      <w:r>
        <w:rPr>
          <w:rFonts w:ascii="Times New Roman" w:cs="Times New Roman" w:eastAsia="Times New Roman" w:hAnsi="Times New Roman"/>
          <w:sz w:val="20"/>
          <w:szCs w:val="20"/>
          <w:color w:val="auto"/>
        </w:rPr>
        <w:t>. If Executive’s employment shall terminate as a result of Executive’s death pursuant to Section 3(a)(i) or Disability pursuant to Section 3(a)(ii), pursuant to Section 3(a)(iii) for Cause, pursuant to Section 3(a)(vi) for Executive’s resignation from the Company without Good Reason, or pursuant to Section 3(a)(v) for Executive’s resignation from the Company with Good Reason (if such resignation for Good Reason occurs prior to a Change in Control or more than eighteen (18) months following a Change in Control), then Executive shall not be entitled to any severance payments or benefits, except for the Accrued Obligations as provided in Section 3(c).</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Prior to a Change in Control or More Than Eighteen (18) Months Following a Change in Control</w:t>
      </w:r>
      <w:r>
        <w:rPr>
          <w:rFonts w:ascii="Times New Roman" w:cs="Times New Roman" w:eastAsia="Times New Roman" w:hAnsi="Times New Roman"/>
          <w:sz w:val="20"/>
          <w:szCs w:val="20"/>
          <w:color w:val="auto"/>
        </w:rPr>
        <w:t>. If Executive’s employment terminates without Cause pursuant to Section 3(a)(iv), and such termination without Cause occurs prior to a Change in Control or more than eighteen (18) months following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2"/>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Executive’s Annual Base Salary as in effect immediately prior to the Date of Termination, payable in a lump sum on the first regular payroll date following the effective date of Executive’s Release (as defined below);</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2"/>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prorated to reflect the portion of the year in which the Date of Termination occurs that has elapsed prior to the Date of Termination, payable in a lump sum on the first regular payroll date following the effective date of Executive’s Release (but in no event later than March 15 of the calendar year following the year in which Executive’s Date of Termination occurs);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2048" w:val="left"/>
        </w:tabs>
        <w:numPr>
          <w:ilvl w:val="2"/>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then the Company shall directly pay, or reimburse Executive for, the COBRA premiums for Executive and Executive’s covered dependents under such plans during the period commencing on Executive’s Separation from Service and ending upon the earliest of (A) the last day of the twelve (12)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0"/>
          <w:szCs w:val="20"/>
          <w:b w:val="1"/>
          <w:bCs w:val="1"/>
          <w:i w:val="1"/>
          <w:iCs w:val="1"/>
          <w:color w:val="auto"/>
        </w:rPr>
        <w:t>COBRA Continuation Period</w:t>
      </w:r>
      <w:r>
        <w:rPr>
          <w:rFonts w:ascii="Times New Roman" w:cs="Times New Roman" w:eastAsia="Times New Roman" w:hAnsi="Times New Roman"/>
          <w:sz w:val="20"/>
          <w:szCs w:val="20"/>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8" w:name="page259"/>
    <w:bookmarkEnd w:id="258"/>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COBRA Continuation Period; and</w:t>
      </w:r>
    </w:p>
    <w:p>
      <w:pPr>
        <w:spacing w:after="0" w:line="180" w:lineRule="exact"/>
        <w:rPr>
          <w:sz w:val="20"/>
          <w:szCs w:val="20"/>
          <w:color w:val="auto"/>
        </w:rPr>
      </w:pPr>
    </w:p>
    <w:p>
      <w:pPr>
        <w:jc w:val="both"/>
        <w:ind w:left="760" w:firstLine="745"/>
        <w:spacing w:after="0" w:line="243" w:lineRule="auto"/>
        <w:tabs>
          <w:tab w:leader="none" w:pos="2109"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number of the outstanding, unvested Company equity awards held by Executive under any Company equity compensation plans as would have vested during the twelve (12) months following the date of Executive’s Separation from Service had Executive continued in employment or service with the Company during such period shall immediately become vested on the effectiveness of the Release;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performance-based equity award will remain subject to attainment of the relevant performance goals during such twelve (12) months following the date of Executive’s Separation from Service unless a more favorable or alternative provision is contained in an applicable award agreement, and to the extent such performance goals are not attained prior to such deadline, such performance-based equity awards shall not vest pursuant to this clause (iv) and shall be forfeited.</w:t>
      </w:r>
    </w:p>
    <w:p>
      <w:pPr>
        <w:spacing w:after="0" w:line="18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lieu of the payments and benefits set forth in Section 4(b), in the event Executive’s employment terminates without Cause pursuant to Section 3(a)(iv), or pursuant to Section 3(a)(v) due to Executive’s resignation with Good Reason, in either case, on or within eighteen (18) months following the date of a Change in Control, then subject to Sections 3(e), 4(d) and 9(k), and Executive’s continued compliance with the terms of this Agreement (including, without limitation, Section 5), the Company shall pay Executive, in addition to the Accrued Obligations set forth in Section 3(c), the following:</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1.5 times Executive’s Annual Base Salary as in effect immediately prior to the Date of Termination (and without regard to any reduction in Annual Base Salary that resulted in Executive’s resignation with Good Reason), payable in a lump sum on the first regular payroll date following the effective date of Executive’s Release;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in cash equal to the Target Bonus (and without regard to any reduction in the Target Bonus that resulted in Executive’s resignation with Good Reason), payable in a lump sum on the first regular payroll date following the effective date of Executive’s Release (but in no event later than March 15 of the calendar year following the year in which Executive’s Date of Termination occurs);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2048"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timely elects to receive continued medical, dental or vision coverage under one or more of the Company’s group medical, dental or vision plans pursuant to COBRA, then the Company shall directly pay, or reimburse Executive for, the COBRA premiums for Executive and Executive’s covered dependents under such plans during the period commencing on Executive’s Separation from Service and ending upon the earliest of (A) the last day of the eighteen (18) month period following the Date of Termination, (B) the date that Executive and/or Executive’s covered dependents become no longer eligible for COBRA or (C) the date Executive becomes eligible to receive medical, dental or vision coverage, as applicable, from a subsequent employer (and Executive agrees to promptly notify the Company of such eligibility) (the “</w:t>
      </w:r>
      <w:r>
        <w:rPr>
          <w:rFonts w:ascii="Times New Roman" w:cs="Times New Roman" w:eastAsia="Times New Roman" w:hAnsi="Times New Roman"/>
          <w:sz w:val="20"/>
          <w:szCs w:val="20"/>
          <w:b w:val="1"/>
          <w:bCs w:val="1"/>
          <w:i w:val="1"/>
          <w:iCs w:val="1"/>
          <w:color w:val="auto"/>
        </w:rPr>
        <w:t>CIC COBRA Continuation Period</w:t>
      </w:r>
      <w:r>
        <w:rPr>
          <w:rFonts w:ascii="Times New Roman" w:cs="Times New Roman" w:eastAsia="Times New Roman" w:hAnsi="Times New Roman"/>
          <w:sz w:val="20"/>
          <w:szCs w:val="20"/>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9" w:name="page260"/>
    <w:bookmarkEnd w:id="259"/>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covered dependents based on the cost sharing levels in effect on the Date of Termination, which payments shall for the remainder of the CIC COBRA Continuation Period; and</w:t>
      </w:r>
    </w:p>
    <w:p>
      <w:pPr>
        <w:spacing w:after="0" w:line="185" w:lineRule="exact"/>
        <w:rPr>
          <w:sz w:val="20"/>
          <w:szCs w:val="20"/>
          <w:color w:val="auto"/>
        </w:rPr>
      </w:pPr>
    </w:p>
    <w:p>
      <w:pPr>
        <w:jc w:val="both"/>
        <w:ind w:left="760" w:firstLine="745"/>
        <w:spacing w:after="0" w:line="245" w:lineRule="auto"/>
        <w:tabs>
          <w:tab w:leader="none" w:pos="2048" w:val="left"/>
        </w:tabs>
        <w:numPr>
          <w:ilvl w:val="2"/>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outstanding, unvested Company equity awards held by Executive under any Company equity compensation plans shall immediately become 100% vested on the effectiveness of the Release,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performance-based equity award will remain subject to attainment of the relevant performance goals on or prior to the deadline for attainment of such goals as set forth in the applicable award agreement unless a more favorable or alternative provision is contained in an applicable award agreement, and to the extent such performance goals are not attained prior to such deadline, such performance-based equity awards shall not vest pursuant to this clause (iv) and shall be forfeited.</w:t>
      </w:r>
    </w:p>
    <w:p>
      <w:pPr>
        <w:spacing w:after="0" w:line="184" w:lineRule="exact"/>
        <w:rPr>
          <w:rFonts w:ascii="Times New Roman" w:cs="Times New Roman" w:eastAsia="Times New Roman" w:hAnsi="Times New Roman"/>
          <w:sz w:val="20"/>
          <w:szCs w:val="20"/>
          <w:color w:val="auto"/>
        </w:rPr>
      </w:pPr>
    </w:p>
    <w:p>
      <w:pPr>
        <w:jc w:val="both"/>
        <w:ind w:firstLine="757"/>
        <w:spacing w:after="0" w:line="260" w:lineRule="auto"/>
        <w:tabs>
          <w:tab w:leader="none" w:pos="1018" w:val="left"/>
        </w:tabs>
        <w:numPr>
          <w:ilvl w:val="1"/>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xml:space="preserve">. Notwithstanding the foregoing, it shall be a condition to the Executive’s right to receive the amounts provided for in Sections 4(b) and 4(c) hereof that the Executive execute and deliver to the Company an effective release of claims in substantially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within twenty-one (21) days (or, to the extent required by law, forty-five (45) days) following the Date of Termination and that the Executive not revoke such Release during any applicable revocation period. For the avoidance of doubt, all equity awards eligible for accelerated vesting pursuant to this Section 4 shall remain outstanding and eligible to vest following the Date of Termination and shall actually vest and become exercisable (if applicable) and non-forfeitable upon the effectiveness of the Release.</w:t>
      </w:r>
    </w:p>
    <w:p>
      <w:pPr>
        <w:spacing w:after="0" w:line="172" w:lineRule="exact"/>
        <w:rPr>
          <w:rFonts w:ascii="Times New Roman" w:cs="Times New Roman" w:eastAsia="Times New Roman" w:hAnsi="Times New Roman"/>
          <w:sz w:val="19"/>
          <w:szCs w:val="19"/>
          <w:color w:val="auto"/>
        </w:rPr>
      </w:pPr>
    </w:p>
    <w:p>
      <w:pPr>
        <w:jc w:val="both"/>
        <w:ind w:firstLine="757"/>
        <w:spacing w:after="0" w:line="244" w:lineRule="auto"/>
        <w:tabs>
          <w:tab w:leader="none" w:pos="1158"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In the event of a termination of Executive’s employment with the Company, Executive’s sole remedy shall be to receive the payments and benefits described in this Section 4. In addition, Executive acknowledges and agrees that 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state statute.</w:t>
      </w:r>
    </w:p>
    <w:p>
      <w:pPr>
        <w:spacing w:after="0" w:line="195"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9" w:lineRule="auto"/>
        <w:tabs>
          <w:tab w:leader="none" w:pos="1018"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his commencement of employment, Executive shall enter into the Company’s standard form of agreement containing confidentiality, intellectual property assignment and other protective covenants (the “</w:t>
      </w:r>
      <w:r>
        <w:rPr>
          <w:rFonts w:ascii="Times New Roman" w:cs="Times New Roman" w:eastAsia="Times New Roman" w:hAnsi="Times New Roman"/>
          <w:sz w:val="20"/>
          <w:szCs w:val="20"/>
          <w:b w:val="1"/>
          <w:bCs w:val="1"/>
          <w:i w:val="1"/>
          <w:iCs w:val="1"/>
          <w:color w:val="auto"/>
        </w:rPr>
        <w:t>Restrictive Covenant Agreement</w:t>
      </w:r>
      <w:r>
        <w:rPr>
          <w:rFonts w:ascii="Times New Roman" w:cs="Times New Roman" w:eastAsia="Times New Roman" w:hAnsi="Times New Roman"/>
          <w:sz w:val="20"/>
          <w:szCs w:val="20"/>
          <w:color w:val="auto"/>
        </w:rPr>
        <w:t xml:space="preserve">”), which is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Executive shall be bound by the terms and conditions of the Restrictive Covenant Agreement, and hereby agrees that such agreement shall be additional to, and not in limitation of, the covenants contained in this Section 5.</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0" w:name="page261"/>
    <w:bookmarkEnd w:id="260"/>
    <w:p>
      <w:pPr>
        <w:jc w:val="both"/>
        <w:ind w:firstLine="757"/>
        <w:spacing w:after="0" w:line="243" w:lineRule="auto"/>
        <w:tabs>
          <w:tab w:leader="none" w:pos="101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shall hold in a fiduciary capacity for the benefit of the Company all secret or confidential information, knowledge or data relating to the Company and its subsidiaries and affiliates, which shall have been obtained by Executive in connection with Executive’s employment by the Company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designated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Executive receives actual notice that Executive is or may be required by law or legal process to communicate or divulge any such information, knowledge or data, Executive shall promptly so notify the Company.</w:t>
      </w:r>
    </w:p>
    <w:p>
      <w:pPr>
        <w:spacing w:after="0" w:line="18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employed by the Company, Executive shall not be engaged in any other business activity that would be competitive with the business of the Company and its subsidiaries or affiliates. In addition, while employed by the Company and for a period of twelve (12) months after the Date of Termination, Executive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Executive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w:t>
      </w:r>
    </w:p>
    <w:p>
      <w:pPr>
        <w:spacing w:after="0" w:line="18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5(f), during Executive’s service with the Company and thereafter, excepting any litigation between the Parties, (i) Executive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 and (ii) the Company agrees to instruct its directors and executive officers not to publish or disseminate, directly or indirectly, any statements, whether written or oral, that are or could be harmful to or reflect negatively on Executive’s personal or business reputation or business.</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recognition of the fact that irreparable injury will result to the Company in the event of a breach by Executive of his obligations under Sections 5(a)-(d) hereof, that monetary damages for such breach would not be readily calculable, and that the Company would not have an adequate remedy at law therefor, Executive acknowledges, consents and agrees that in the event of such breach, or the threat thereof, the Company shall be entitled, in addition to any other legal remedies and damages available, to specific performance thereof and to temporary and permanent injunctive relief (without the necessity of posting a bond) to restrain the violation or threatened violation of such obligations by Executive and to cease the payment of any benefits under Section 4(b) or (c) above.</w:t>
      </w:r>
    </w:p>
    <w:p>
      <w:pPr>
        <w:spacing w:after="0" w:line="18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the Restrictive Covenant Agreement to the contrary, nothing contained in this Agreement shall prohibit either party (or either party’s attorney(s))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the Occupational Safety and Health Administration, the U.S. Commodity Futures Trading Commission, the U.S. Department of Justice or any</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1" w:name="page262"/>
    <w:bookmarkEnd w:id="261"/>
    <w:p>
      <w:pPr>
        <w:jc w:val="both"/>
        <w:spacing w:after="0" w:line="241" w:lineRule="auto"/>
        <w:rPr>
          <w:sz w:val="20"/>
          <w:szCs w:val="20"/>
          <w:color w:val="auto"/>
        </w:rPr>
      </w:pPr>
      <w:r>
        <w:rPr>
          <w:rFonts w:ascii="Times New Roman" w:cs="Times New Roman" w:eastAsia="Times New Roman" w:hAnsi="Times New Roman"/>
          <w:sz w:val="20"/>
          <w:szCs w:val="20"/>
          <w:color w:val="auto"/>
        </w:rPr>
        <w:t>other securities regulatory agency, self-regulatory authority or federal, state or local regulatory authority (collectively, “</w:t>
      </w:r>
      <w:r>
        <w:rPr>
          <w:rFonts w:ascii="Times New Roman" w:cs="Times New Roman" w:eastAsia="Times New Roman" w:hAnsi="Times New Roman"/>
          <w:sz w:val="20"/>
          <w:szCs w:val="20"/>
          <w:b w:val="1"/>
          <w:bCs w:val="1"/>
          <w:i w:val="1"/>
          <w:iCs w:val="1"/>
          <w:color w:val="auto"/>
        </w:rPr>
        <w:t>Government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Agencies</w:t>
      </w:r>
      <w:r>
        <w:rPr>
          <w:rFonts w:ascii="Times New Roman" w:cs="Times New Roman" w:eastAsia="Times New Roman" w:hAnsi="Times New Roman"/>
          <w:sz w:val="20"/>
          <w:szCs w:val="20"/>
          <w:color w:val="auto"/>
        </w:rPr>
        <w:t>”), or making other disclosures that are protected under the whistleblower provisions of applicable law or regulation, (ii)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 request of the anticipated testimony. Further, nothing in this Agreement prevents Executive from discussing or disclosing information about unlawful acts in the workplace, such as harassment or discrimination or any other conduct that Executive has reason to believe is unlawful.</w:t>
      </w:r>
    </w:p>
    <w:p>
      <w:pPr>
        <w:spacing w:after="0" w:line="207" w:lineRule="exact"/>
        <w:rPr>
          <w:sz w:val="20"/>
          <w:szCs w:val="20"/>
          <w:color w:val="auto"/>
        </w:rPr>
      </w:pPr>
    </w:p>
    <w:p>
      <w:pPr>
        <w:ind w:left="520" w:hanging="512"/>
        <w:spacing w:after="0"/>
        <w:tabs>
          <w:tab w:leader="none" w:pos="520" w:val="left"/>
        </w:tabs>
        <w:numPr>
          <w:ilvl w:val="0"/>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The Company may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82" w:lineRule="exact"/>
        <w:rPr>
          <w:sz w:val="20"/>
          <w:szCs w:val="20"/>
          <w:color w:val="auto"/>
        </w:rPr>
      </w:pPr>
    </w:p>
    <w:p>
      <w:pPr>
        <w:ind w:left="520" w:hanging="512"/>
        <w:spacing w:after="0"/>
        <w:tabs>
          <w:tab w:leader="none" w:pos="520"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215" w:lineRule="exact"/>
        <w:rPr>
          <w:rFonts w:ascii="Times New Roman" w:cs="Times New Roman" w:eastAsia="Times New Roman" w:hAnsi="Times New Roman"/>
          <w:sz w:val="20"/>
          <w:szCs w:val="20"/>
          <w:color w:val="auto"/>
        </w:rPr>
      </w:pPr>
    </w:p>
    <w:p>
      <w:pPr>
        <w:jc w:val="both"/>
        <w:ind w:firstLine="799"/>
        <w:spacing w:after="0" w:line="249" w:lineRule="auto"/>
        <w:tabs>
          <w:tab w:leader="none" w:pos="1187"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failure by Executive to substantially perform Executive’s duties with the Company (other than any such failure resulting from incapacity due to physical or mental illness), after a written demand for substantial performance is delivered to Executive by the Company or an affiliate that specifically identifies the alleged manner in which Executive has not substantially performed Executive’s duties and after Executive has been provided with a thirty (30) day cure period, or Executive’s deliberate violation of a Company policy;</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2" w:name="page263"/>
    <w:bookmarkEnd w:id="262"/>
    <w:p>
      <w:pPr>
        <w:jc w:val="both"/>
        <w:ind w:firstLine="799"/>
        <w:spacing w:after="0" w:line="254" w:lineRule="auto"/>
        <w:tabs>
          <w:tab w:leader="none" w:pos="1187"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engaging by Executive in illegal conduct or misconduct (including fraud, embezzlement, theft or dishonesty or material violation of any Company policy), or gross negligence, in any case that has caused or is reasonably expected to result in injury to the Company or any affiliate;</w:t>
      </w:r>
    </w:p>
    <w:p>
      <w:pPr>
        <w:spacing w:after="0" w:line="18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or plea of no contest to, a felony or any misdemeanor crime involving fraud, moral turpitude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dishonesty;</w:t>
      </w:r>
    </w:p>
    <w:p>
      <w:pPr>
        <w:spacing w:after="0" w:line="207"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material breach of any written agreement or restrictive covenants with the Company; or</w:t>
      </w:r>
    </w:p>
    <w:p>
      <w:pPr>
        <w:spacing w:after="0" w:line="229" w:lineRule="exact"/>
        <w:rPr>
          <w:rFonts w:ascii="Times New Roman" w:cs="Times New Roman" w:eastAsia="Times New Roman" w:hAnsi="Times New Roman"/>
          <w:sz w:val="20"/>
          <w:szCs w:val="20"/>
          <w:color w:val="auto"/>
        </w:rPr>
      </w:pPr>
    </w:p>
    <w:p>
      <w:pPr>
        <w:jc w:val="both"/>
        <w:ind w:firstLine="799"/>
        <w:spacing w:after="0" w:line="246" w:lineRule="auto"/>
        <w:tabs>
          <w:tab w:leader="none" w:pos="1187"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violation of any law, rule or regulation relating in any way to the business or activities of the Company or any affiliate, or other law, rule or regulation that is violated, during the course of Executive’s performance of services hereunder that results in Executive’s regulatory suspension or disqualification, including, without limitation, the Generic Drug Enforcement Act of 1992, 21 U.S.C. § 335(a), or any similar legislation applicable in the United States or in any other country where the Company or any affiliate intends to develop its activities.</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 action or inaction based upon direction of the Board or advice of counsel to the Company shall constitute Cause. Poor performance shall not, in and of itself, constitute Cause. No termination of Executive’s employment for Cause shall occur absent a resolution of the Board and the reasonable opportunity for Executive (with Executive’s counsel) to be heard before the Board.</w:t>
      </w:r>
    </w:p>
    <w:p>
      <w:pPr>
        <w:spacing w:after="0" w:line="170" w:lineRule="exact"/>
        <w:rPr>
          <w:sz w:val="20"/>
          <w:szCs w:val="20"/>
          <w:color w:val="auto"/>
        </w:rPr>
      </w:pPr>
    </w:p>
    <w:p>
      <w:pPr>
        <w:ind w:left="1020" w:hanging="263"/>
        <w:spacing w:after="0"/>
        <w:tabs>
          <w:tab w:leader="none" w:pos="102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Company’s 2024 Incentive Award Plan.</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shall mean the Internal Revenue Code of 1986, as amended, and the regulations and guidance promulgated</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8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Date of Termination</w:t>
      </w:r>
      <w:r>
        <w:rPr>
          <w:rFonts w:ascii="Times New Roman" w:cs="Times New Roman" w:eastAsia="Times New Roman" w:hAnsi="Times New Roman"/>
          <w:sz w:val="20"/>
          <w:szCs w:val="20"/>
          <w:color w:val="auto"/>
        </w:rPr>
        <w:t>” shall mean (i) if Executive’s employment is terminated by Executive’s death, the date of Executive’s death; or (ii) if Executive’s employment is terminated pursuant to Sections 3(a)(ii)-(vi) either the date indicated in the Notice of Termination or the date specified by the Company pursuant to Section 3(b), whichever is earlier.</w:t>
      </w:r>
    </w:p>
    <w:p>
      <w:pPr>
        <w:spacing w:after="0" w:line="168"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xml:space="preserve">” shall mean, at any time the Company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reasonable accommodation, the essential functions of Executive’s positions hereunder for a total of one hundred eighty (180) days within a twelve (12) 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3" w:name="page264"/>
    <w:bookmarkEnd w:id="263"/>
    <w:p>
      <w:pPr>
        <w:jc w:val="both"/>
        <w:ind w:firstLine="757"/>
        <w:spacing w:after="0" w:line="242" w:lineRule="auto"/>
        <w:tabs>
          <w:tab w:leader="none" w:pos="1018"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sole purpose of determining Executive’s right to severance payments and benefits as described above, Executive’s resignation will be with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if Executive resigns within one hundred twenty (120) days after any of the following events, unless Executive expressly consents in writing to the applicable event: (i) a reduction in Executive’s Annual Base Salary or Target Bonus, other than a reduction of less than ten percent (10%) (aggregating all prior reductions) that is implemented in connection with a contemporaneous reduction in annual base salaries affecting other senior executives of the Company; (ii) a material decrease in Executive’s authority or areas of responsibility as are commensurate with Executive’s title or position with the Company; (iii) the relocation of Executive’s primary working location to a location that is more than fifty (50) miles from Executive’s home office in Wilton, Connecticut as of the Effective Date; or (iv) the Company’s breach of a material provision of this Agreement. Notwithstanding the foregoing, no Good Reason will have occurred unless and until: (a) Executive has provided the Company, within sixty (60) days of Executive’s knowledge of the occurrence of the facts and circumstances underlying the Good Reason event, written notice stating with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spacing w:after="0" w:line="196"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53" w:lineRule="auto"/>
        <w:tabs>
          <w:tab w:leader="none" w:pos="1145" w:val="left"/>
        </w:tabs>
        <w:numPr>
          <w:ilvl w:val="1"/>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Best Pay Provision</w:t>
      </w:r>
      <w:r>
        <w:rPr>
          <w:rFonts w:ascii="Times New Roman" w:cs="Times New Roman" w:eastAsia="Times New Roman" w:hAnsi="Times New Roman"/>
          <w:sz w:val="19"/>
          <w:szCs w:val="19"/>
          <w:color w:val="auto"/>
        </w:rPr>
        <w:t>. 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19"/>
          <w:szCs w:val="19"/>
          <w:b w:val="1"/>
          <w:bCs w:val="1"/>
          <w:i w:val="1"/>
          <w:iCs w:val="1"/>
          <w:color w:val="auto"/>
        </w:rPr>
        <w:t>Total Payments</w:t>
      </w:r>
      <w:r>
        <w:rPr>
          <w:rFonts w:ascii="Times New Roman" w:cs="Times New Roman" w:eastAsia="Times New Roman" w:hAnsi="Times New Roman"/>
          <w:sz w:val="19"/>
          <w:szCs w:val="19"/>
          <w:color w:val="auto"/>
        </w:rPr>
        <w:t>”) would be subject (in whole or part) to the excise tax (the “</w:t>
      </w:r>
      <w:r>
        <w:rPr>
          <w:rFonts w:ascii="Times New Roman" w:cs="Times New Roman" w:eastAsia="Times New Roman" w:hAnsi="Times New Roman"/>
          <w:sz w:val="19"/>
          <w:szCs w:val="19"/>
          <w:b w:val="1"/>
          <w:bCs w:val="1"/>
          <w:i w:val="1"/>
          <w:iCs w:val="1"/>
          <w:color w:val="auto"/>
        </w:rPr>
        <w:t>Excise Tax</w:t>
      </w:r>
      <w:r>
        <w:rPr>
          <w:rFonts w:ascii="Times New Roman" w:cs="Times New Roman" w:eastAsia="Times New Roman" w:hAnsi="Times New Roman"/>
          <w:sz w:val="19"/>
          <w:szCs w:val="19"/>
          <w:color w:val="auto"/>
        </w:rPr>
        <w:t xml:space="preserve">”)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 (x)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 (y) reduction of any other payments or benefits otherwise payable to Executive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in case of clauses (x), (y) and (z), that reduction of any payments or benefits attributable to the acceleration of vesting of Company equity awards shall be first applied to equity awards with later vesting dates;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notwithstanding the foregoing, any such reduction shall be undertaken in a manner that complies with and does not result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imposition of additional taxes on Executive under Section 409A of the Code. The foregoing reductions shall be made in a manner that</w:t>
      </w:r>
    </w:p>
    <w:p>
      <w:pPr>
        <w:spacing w:after="0" w:line="4" w:lineRule="exact"/>
        <w:rPr>
          <w:rFonts w:ascii="Times New Roman" w:cs="Times New Roman" w:eastAsia="Times New Roman" w:hAnsi="Times New Roman"/>
          <w:sz w:val="19"/>
          <w:szCs w:val="19"/>
          <w:color w:val="auto"/>
        </w:rPr>
      </w:pPr>
    </w:p>
    <w:p>
      <w:pPr>
        <w:ind w:left="4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4" w:name="page265"/>
    <w:bookmarkEnd w:id="264"/>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results in the maximum economic benefit to Executive on an after-tax basis and, to the extent economically equivalent payments or benefits are subject to reduction, in a pro rata manner.</w:t>
      </w:r>
    </w:p>
    <w:p>
      <w:pPr>
        <w:spacing w:after="0" w:line="159" w:lineRule="exact"/>
        <w:rPr>
          <w:sz w:val="20"/>
          <w:szCs w:val="20"/>
          <w:color w:val="auto"/>
        </w:rPr>
      </w:pPr>
    </w:p>
    <w:p>
      <w:pPr>
        <w:jc w:val="both"/>
        <w:ind w:firstLine="757"/>
        <w:spacing w:after="0" w:line="241" w:lineRule="auto"/>
        <w:tabs>
          <w:tab w:leader="none" w:pos="1158"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Determinations</w:t>
      </w:r>
      <w:r>
        <w:rPr>
          <w:rFonts w:ascii="Times New Roman" w:cs="Times New Roman" w:eastAsia="Times New Roman" w:hAnsi="Times New Roman"/>
          <w:sz w:val="20"/>
          <w:szCs w:val="20"/>
          <w:color w:val="auto"/>
        </w:rPr>
        <w:t>. All determinations regarding the application of this Section 8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0"/>
          <w:szCs w:val="20"/>
          <w:b w:val="1"/>
          <w:bCs w:val="1"/>
          <w:i w:val="1"/>
          <w:iCs w:val="1"/>
          <w:color w:val="auto"/>
        </w:rPr>
        <w:t>280G Firm</w:t>
      </w:r>
      <w:r>
        <w:rPr>
          <w:rFonts w:ascii="Times New Roman" w:cs="Times New Roman" w:eastAsia="Times New Roman" w:hAnsi="Times New Roman"/>
          <w:sz w:val="20"/>
          <w:szCs w:val="20"/>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Executive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211"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State of Connecticut without reference to the principles of conflicts of law of the State of Connecticut or any other jurisdiction that would result in the application of the laws of a jurisdiction other than the State of Connecticut, and where applicable, the laws of the United States. Any suit brought hereon shall be brought in the state or federal courts sitting in the State of Connecticut, the parties hereto hereby waiving any claim or defense that such forum is not convenient or proper. Each party hereby agrees that any such court shall have in personam jurisdiction over it and consents to service of process in any manner authorized by Connecticut law.</w:t>
      </w:r>
    </w:p>
    <w:p>
      <w:pPr>
        <w:spacing w:after="0" w:line="18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email or certified or registered mail, postage prepaid, as follows: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5" w:name="page266"/>
    <w:bookmarkEnd w:id="265"/>
    <w:p>
      <w:pPr>
        <w:ind w:left="2040" w:hanging="535"/>
        <w:spacing w:after="0"/>
        <w:tabs>
          <w:tab w:leader="none" w:pos="204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CEO of the Company at the Company’s headquarters,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7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the Restrictive Covenant Agreement incorporated herein by reference as set forth in Section 5, and any Release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Restrictive Covenant Agreement incorporated herein by reference as set forth in Section 5, and any Release shall constitute the complete and exclusive statement of their terms and that no extrinsic evidence whatsoever may be introduced in any judicial, administrative, or other legal proceeding to vary the terms of such agreements.</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9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In the event of any dispute or claim relating to, or arising out of Executive’s employment relationship with the Company or its affiliates, including, but not limited, claims of wrongful termination, age, race, gender, disability or other discrimination—but not including claims for sexual harassment or sexual assault—Executive and the Company agree that all such disputes shall be fully and</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6" w:name="page267"/>
    <w:bookmarkEnd w:id="266"/>
    <w:p>
      <w:pPr>
        <w:jc w:val="both"/>
        <w:spacing w:after="0" w:line="244" w:lineRule="auto"/>
        <w:rPr>
          <w:sz w:val="20"/>
          <w:szCs w:val="20"/>
          <w:color w:val="auto"/>
        </w:rPr>
      </w:pPr>
      <w:r>
        <w:rPr>
          <w:rFonts w:ascii="Times New Roman" w:cs="Times New Roman" w:eastAsia="Times New Roman" w:hAnsi="Times New Roman"/>
          <w:sz w:val="20"/>
          <w:szCs w:val="20"/>
          <w:color w:val="auto"/>
        </w:rPr>
        <w:t>finally resolved by binding arbitration conducted before a single neutral arbitrator pursuant to the rules for arbitration of employment disputes by the American Arbitration Association (available at www.adr.org) in Norwalk, Connecticut.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of law on which the award is based. By executing this Agreement, the Parties are both waiving the right to a jury trial with respect to any such disputes. The Company shall bear the costs of the arbitrator, forum and filing fees. Each Party shall bear its own respective attorney fees and all other costs, unless provided by law and awarded by the arbitrator.</w:t>
      </w:r>
    </w:p>
    <w:p>
      <w:pPr>
        <w:spacing w:after="0" w:line="186" w:lineRule="exact"/>
        <w:rPr>
          <w:sz w:val="20"/>
          <w:szCs w:val="20"/>
          <w:color w:val="auto"/>
        </w:rPr>
      </w:pPr>
    </w:p>
    <w:p>
      <w:pPr>
        <w:jc w:val="both"/>
        <w:ind w:firstLine="757"/>
        <w:spacing w:after="0" w:line="245" w:lineRule="auto"/>
        <w:tabs>
          <w:tab w:leader="none" w:pos="101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048"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intent of the Parties is that the payments and benefits under this Agreement comply with or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 from Section 409A and, accordingly, to the maximum extent permitted, this Agreement shall be interpreted to be in compliance therewith. If the Company and Executive agree in good faith that the payments and benefits under this Agreement would not comply with Section 409A, the Parties hereto shall reasonably and in good faith attempt to modify this Agreement to comply with Section 409A while endeavoring to maintain the intended economic benefits hereunder.</w:t>
      </w:r>
    </w:p>
    <w:p>
      <w:pPr>
        <w:spacing w:after="0" w:line="180"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Notwithstanding anything in this Agreement to the contrary, (A) any compensation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and (B) in the event that, with respect to the amounts payable under Sections 4(b) or 4(c), the timing of the delivery of Executive’s Release could cause such amounts to begin in one or another taxable year, to the extent such amounts are subject to Section 409A, then notwithstanding the payment timing set forth in such Sections, such amounts shall not be payable until the later of (1) the payment date specified in such Section or (2) the first business day of the taxable year following Executive’s Separation from Service.</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2048"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7" w:name="page268"/>
    <w:bookmarkEnd w:id="267"/>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portion of the benefits to which Executive is entitled under this Agreement is required in order to avoid a prohibited distribution under Section 409A, such portion of Executive’s benefits shall not be provided to Executive prior to the earlier of (x) the expiration of the six-month period measured from the date of Executive’s Separation from Service with the Company or (y)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0" w:lineRule="exact"/>
        <w:rPr>
          <w:sz w:val="20"/>
          <w:szCs w:val="20"/>
          <w:color w:val="auto"/>
        </w:rPr>
      </w:pPr>
    </w:p>
    <w:p>
      <w:pPr>
        <w:jc w:val="both"/>
        <w:ind w:left="760" w:firstLine="745"/>
        <w:spacing w:after="0" w:line="246" w:lineRule="auto"/>
        <w:tabs>
          <w:tab w:leader="none" w:pos="2048"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47" w:lineRule="auto"/>
        <w:tabs>
          <w:tab w:leader="none" w:pos="2048"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Installments. </w:t>
      </w:r>
      <w:r>
        <w:rPr>
          <w:rFonts w:ascii="Times New Roman" w:cs="Times New Roman" w:eastAsia="Times New Roman" w:hAnsi="Times New Roman"/>
          <w:sz w:val="20"/>
          <w:szCs w:val="20"/>
          <w:color w:val="auto"/>
        </w:rPr>
        <w:t>Executive’s right to receive any installment payments under this Agreement, including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Notwithstanding anything to the contrary in this Agreement, the provisions of Sections 5 through 9 will survive the termination of Executive’s employment and the termination of the Term.</w:t>
      </w:r>
    </w:p>
    <w:p>
      <w:pPr>
        <w:spacing w:after="0" w:line="169" w:lineRule="exact"/>
        <w:rPr>
          <w:sz w:val="20"/>
          <w:szCs w:val="20"/>
          <w:color w:val="auto"/>
        </w:rPr>
      </w:pPr>
    </w:p>
    <w:p>
      <w:pPr>
        <w:ind w:left="520" w:hanging="512"/>
        <w:spacing w:after="0"/>
        <w:tabs>
          <w:tab w:leader="none" w:pos="520"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Acknowledgement</w:t>
      </w:r>
      <w:r>
        <w:rPr>
          <w:rFonts w:ascii="Times New Roman" w:cs="Times New Roman" w:eastAsia="Times New Roman" w:hAnsi="Times New Roman"/>
          <w:sz w:val="20"/>
          <w:szCs w:val="20"/>
          <w:b w:val="1"/>
          <w:bCs w:val="1"/>
          <w:color w:val="auto"/>
        </w:rPr>
        <w:t>.</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8" w:name="page269"/>
    <w:bookmarkEnd w:id="268"/>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date and year first above written.</w:t>
      </w:r>
    </w:p>
    <w:p>
      <w:pPr>
        <w:spacing w:after="0" w:line="2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By: /s/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-10795</wp:posOffset>
            </wp:positionV>
            <wp:extent cx="179705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5">
                      <a:extLst>
                        <a:ext uri="{28A0092B-C50C-407E-A947-70E740481C1C}"/>
                      </a:extLst>
                    </a:blip>
                    <a:srcRect/>
                    <a:stretch>
                      <a:fillRect/>
                    </a:stretch>
                  </pic:blipFill>
                  <pic:spPr bwMode="auto">
                    <a:xfrm>
                      <a:off x="0" y="0"/>
                      <a:ext cx="1797050" cy="8255"/>
                    </a:xfrm>
                    <a:prstGeom prst="rect">
                      <a:avLst/>
                    </a:prstGeom>
                    <a:noFill/>
                  </pic:spPr>
                </pic:pic>
              </a:graphicData>
            </a:graphic>
          </wp:anchor>
        </w:drawing>
      </w:r>
    </w:p>
    <w:p>
      <w:pPr>
        <w:spacing w:after="0" w:line="20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Name: Arthur Kuan</w:t>
      </w:r>
    </w:p>
    <w:p>
      <w:pPr>
        <w:spacing w:after="0" w:line="22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Title: Chairman &amp; Chief Executive Officer</w:t>
      </w:r>
    </w:p>
    <w:p>
      <w:pPr>
        <w:spacing w:after="0" w:line="200" w:lineRule="exact"/>
        <w:rPr>
          <w:sz w:val="20"/>
          <w:szCs w:val="20"/>
          <w:color w:val="auto"/>
        </w:rPr>
      </w:pPr>
    </w:p>
    <w:p>
      <w:pPr>
        <w:spacing w:after="0" w:line="25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/s/ Joshua F.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-10795</wp:posOffset>
            </wp:positionV>
            <wp:extent cx="201041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6">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line="20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Print Name: Joshua F. Patterson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854710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440" w:right="1440" w:bottom="1440" w:gutter="0" w:footer="0" w:header="0"/>
        </w:sectPr>
      </w:pPr>
    </w:p>
    <w:bookmarkStart w:id="269" w:name="page270"/>
    <w:bookmarkEnd w:id="26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16"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20"/>
          <w:szCs w:val="20"/>
          <w:color w:val="auto"/>
        </w:rPr>
        <w:t xml:space="preserve">This Separation Agreement and Release (“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by and between Joshua F. Patterson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CG Oncology,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(collectively referred to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Capitalized terms used but not defined in this Agreement shall have the meanings set forth in the Employment Agreement (as defined below).</w:t>
      </w:r>
    </w:p>
    <w:p>
      <w:pPr>
        <w:spacing w:after="0" w:line="186" w:lineRule="exact"/>
        <w:rPr>
          <w:sz w:val="20"/>
          <w:szCs w:val="20"/>
          <w:color w:val="auto"/>
        </w:rPr>
      </w:pPr>
    </w:p>
    <w:p>
      <w:pPr>
        <w:ind w:right="40" w:firstLine="614"/>
        <w:spacing w:after="0" w:line="269" w:lineRule="auto"/>
        <w:rPr>
          <w:sz w:val="20"/>
          <w:szCs w:val="20"/>
          <w:color w:val="auto"/>
        </w:rPr>
      </w:pPr>
      <w:r>
        <w:rPr>
          <w:rFonts w:ascii="Times New Roman" w:cs="Times New Roman" w:eastAsia="Times New Roman" w:hAnsi="Times New Roman"/>
          <w:sz w:val="20"/>
          <w:szCs w:val="20"/>
          <w:color w:val="auto"/>
        </w:rPr>
        <w:t>WHEREAS, the Parties have previously entered into that certain Employment Agreement, effective as of January 9, 2025 (the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and that certain Restrictive Covenant Agreement (as defined in the Employment Agreement); and</w:t>
      </w:r>
    </w:p>
    <w:p>
      <w:pPr>
        <w:spacing w:after="0" w:line="173" w:lineRule="exact"/>
        <w:rPr>
          <w:sz w:val="20"/>
          <w:szCs w:val="20"/>
          <w:color w:val="auto"/>
        </w:rPr>
      </w:pPr>
    </w:p>
    <w:p>
      <w:pPr>
        <w:jc w:val="both"/>
        <w:ind w:right="20" w:firstLine="614"/>
        <w:spacing w:after="0" w:line="250" w:lineRule="auto"/>
        <w:rPr>
          <w:sz w:val="20"/>
          <w:szCs w:val="20"/>
          <w:color w:val="auto"/>
        </w:rPr>
      </w:pPr>
      <w:r>
        <w:rPr>
          <w:rFonts w:ascii="Times New Roman" w:cs="Times New Roman" w:eastAsia="Times New Roman" w:hAnsi="Times New Roman"/>
          <w:sz w:val="20"/>
          <w:szCs w:val="20"/>
          <w:color w:val="auto"/>
        </w:rPr>
        <w:t>WHEREAS, in connection with Executive’s termination of employment with the Company or a subsidiary or affiliate of the Company effective [________], 20[__], the Parties wish to resolve any and all disputes, claims, complaints, grievances, charges, actions,</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petitions, and demands that Executive may have against the Company and any of the Releases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cs="Times New Roman" w:eastAsia="Times New Roman" w:hAnsi="Times New Roman"/>
          <w:sz w:val="20"/>
          <w:szCs w:val="20"/>
          <w:b w:val="1"/>
          <w:bCs w:val="1"/>
          <w:i w:val="1"/>
          <w:iCs w:val="1"/>
          <w:color w:val="auto"/>
        </w:rPr>
        <w:t>Retained Claims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188" w:lineRule="exact"/>
        <w:rPr>
          <w:sz w:val="20"/>
          <w:szCs w:val="20"/>
          <w:color w:val="auto"/>
        </w:rPr>
      </w:pPr>
    </w:p>
    <w:p>
      <w:pPr>
        <w:jc w:val="both"/>
        <w:ind w:firstLine="404"/>
        <w:spacing w:after="0" w:line="246" w:lineRule="auto"/>
        <w:tabs>
          <w:tab w:leader="none" w:pos="80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and Benefits; Salary and Benefits</w:t>
      </w:r>
      <w:r>
        <w:rPr>
          <w:rFonts w:ascii="Times New Roman" w:cs="Times New Roman" w:eastAsia="Times New Roman" w:hAnsi="Times New Roman"/>
          <w:sz w:val="20"/>
          <w:szCs w:val="20"/>
          <w:color w:val="auto"/>
        </w:rPr>
        <w:t>.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3(c) of the Employment Agreement, subject to and in accordance with the terms thereof.</w:t>
      </w:r>
    </w:p>
    <w:p>
      <w:pPr>
        <w:spacing w:after="0" w:line="198" w:lineRule="exact"/>
        <w:rPr>
          <w:rFonts w:ascii="Times New Roman" w:cs="Times New Roman" w:eastAsia="Times New Roman" w:hAnsi="Times New Roman"/>
          <w:sz w:val="20"/>
          <w:szCs w:val="20"/>
          <w:color w:val="auto"/>
        </w:rPr>
      </w:pPr>
    </w:p>
    <w:p>
      <w:pPr>
        <w:jc w:val="both"/>
        <w:ind w:firstLine="404"/>
        <w:spacing w:after="0" w:line="242" w:lineRule="auto"/>
        <w:tabs>
          <w:tab w:leader="none" w:pos="818"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related to Executive’s employment 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relating to Executive’s employment with the Company or its subsidiaries or termination therefrom,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89" w:lineRule="exact"/>
        <w:rPr>
          <w:sz w:val="20"/>
          <w:szCs w:val="20"/>
          <w:color w:val="auto"/>
        </w:rPr>
      </w:pPr>
    </w:p>
    <w:p>
      <w:pPr>
        <w:ind w:right="20" w:firstLine="799"/>
        <w:spacing w:after="0" w:line="269" w:lineRule="auto"/>
        <w:tabs>
          <w:tab w:leader="none" w:pos="1187"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and the termination of that relationship;</w:t>
      </w:r>
    </w:p>
    <w:p>
      <w:pPr>
        <w:spacing w:after="0" w:line="159" w:lineRule="exact"/>
        <w:rPr>
          <w:rFonts w:ascii="Times New Roman" w:cs="Times New Roman" w:eastAsia="Times New Roman" w:hAnsi="Times New Roman"/>
          <w:sz w:val="20"/>
          <w:szCs w:val="20"/>
          <w:color w:val="auto"/>
        </w:rPr>
      </w:pPr>
    </w:p>
    <w:p>
      <w:pPr>
        <w:jc w:val="both"/>
        <w:ind w:right="20" w:firstLine="799"/>
        <w:spacing w:after="0" w:line="254" w:lineRule="auto"/>
        <w:tabs>
          <w:tab w:leader="none" w:pos="1187"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74" w:lineRule="exact"/>
        <w:rPr>
          <w:rFonts w:ascii="Times New Roman" w:cs="Times New Roman" w:eastAsia="Times New Roman" w:hAnsi="Times New Roman"/>
          <w:sz w:val="20"/>
          <w:szCs w:val="20"/>
          <w:color w:val="auto"/>
        </w:rPr>
      </w:pPr>
    </w:p>
    <w:p>
      <w:pPr>
        <w:ind w:firstLine="799"/>
        <w:spacing w:after="0" w:line="246" w:lineRule="auto"/>
        <w:tabs>
          <w:tab w:leader="none" w:pos="1187"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4" w:lineRule="exact"/>
        <w:rPr>
          <w:rFonts w:ascii="Times New Roman" w:cs="Times New Roman" w:eastAsia="Times New Roman" w:hAnsi="Times New Roman"/>
          <w:sz w:val="20"/>
          <w:szCs w:val="20"/>
          <w:color w:val="auto"/>
        </w:rPr>
      </w:pPr>
    </w:p>
    <w:p>
      <w:pPr>
        <w:jc w:val="both"/>
        <w:ind w:firstLine="799"/>
        <w:spacing w:after="0" w:line="245" w:lineRule="auto"/>
        <w:tabs>
          <w:tab w:leader="none" w:pos="1187"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 each as amended, or any other federal, state or local statute or ordinance;</w:t>
      </w:r>
    </w:p>
    <w:p>
      <w:pPr>
        <w:spacing w:after="0" w:line="184"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15"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215" w:lineRule="exact"/>
        <w:rPr>
          <w:rFonts w:ascii="Times New Roman" w:cs="Times New Roman" w:eastAsia="Times New Roman" w:hAnsi="Times New Roman"/>
          <w:sz w:val="20"/>
          <w:szCs w:val="20"/>
          <w:color w:val="auto"/>
        </w:rPr>
      </w:pPr>
    </w:p>
    <w:p>
      <w:pPr>
        <w:ind w:right="20" w:firstLine="799"/>
        <w:spacing w:after="0" w:line="269" w:lineRule="auto"/>
        <w:tabs>
          <w:tab w:leader="none" w:pos="1187"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59" w:lineRule="exact"/>
        <w:rPr>
          <w:rFonts w:ascii="Times New Roman" w:cs="Times New Roman" w:eastAsia="Times New Roman" w:hAnsi="Times New Roman"/>
          <w:sz w:val="20"/>
          <w:szCs w:val="20"/>
          <w:color w:val="auto"/>
        </w:rPr>
      </w:pPr>
    </w:p>
    <w:p>
      <w:pPr>
        <w:ind w:right="40" w:firstLine="799"/>
        <w:spacing w:after="0" w:line="269" w:lineRule="auto"/>
        <w:tabs>
          <w:tab w:leader="none" w:pos="1187"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59"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16"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EXECUTIVE ACKNOWLEDGES THAT EXECUTIVE HAS BEEN ADVISED BY LEGAL COUNSEL AND IS FAMILIAR WITH THE PROVISIONS OF CALIFORNIA CIVIL CODE SECTION 1542, WHICH PROVIDES AS FOLLOWS:</w:t>
      </w:r>
    </w:p>
    <w:p>
      <w:pPr>
        <w:spacing w:after="0" w:line="159" w:lineRule="exact"/>
        <w:rPr>
          <w:sz w:val="20"/>
          <w:szCs w:val="20"/>
          <w:color w:val="auto"/>
        </w:rPr>
      </w:pPr>
    </w:p>
    <w:p>
      <w:pPr>
        <w:jc w:val="both"/>
        <w:ind w:left="760" w:right="9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89"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20"/>
          <w:szCs w:val="20"/>
          <w:color w:val="auto"/>
        </w:rPr>
        <w:t>EXECUTIVE, BEING AWARE OF SAID CODE SECTION, HEREBY EXPRESSLY WAIVES ANY RIGHTS EXECUTIVE MAY HAVE THEREUNDER, AS WELL AS UNDER ANY OTHER STATUTES OR COMMON LAW PRINCIPLES OF SIMILAR EFFECT.</w:t>
      </w:r>
    </w:p>
    <w:p>
      <w:pPr>
        <w:spacing w:after="0" w:line="15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for indemnity under the bylaws of the Company, as provided for by Connecticut or Delaware law or under any applicable insurance policy with respect to Executive’s liability as an employee, director or officer of the Company,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1(c) or Section 4 of the Employment Agreement. This release does not prevent Executive from cooperating with an investigation conducted by any such governmental agencies, including without limitation the National Labor Relations Board (the “</w:t>
      </w:r>
      <w:r>
        <w:rPr>
          <w:rFonts w:ascii="Times New Roman" w:cs="Times New Roman" w:eastAsia="Times New Roman" w:hAnsi="Times New Roman"/>
          <w:sz w:val="19"/>
          <w:szCs w:val="19"/>
          <w:b w:val="1"/>
          <w:bCs w:val="1"/>
          <w:i w:val="1"/>
          <w:iCs w:val="1"/>
          <w:color w:val="auto"/>
        </w:rPr>
        <w:t>NLRB</w:t>
      </w:r>
      <w:r>
        <w:rPr>
          <w:rFonts w:ascii="Times New Roman" w:cs="Times New Roman" w:eastAsia="Times New Roman" w:hAnsi="Times New Roman"/>
          <w:sz w:val="19"/>
          <w:szCs w:val="19"/>
          <w:color w:val="auto"/>
        </w:rPr>
        <w:t>”). Nothing herein will prevent Executive from participating in an activity permitted by Section 7 of the National Labor Relations Act or from filing an unfair labor practice charge with the NLRB.</w:t>
      </w:r>
    </w:p>
    <w:p>
      <w:pPr>
        <w:spacing w:after="0" w:line="185" w:lineRule="exact"/>
        <w:rPr>
          <w:sz w:val="20"/>
          <w:szCs w:val="20"/>
          <w:color w:val="auto"/>
        </w:rPr>
      </w:pPr>
    </w:p>
    <w:p>
      <w:pPr>
        <w:jc w:val="both"/>
        <w:ind w:firstLine="404"/>
        <w:spacing w:after="0" w:line="241" w:lineRule="auto"/>
        <w:tabs>
          <w:tab w:leader="none" w:pos="845"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has the right to and should consult with an attorney prior to executing this Agreement; (b) Executive has [twenty-one (21)] days within which to consider this Agreement, and the Parties agree that such time period to review this Agreement shall not be extended upon any material or immaterial changes to this Agreement; (c) Executive has seven (7) business days following Executive’s execution of this Agreement to revoke this Agreement pursuant to written notice to the General Counsel of the Company; (d) this Agreement shall not be effective until after the revocation period has expired without revocation;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 day period identified above, Executive hereby acknowledges that Executive has freely and voluntarily chosen to waive the time period allotted for considering this Agreement. To revoke this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auto"/>
        </w:rPr>
        <w:t>Agreement, Executive must notify the Company in writing sent to the Chief Executive Officer of the Company, and such revocation must be received no later than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after Executive signs this Agreement.</w:t>
      </w:r>
    </w:p>
    <w:p>
      <w:pPr>
        <w:spacing w:after="0" w:line="52" w:lineRule="exact"/>
        <w:rPr>
          <w:sz w:val="20"/>
          <w:szCs w:val="20"/>
          <w:color w:val="auto"/>
        </w:rPr>
      </w:pPr>
    </w:p>
    <w:p>
      <w:pPr>
        <w:ind w:firstLine="404"/>
        <w:spacing w:after="0" w:line="269" w:lineRule="auto"/>
        <w:tabs>
          <w:tab w:leader="none" w:pos="818"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w:t>
      </w:r>
      <w:r>
        <w:rPr>
          <w:rFonts w:ascii="Times New Roman" w:cs="Times New Roman" w:eastAsia="Times New Roman" w:hAnsi="Times New Roman"/>
          <w:sz w:val="20"/>
          <w:szCs w:val="20"/>
          <w:color w:val="auto"/>
        </w:rPr>
        <w:t>. Executive acknowledges his ongoing obligations under Section 5 of the Employment Agreement. Sections 5(e) and 5(f) of the Employment Agreement are hereby incorporated by reference and will apply to this Agreement as set forth herein.</w:t>
      </w:r>
    </w:p>
    <w:p>
      <w:pPr>
        <w:spacing w:after="0" w:line="159" w:lineRule="exact"/>
        <w:rPr>
          <w:rFonts w:ascii="Times New Roman" w:cs="Times New Roman" w:eastAsia="Times New Roman" w:hAnsi="Times New Roman"/>
          <w:sz w:val="20"/>
          <w:szCs w:val="20"/>
          <w:color w:val="auto"/>
        </w:rPr>
      </w:pPr>
    </w:p>
    <w:p>
      <w:pPr>
        <w:jc w:val="both"/>
        <w:ind w:firstLine="404"/>
        <w:spacing w:after="0" w:line="254" w:lineRule="auto"/>
        <w:tabs>
          <w:tab w:leader="none" w:pos="791"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4" w:lineRule="exact"/>
        <w:rPr>
          <w:rFonts w:ascii="Times New Roman" w:cs="Times New Roman" w:eastAsia="Times New Roman" w:hAnsi="Times New Roman"/>
          <w:sz w:val="20"/>
          <w:szCs w:val="20"/>
          <w:color w:val="auto"/>
        </w:rPr>
      </w:pPr>
    </w:p>
    <w:p>
      <w:pPr>
        <w:ind w:right="20" w:firstLine="404"/>
        <w:spacing w:after="0" w:line="269" w:lineRule="auto"/>
        <w:tabs>
          <w:tab w:leader="none" w:pos="791"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pacing w:after="0" w:line="159" w:lineRule="exact"/>
        <w:rPr>
          <w:rFonts w:ascii="Times New Roman" w:cs="Times New Roman" w:eastAsia="Times New Roman" w:hAnsi="Times New Roman"/>
          <w:sz w:val="20"/>
          <w:szCs w:val="20"/>
          <w:color w:val="auto"/>
        </w:rPr>
      </w:pPr>
    </w:p>
    <w:p>
      <w:pPr>
        <w:ind w:right="20" w:firstLine="404"/>
        <w:spacing w:after="0" w:line="269" w:lineRule="auto"/>
        <w:tabs>
          <w:tab w:leader="none" w:pos="832"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 This Agreement shall be subject to the provisions of Sections 1(a), 1(c), and 9(h) of the Employment Agreement.</w:t>
      </w:r>
    </w:p>
    <w:p>
      <w:pPr>
        <w:spacing w:after="0" w:line="159" w:lineRule="exact"/>
        <w:rPr>
          <w:rFonts w:ascii="Times New Roman" w:cs="Times New Roman" w:eastAsia="Times New Roman" w:hAnsi="Times New Roman"/>
          <w:sz w:val="20"/>
          <w:szCs w:val="20"/>
          <w:color w:val="auto"/>
        </w:rPr>
      </w:pPr>
    </w:p>
    <w:p>
      <w:pPr>
        <w:ind w:firstLine="404"/>
        <w:spacing w:after="0" w:line="269" w:lineRule="auto"/>
        <w:tabs>
          <w:tab w:leader="none" w:pos="805"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has seven (7) business days after Executive signs this Agreement to revoke it and this Agreement will become effective on the day immediately following the seventh business day after Executive signed this Agreement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44" w:lineRule="auto"/>
        <w:tabs>
          <w:tab w:leader="none" w:pos="1158"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158"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the Employment Agreement and the Restrictive Covenant Agreement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the Employment Agreement and the Restrictive Covenant Agreement shall constitute the complete and exclusive statement of their terms and that no extrinsic evidence whatsoever may be introduced in any judicial, administrative, or other legal proceeding to vary the terms of such agreements.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Dated:</w:t>
      </w: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Print Name: Joshua F. Patterson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Name: _________________________</w:t>
      </w:r>
    </w:p>
    <w:p>
      <w:pPr>
        <w:spacing w:after="0" w:line="2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Title: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4" w:name="page275"/>
    <w:bookmarkEnd w:id="274"/>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RESTRICTIVE COVENANT AGREEMENT</w:t>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Attached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|US-DOCS\150338283.3||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27" w:lineRule="exact"/>
        <w:rPr>
          <w:sz w:val="20"/>
          <w:szCs w:val="20"/>
          <w:color w:val="auto"/>
        </w:rPr>
      </w:pPr>
    </w:p>
    <w:p>
      <w:pPr>
        <w:jc w:val="center"/>
        <w:ind w:right="60"/>
        <w:spacing w:after="0"/>
        <w:rPr>
          <w:sz w:val="20"/>
          <w:szCs w:val="20"/>
          <w:color w:val="auto"/>
        </w:rPr>
      </w:pPr>
      <w:r>
        <w:rPr>
          <w:rFonts w:ascii="Calibri" w:cs="Calibri" w:eastAsia="Calibri" w:hAnsi="Calibri"/>
          <w:sz w:val="21"/>
          <w:szCs w:val="21"/>
          <w:b w:val="1"/>
          <w:bCs w:val="1"/>
          <w:color w:val="auto"/>
        </w:rPr>
        <w:t>CG Oncology, Inc.</w:t>
      </w:r>
    </w:p>
    <w:p>
      <w:pPr>
        <w:jc w:val="center"/>
        <w:ind w:right="60"/>
        <w:spacing w:after="0" w:line="227" w:lineRule="auto"/>
        <w:rPr>
          <w:sz w:val="20"/>
          <w:szCs w:val="20"/>
          <w:color w:val="auto"/>
        </w:rPr>
      </w:pPr>
      <w:r>
        <w:rPr>
          <w:rFonts w:ascii="Calibri" w:cs="Calibri" w:eastAsia="Calibri" w:hAnsi="Calibri"/>
          <w:sz w:val="21"/>
          <w:szCs w:val="21"/>
          <w:b w:val="1"/>
          <w:bCs w:val="1"/>
          <w:color w:val="auto"/>
        </w:rPr>
        <w:t>Insider Trading Compliance Policy and Procedures</w:t>
      </w:r>
    </w:p>
    <w:p>
      <w:pPr>
        <w:spacing w:after="0" w:line="244" w:lineRule="exact"/>
        <w:rPr>
          <w:sz w:val="20"/>
          <w:szCs w:val="20"/>
          <w:color w:val="auto"/>
        </w:rPr>
      </w:pPr>
    </w:p>
    <w:p>
      <w:pPr>
        <w:jc w:val="center"/>
        <w:ind w:right="60"/>
        <w:spacing w:after="0"/>
        <w:rPr>
          <w:sz w:val="20"/>
          <w:szCs w:val="20"/>
          <w:color w:val="auto"/>
        </w:rPr>
      </w:pPr>
      <w:r>
        <w:rPr>
          <w:rFonts w:ascii="Calibri" w:cs="Calibri" w:eastAsia="Calibri" w:hAnsi="Calibri"/>
          <w:sz w:val="21"/>
          <w:szCs w:val="21"/>
          <w:b w:val="1"/>
          <w:bCs w:val="1"/>
          <w:color w:val="auto"/>
        </w:rPr>
        <w:t>Adopted December 13, 2023</w:t>
      </w:r>
    </w:p>
    <w:p>
      <w:pPr>
        <w:jc w:val="center"/>
        <w:ind w:right="60"/>
        <w:spacing w:after="0" w:line="227" w:lineRule="auto"/>
        <w:rPr>
          <w:sz w:val="20"/>
          <w:szCs w:val="20"/>
          <w:color w:val="auto"/>
        </w:rPr>
      </w:pPr>
      <w:r>
        <w:rPr>
          <w:rFonts w:ascii="Calibri" w:cs="Calibri" w:eastAsia="Calibri" w:hAnsi="Calibri"/>
          <w:sz w:val="21"/>
          <w:szCs w:val="21"/>
          <w:b w:val="1"/>
          <w:bCs w:val="1"/>
          <w:color w:val="auto"/>
        </w:rPr>
        <w:t>Last Amended March 25, 2025</w:t>
      </w:r>
    </w:p>
    <w:p>
      <w:pPr>
        <w:spacing w:after="0" w:line="214" w:lineRule="exact"/>
        <w:rPr>
          <w:sz w:val="20"/>
          <w:szCs w:val="20"/>
          <w:color w:val="auto"/>
        </w:rPr>
      </w:pPr>
    </w:p>
    <w:p>
      <w:pPr>
        <w:jc w:val="both"/>
        <w:ind w:left="40" w:right="100" w:firstLine="728"/>
        <w:spacing w:after="0" w:line="227" w:lineRule="auto"/>
        <w:rPr>
          <w:sz w:val="20"/>
          <w:szCs w:val="20"/>
          <w:color w:val="auto"/>
        </w:rPr>
      </w:pPr>
      <w:r>
        <w:rPr>
          <w:rFonts w:ascii="Calibri" w:cs="Calibri" w:eastAsia="Calibri" w:hAnsi="Calibri"/>
          <w:sz w:val="21"/>
          <w:szCs w:val="21"/>
          <w:color w:val="auto"/>
        </w:rPr>
        <w:t>CG Oncology, Inc. (together with its subsidiaries, “</w:t>
      </w:r>
      <w:r>
        <w:rPr>
          <w:rFonts w:ascii="Calibri" w:cs="Calibri" w:eastAsia="Calibri" w:hAnsi="Calibri"/>
          <w:sz w:val="21"/>
          <w:szCs w:val="21"/>
          <w:b w:val="1"/>
          <w:bCs w:val="1"/>
          <w:i w:val="1"/>
          <w:iCs w:val="1"/>
          <w:color w:val="auto"/>
        </w:rPr>
        <w:t>CG Oncology</w:t>
      </w:r>
      <w:r>
        <w:rPr>
          <w:rFonts w:ascii="Calibri" w:cs="Calibri" w:eastAsia="Calibri" w:hAnsi="Calibri"/>
          <w:sz w:val="21"/>
          <w:szCs w:val="21"/>
          <w:color w:val="auto"/>
        </w:rPr>
        <w:t>”) is a public company. This means CG Oncology is owned by its stockholders, our securites are publicly traded, and we all have an obligaton to protect CG Oncology’s value and assets. When you started employment at CG Oncology (or, if a consultant, started consultng for CG Oncology), you signed an Employee Confdentality and IP Assignment Agreement or a Consultng Agreement. In that agreement, you promised to protect CG Oncology’s confdental informaton and trade secrets by not disclosing this informaton to unauthorized persons. It is your responsibility to fully understand and comply with that agreement.</w:t>
      </w:r>
    </w:p>
    <w:p>
      <w:pPr>
        <w:spacing w:after="0" w:line="219" w:lineRule="exact"/>
        <w:rPr>
          <w:sz w:val="20"/>
          <w:szCs w:val="20"/>
          <w:color w:val="auto"/>
        </w:rPr>
      </w:pPr>
    </w:p>
    <w:p>
      <w:pPr>
        <w:jc w:val="both"/>
        <w:ind w:left="40" w:right="100" w:firstLine="728"/>
        <w:spacing w:after="0" w:line="228" w:lineRule="auto"/>
        <w:rPr>
          <w:sz w:val="20"/>
          <w:szCs w:val="20"/>
          <w:color w:val="auto"/>
        </w:rPr>
      </w:pPr>
      <w:r>
        <w:rPr>
          <w:rFonts w:ascii="Calibri" w:cs="Calibri" w:eastAsia="Calibri" w:hAnsi="Calibri"/>
          <w:sz w:val="21"/>
          <w:szCs w:val="21"/>
          <w:color w:val="auto"/>
        </w:rPr>
        <w:t>It is also your obligaton to understand certain actons that you cannot take, either because doing so is unlawful for the employees or consultants of a public company or because doing so could harm CG Oncology. Every ofcer, director, employee and consultant has the individual responsibility to comply with this policy.</w:t>
      </w:r>
    </w:p>
    <w:p>
      <w:pPr>
        <w:spacing w:after="0" w:line="214" w:lineRule="exact"/>
        <w:rPr>
          <w:sz w:val="20"/>
          <w:szCs w:val="20"/>
          <w:color w:val="auto"/>
        </w:rPr>
      </w:pPr>
    </w:p>
    <w:p>
      <w:pPr>
        <w:jc w:val="both"/>
        <w:ind w:left="40" w:right="100" w:firstLine="728"/>
        <w:spacing w:after="0" w:line="239" w:lineRule="auto"/>
        <w:rPr>
          <w:sz w:val="20"/>
          <w:szCs w:val="20"/>
          <w:color w:val="auto"/>
        </w:rPr>
      </w:pPr>
      <w:r>
        <w:rPr>
          <w:rFonts w:ascii="Calibri" w:cs="Calibri" w:eastAsia="Calibri" w:hAnsi="Calibri"/>
          <w:sz w:val="20"/>
          <w:szCs w:val="20"/>
          <w:color w:val="auto"/>
        </w:rPr>
        <w:t>Additonally, federal and state laws prohibit trading in the securites of a company while in possession of material nonpublic informaton and in breach of a duty of trust or confdence. These laws also prohibit anyone who is aware of material nonpublic informaton from providing this informaton to others who may trade. Violatng such laws can undermine investor trust, harm the reputaton and integrity of CG Oncology, and result in dismissal from CG Oncology or even serious criminal and civil charges against the individual and CG Oncology. CG Oncology reserves the right to take whatever disciplinary or other measures it determines in its sole discreton to be appropriate in any partcular situaton, including disclosure of wrongdoing to governmental authorites.</w:t>
      </w:r>
    </w:p>
    <w:p>
      <w:pPr>
        <w:spacing w:after="0" w:line="191"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u w:val="single" w:color="auto"/>
          <w:color w:val="auto"/>
        </w:rPr>
        <w:t>Persons Covered and Administraton of Policy</w:t>
      </w:r>
    </w:p>
    <w:p>
      <w:pPr>
        <w:spacing w:after="0" w:line="214" w:lineRule="exact"/>
        <w:rPr>
          <w:sz w:val="20"/>
          <w:szCs w:val="20"/>
          <w:color w:val="auto"/>
        </w:rPr>
      </w:pPr>
    </w:p>
    <w:p>
      <w:pPr>
        <w:jc w:val="both"/>
        <w:ind w:left="40" w:right="100" w:firstLine="728"/>
        <w:spacing w:after="0" w:line="239" w:lineRule="auto"/>
        <w:rPr>
          <w:sz w:val="20"/>
          <w:szCs w:val="20"/>
          <w:color w:val="auto"/>
        </w:rPr>
      </w:pPr>
      <w:r>
        <w:rPr>
          <w:rFonts w:ascii="Calibri" w:cs="Calibri" w:eastAsia="Calibri" w:hAnsi="Calibri"/>
          <w:sz w:val="20"/>
          <w:szCs w:val="20"/>
          <w:color w:val="auto"/>
        </w:rPr>
        <w:t>This Insider Trading Compliance Policy and Procedures (this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 applies to all directors, ofcers, other employees and consultants of CG Oncology. For purposes of this Policy, “ofcers” refer to those individuals who meet the defniton of “ofcer” under Secton 16 of the Securites Exchange Act of 1934 (as amended, the “</w:t>
      </w:r>
      <w:r>
        <w:rPr>
          <w:rFonts w:ascii="Calibri" w:cs="Calibri" w:eastAsia="Calibri" w:hAnsi="Calibri"/>
          <w:sz w:val="20"/>
          <w:szCs w:val="20"/>
          <w:b w:val="1"/>
          <w:bCs w:val="1"/>
          <w:i w:val="1"/>
          <w:iCs w:val="1"/>
          <w:color w:val="auto"/>
        </w:rPr>
        <w:t>Exchange Act</w:t>
      </w:r>
      <w:r>
        <w:rPr>
          <w:rFonts w:ascii="Calibri" w:cs="Calibri" w:eastAsia="Calibri" w:hAnsi="Calibri"/>
          <w:sz w:val="20"/>
          <w:szCs w:val="20"/>
          <w:color w:val="auto"/>
        </w:rPr>
        <w:t xml:space="preserve">”). Individuals subject to this Policy are responsible for ensuring that members of their household comply with this Policy. This Policy also applies to any enttes controlled by individuals subject to the Policy, including any corporatons, limited liability companies, partnerships or trusts, and transactons by these enttes should be treated for the purposes of this Policy as if they were for the individual’s own account. Except for transactons involving CG Oncology equity securites that a director is deemed to have benefcial ownership of by virtue of his/her afliaton with venture capital enttes or other insttutonal investors, this Policy, including without limitaton, blackout periods and prohibited transactons, does not apply to such venture capital enttes or other insttutonal investors, and the related transactons in CG Oncology’s equity securites by such enttes;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it is the responsibility of each such entty, in consultaton with its own counsel (as appropriate), to determine compliance with applicable securites laws in considering whether to adhere to this</w:t>
      </w:r>
    </w:p>
    <w:p>
      <w:pPr>
        <w:spacing w:after="0" w:line="251" w:lineRule="exact"/>
        <w:rPr>
          <w:sz w:val="20"/>
          <w:szCs w:val="20"/>
          <w:color w:val="auto"/>
        </w:rPr>
      </w:pPr>
    </w:p>
    <w:p>
      <w:pPr>
        <w:spacing w:after="0"/>
        <w:rPr>
          <w:sz w:val="20"/>
          <w:szCs w:val="20"/>
          <w:color w:val="auto"/>
        </w:rPr>
      </w:pPr>
      <w:r>
        <w:rPr>
          <w:rFonts w:ascii="Calibri" w:cs="Calibri" w:eastAsia="Calibri" w:hAnsi="Calibri"/>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1089660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5"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Calibri" w:cs="Calibri" w:eastAsia="Calibri" w:hAnsi="Calibri"/>
          <w:sz w:val="21"/>
          <w:szCs w:val="21"/>
          <w:color w:val="auto"/>
        </w:rPr>
        <w:t>Policy.</w:t>
      </w:r>
    </w:p>
    <w:p>
      <w:pPr>
        <w:spacing w:after="0" w:line="200" w:lineRule="exact"/>
        <w:rPr>
          <w:sz w:val="20"/>
          <w:szCs w:val="20"/>
          <w:color w:val="auto"/>
        </w:rPr>
      </w:pPr>
    </w:p>
    <w:p>
      <w:pPr>
        <w:spacing w:after="0" w:line="257" w:lineRule="exact"/>
        <w:rPr>
          <w:sz w:val="20"/>
          <w:szCs w:val="20"/>
          <w:color w:val="auto"/>
        </w:rPr>
      </w:pPr>
    </w:p>
    <w:p>
      <w:pPr>
        <w:ind w:left="120" w:firstLine="728"/>
        <w:spacing w:after="0" w:line="228" w:lineRule="auto"/>
        <w:rPr>
          <w:sz w:val="20"/>
          <w:szCs w:val="20"/>
          <w:color w:val="auto"/>
        </w:rPr>
      </w:pPr>
      <w:r>
        <w:rPr>
          <w:rFonts w:ascii="Calibri" w:cs="Calibri" w:eastAsia="Calibri" w:hAnsi="Calibri"/>
          <w:sz w:val="21"/>
          <w:szCs w:val="21"/>
          <w:color w:val="auto"/>
        </w:rPr>
        <w:t>Questons regarding the Policy should be directed to the Chief Compliance Ofcer (the “</w:t>
      </w:r>
      <w:r>
        <w:rPr>
          <w:rFonts w:ascii="Calibri" w:cs="Calibri" w:eastAsia="Calibri" w:hAnsi="Calibri"/>
          <w:sz w:val="21"/>
          <w:szCs w:val="21"/>
          <w:b w:val="1"/>
          <w:bCs w:val="1"/>
          <w:i w:val="1"/>
          <w:iCs w:val="1"/>
          <w:color w:val="auto"/>
        </w:rPr>
        <w:t>Compliance Ofcer</w:t>
      </w:r>
      <w:r>
        <w:rPr>
          <w:rFonts w:ascii="Calibri" w:cs="Calibri" w:eastAsia="Calibri" w:hAnsi="Calibri"/>
          <w:sz w:val="21"/>
          <w:szCs w:val="21"/>
          <w:color w:val="auto"/>
        </w:rPr>
        <w:t>”), who is responsible for the administraton of this Policy.</w:t>
      </w:r>
    </w:p>
    <w:p>
      <w:pPr>
        <w:spacing w:after="0" w:line="190"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u w:val="single" w:color="auto"/>
          <w:color w:val="auto"/>
        </w:rPr>
        <w:t>Policy Statement</w:t>
      </w:r>
    </w:p>
    <w:p>
      <w:pPr>
        <w:spacing w:after="0" w:line="200" w:lineRule="exact"/>
        <w:rPr>
          <w:sz w:val="20"/>
          <w:szCs w:val="20"/>
          <w:color w:val="auto"/>
        </w:rPr>
      </w:pPr>
    </w:p>
    <w:p>
      <w:pPr>
        <w:jc w:val="both"/>
        <w:ind w:left="120" w:right="100" w:firstLine="728"/>
        <w:spacing w:after="0" w:line="227" w:lineRule="auto"/>
        <w:rPr>
          <w:sz w:val="20"/>
          <w:szCs w:val="20"/>
          <w:color w:val="auto"/>
        </w:rPr>
      </w:pPr>
      <w:r>
        <w:rPr>
          <w:rFonts w:ascii="Calibri" w:cs="Calibri" w:eastAsia="Calibri" w:hAnsi="Calibri"/>
          <w:sz w:val="21"/>
          <w:szCs w:val="21"/>
          <w:color w:val="auto"/>
        </w:rPr>
        <w:t>During the course of your employment or consultng engagement with CG Oncology, you may receive important informaton that is not yet publicly available (“inside informaton”) about CG Oncology or about other publicly-traded companies with which CG Oncology has business dealings. Because of your access to this informaton, you may be in a positon to proft fnancially by buying or selling or in some other way dealing in CG Oncology’s securites or the securites of another publicly traded company. Similarly, you may be in a positon to beneft fnancially or otherwise by passing this informaton on to another person. Whether you personally beneft or another person benefts, this is considered “insider trading” and is illegal.</w:t>
      </w:r>
    </w:p>
    <w:p>
      <w:pPr>
        <w:spacing w:after="0" w:line="208" w:lineRule="exact"/>
        <w:rPr>
          <w:sz w:val="20"/>
          <w:szCs w:val="20"/>
          <w:color w:val="auto"/>
        </w:rPr>
      </w:pPr>
    </w:p>
    <w:p>
      <w:pPr>
        <w:ind w:left="840"/>
        <w:spacing w:after="0"/>
        <w:rPr>
          <w:sz w:val="20"/>
          <w:szCs w:val="20"/>
          <w:color w:val="auto"/>
        </w:rPr>
      </w:pPr>
      <w:r>
        <w:rPr>
          <w:rFonts w:ascii="Calibri" w:cs="Calibri" w:eastAsia="Calibri" w:hAnsi="Calibri"/>
          <w:sz w:val="21"/>
          <w:szCs w:val="21"/>
          <w:color w:val="auto"/>
        </w:rPr>
        <w:t>The following actvites are prohibited:</w:t>
      </w:r>
    </w:p>
    <w:p>
      <w:pPr>
        <w:spacing w:after="0" w:line="200" w:lineRule="exact"/>
        <w:rPr>
          <w:sz w:val="20"/>
          <w:szCs w:val="20"/>
          <w:color w:val="auto"/>
        </w:rPr>
      </w:pPr>
    </w:p>
    <w:p>
      <w:pPr>
        <w:ind w:left="120" w:right="120" w:firstLine="720"/>
        <w:spacing w:after="0" w:line="228" w:lineRule="auto"/>
        <w:tabs>
          <w:tab w:leader="none" w:pos="1214" w:val="left"/>
        </w:tabs>
        <w:numPr>
          <w:ilvl w:val="0"/>
          <w:numId w:val="245"/>
        </w:numPr>
        <w:rPr>
          <w:rFonts w:ascii="Calibri" w:cs="Calibri" w:eastAsia="Calibri" w:hAnsi="Calibri"/>
          <w:sz w:val="21"/>
          <w:szCs w:val="21"/>
          <w:color w:val="auto"/>
        </w:rPr>
      </w:pPr>
      <w:r>
        <w:rPr>
          <w:rFonts w:ascii="Calibri" w:cs="Calibri" w:eastAsia="Calibri" w:hAnsi="Calibri"/>
          <w:sz w:val="21"/>
          <w:szCs w:val="21"/>
          <w:b w:val="1"/>
          <w:bCs w:val="1"/>
          <w:i w:val="1"/>
          <w:iCs w:val="1"/>
          <w:u w:val="single" w:color="auto"/>
          <w:color w:val="auto"/>
        </w:rPr>
        <w:t>No Unauthorized Disclosure</w:t>
      </w:r>
      <w:r>
        <w:rPr>
          <w:rFonts w:ascii="Calibri" w:cs="Calibri" w:eastAsia="Calibri" w:hAnsi="Calibri"/>
          <w:sz w:val="21"/>
          <w:szCs w:val="21"/>
          <w:color w:val="auto"/>
        </w:rPr>
        <w:t>. You may not disclose inside informaton to anyone at CG Oncology who is not authorized</w:t>
      </w:r>
      <w:r>
        <w:rPr>
          <w:rFonts w:ascii="Calibri" w:cs="Calibri" w:eastAsia="Calibri" w:hAnsi="Calibri"/>
          <w:sz w:val="21"/>
          <w:szCs w:val="21"/>
          <w:b w:val="1"/>
          <w:bCs w:val="1"/>
          <w:i w:val="1"/>
          <w:iCs w:val="1"/>
          <w:color w:val="auto"/>
        </w:rPr>
        <w:t xml:space="preserve"> </w:t>
      </w:r>
      <w:r>
        <w:rPr>
          <w:rFonts w:ascii="Calibri" w:cs="Calibri" w:eastAsia="Calibri" w:hAnsi="Calibri"/>
          <w:sz w:val="21"/>
          <w:szCs w:val="21"/>
          <w:color w:val="auto"/>
        </w:rPr>
        <w:t>to access it or to anyone outside CG Oncology.</w:t>
      </w:r>
    </w:p>
    <w:p>
      <w:pPr>
        <w:spacing w:after="0" w:line="201" w:lineRule="exact"/>
        <w:rPr>
          <w:rFonts w:ascii="Calibri" w:cs="Calibri" w:eastAsia="Calibri" w:hAnsi="Calibri"/>
          <w:sz w:val="21"/>
          <w:szCs w:val="21"/>
          <w:color w:val="auto"/>
        </w:rPr>
      </w:pPr>
    </w:p>
    <w:p>
      <w:pPr>
        <w:jc w:val="both"/>
        <w:ind w:left="120" w:right="120" w:firstLine="720"/>
        <w:spacing w:after="0" w:line="228" w:lineRule="auto"/>
        <w:tabs>
          <w:tab w:leader="none" w:pos="1214" w:val="left"/>
        </w:tabs>
        <w:numPr>
          <w:ilvl w:val="0"/>
          <w:numId w:val="245"/>
        </w:numPr>
        <w:rPr>
          <w:rFonts w:ascii="Calibri" w:cs="Calibri" w:eastAsia="Calibri" w:hAnsi="Calibri"/>
          <w:sz w:val="21"/>
          <w:szCs w:val="21"/>
          <w:color w:val="auto"/>
        </w:rPr>
      </w:pPr>
      <w:r>
        <w:rPr>
          <w:rFonts w:ascii="Calibri" w:cs="Calibri" w:eastAsia="Calibri" w:hAnsi="Calibri"/>
          <w:sz w:val="21"/>
          <w:szCs w:val="21"/>
          <w:b w:val="1"/>
          <w:bCs w:val="1"/>
          <w:i w:val="1"/>
          <w:iCs w:val="1"/>
          <w:u w:val="single" w:color="auto"/>
          <w:color w:val="auto"/>
        </w:rPr>
        <w:t>No Trading in CG Oncology’s Securites with Inside Informaton</w:t>
      </w:r>
      <w:r>
        <w:rPr>
          <w:rFonts w:ascii="Calibri" w:cs="Calibri" w:eastAsia="Calibri" w:hAnsi="Calibri"/>
          <w:sz w:val="21"/>
          <w:szCs w:val="21"/>
          <w:color w:val="auto"/>
        </w:rPr>
        <w:t>. When you have access to inside informaton about CG</w:t>
      </w:r>
      <w:r>
        <w:rPr>
          <w:rFonts w:ascii="Calibri" w:cs="Calibri" w:eastAsia="Calibri" w:hAnsi="Calibri"/>
          <w:sz w:val="21"/>
          <w:szCs w:val="21"/>
          <w:b w:val="1"/>
          <w:bCs w:val="1"/>
          <w:i w:val="1"/>
          <w:iCs w:val="1"/>
          <w:color w:val="auto"/>
        </w:rPr>
        <w:t xml:space="preserve"> </w:t>
      </w:r>
      <w:r>
        <w:rPr>
          <w:rFonts w:ascii="Calibri" w:cs="Calibri" w:eastAsia="Calibri" w:hAnsi="Calibri"/>
          <w:sz w:val="21"/>
          <w:szCs w:val="21"/>
          <w:color w:val="auto"/>
        </w:rPr>
        <w:t>Oncology, you may not buy or sell CG Oncology’s securites regardless of the amount nor may you encourage or discourage others from trading CG Oncology’s securites.</w:t>
      </w:r>
    </w:p>
    <w:p>
      <w:pPr>
        <w:spacing w:after="0" w:line="214" w:lineRule="exact"/>
        <w:rPr>
          <w:rFonts w:ascii="Calibri" w:cs="Calibri" w:eastAsia="Calibri" w:hAnsi="Calibri"/>
          <w:sz w:val="21"/>
          <w:szCs w:val="21"/>
          <w:color w:val="auto"/>
        </w:rPr>
      </w:pPr>
    </w:p>
    <w:p>
      <w:pPr>
        <w:jc w:val="both"/>
        <w:ind w:left="120" w:right="100" w:firstLine="720"/>
        <w:spacing w:after="0" w:line="239" w:lineRule="auto"/>
        <w:tabs>
          <w:tab w:leader="none" w:pos="1214" w:val="left"/>
        </w:tabs>
        <w:numPr>
          <w:ilvl w:val="0"/>
          <w:numId w:val="245"/>
        </w:numPr>
        <w:rPr>
          <w:rFonts w:ascii="Calibri" w:cs="Calibri" w:eastAsia="Calibri" w:hAnsi="Calibri"/>
          <w:sz w:val="20"/>
          <w:szCs w:val="20"/>
          <w:color w:val="auto"/>
        </w:rPr>
      </w:pPr>
      <w:r>
        <w:rPr>
          <w:rFonts w:ascii="Calibri" w:cs="Calibri" w:eastAsia="Calibri" w:hAnsi="Calibri"/>
          <w:sz w:val="20"/>
          <w:szCs w:val="20"/>
          <w:b w:val="1"/>
          <w:bCs w:val="1"/>
          <w:i w:val="1"/>
          <w:iCs w:val="1"/>
          <w:color w:val="auto"/>
        </w:rPr>
        <w:t>No Trading in CG Oncology’s Partner’s Securites with Inside Informaton</w:t>
      </w:r>
      <w:r>
        <w:rPr>
          <w:rFonts w:ascii="Calibri" w:cs="Calibri" w:eastAsia="Calibri" w:hAnsi="Calibri"/>
          <w:sz w:val="20"/>
          <w:szCs w:val="20"/>
          <w:color w:val="auto"/>
        </w:rPr>
        <w:t>. When you have access to inside informaton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about other publicly-traded companies with which CG Oncology has a business relatonship, you may not buy or sell securites in the applicable company regardless of the amount nor may you encourage or discourage others from trading CG Oncology's securites.</w:t>
      </w:r>
    </w:p>
    <w:p>
      <w:pPr>
        <w:spacing w:after="0" w:line="202" w:lineRule="exact"/>
        <w:rPr>
          <w:sz w:val="20"/>
          <w:szCs w:val="20"/>
          <w:color w:val="auto"/>
        </w:rPr>
      </w:pPr>
    </w:p>
    <w:p>
      <w:pPr>
        <w:jc w:val="both"/>
        <w:ind w:left="120" w:right="120" w:firstLine="728"/>
        <w:spacing w:after="0" w:line="228" w:lineRule="auto"/>
        <w:rPr>
          <w:sz w:val="20"/>
          <w:szCs w:val="20"/>
          <w:color w:val="auto"/>
        </w:rPr>
      </w:pPr>
      <w:r>
        <w:rPr>
          <w:rFonts w:ascii="Calibri" w:cs="Calibri" w:eastAsia="Calibri" w:hAnsi="Calibri"/>
          <w:sz w:val="21"/>
          <w:szCs w:val="21"/>
          <w:i w:val="1"/>
          <w:iCs w:val="1"/>
          <w:color w:val="auto"/>
        </w:rPr>
        <w:t>“</w:t>
      </w:r>
      <w:r>
        <w:rPr>
          <w:rFonts w:ascii="Calibri" w:cs="Calibri" w:eastAsia="Calibri" w:hAnsi="Calibri"/>
          <w:sz w:val="21"/>
          <w:szCs w:val="21"/>
          <w:b w:val="1"/>
          <w:bCs w:val="1"/>
          <w:i w:val="1"/>
          <w:iCs w:val="1"/>
          <w:color w:val="auto"/>
        </w:rPr>
        <w:t>Securites</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includes stocks, bonds, notes, debentures, optons, warrants, equity and other convertble securites, as well as</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derivatve instruments.</w:t>
      </w:r>
    </w:p>
    <w:p>
      <w:pPr>
        <w:spacing w:after="0" w:line="215" w:lineRule="exact"/>
        <w:rPr>
          <w:sz w:val="20"/>
          <w:szCs w:val="20"/>
          <w:color w:val="auto"/>
        </w:rPr>
      </w:pPr>
    </w:p>
    <w:p>
      <w:pPr>
        <w:jc w:val="both"/>
        <w:ind w:left="120" w:right="100" w:firstLine="728"/>
        <w:spacing w:after="0" w:line="227" w:lineRule="auto"/>
        <w:rPr>
          <w:sz w:val="20"/>
          <w:szCs w:val="20"/>
          <w:color w:val="auto"/>
        </w:rPr>
      </w:pPr>
      <w:r>
        <w:rPr>
          <w:rFonts w:ascii="Calibri" w:cs="Calibri" w:eastAsia="Calibri" w:hAnsi="Calibri"/>
          <w:sz w:val="21"/>
          <w:szCs w:val="21"/>
          <w:i w:val="1"/>
          <w:iCs w:val="1"/>
          <w:color w:val="auto"/>
        </w:rPr>
        <w:t>“</w:t>
      </w:r>
      <w:r>
        <w:rPr>
          <w:rFonts w:ascii="Calibri" w:cs="Calibri" w:eastAsia="Calibri" w:hAnsi="Calibri"/>
          <w:sz w:val="21"/>
          <w:szCs w:val="21"/>
          <w:b w:val="1"/>
          <w:bCs w:val="1"/>
          <w:i w:val="1"/>
          <w:iCs w:val="1"/>
          <w:color w:val="auto"/>
        </w:rPr>
        <w:t>Purchase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and</w:t>
      </w:r>
      <w:r>
        <w:rPr>
          <w:rFonts w:ascii="Calibri" w:cs="Calibri" w:eastAsia="Calibri" w:hAnsi="Calibri"/>
          <w:sz w:val="21"/>
          <w:szCs w:val="21"/>
          <w:i w:val="1"/>
          <w:iCs w:val="1"/>
          <w:color w:val="auto"/>
        </w:rPr>
        <w:t xml:space="preserve"> “</w:t>
      </w:r>
      <w:r>
        <w:rPr>
          <w:rFonts w:ascii="Calibri" w:cs="Calibri" w:eastAsia="Calibri" w:hAnsi="Calibri"/>
          <w:sz w:val="21"/>
          <w:szCs w:val="21"/>
          <w:b w:val="1"/>
          <w:bCs w:val="1"/>
          <w:i w:val="1"/>
          <w:iCs w:val="1"/>
          <w:color w:val="auto"/>
        </w:rPr>
        <w:t>sale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are defned broadly under the federal securites law.</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Purchase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includes not only the actual purchase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 xml:space="preserve">of a security, but also any contract to purchase or otherwise acquire a security. </w:t>
      </w:r>
      <w:r>
        <w:rPr>
          <w:rFonts w:ascii="Calibri" w:cs="Calibri" w:eastAsia="Calibri" w:hAnsi="Calibri"/>
          <w:sz w:val="21"/>
          <w:szCs w:val="21"/>
          <w:i w:val="1"/>
          <w:iCs w:val="1"/>
          <w:color w:val="auto"/>
        </w:rPr>
        <w:t>“</w:t>
      </w:r>
      <w:r>
        <w:rPr>
          <w:rFonts w:ascii="Calibri" w:cs="Calibri" w:eastAsia="Calibri" w:hAnsi="Calibri"/>
          <w:sz w:val="21"/>
          <w:szCs w:val="21"/>
          <w:color w:val="auto"/>
        </w:rPr>
        <w:t>Sale</w:t>
      </w:r>
      <w:r>
        <w:rPr>
          <w:rFonts w:ascii="Calibri" w:cs="Calibri" w:eastAsia="Calibri" w:hAnsi="Calibri"/>
          <w:sz w:val="21"/>
          <w:szCs w:val="21"/>
          <w:i w:val="1"/>
          <w:iCs w:val="1"/>
          <w:color w:val="auto"/>
        </w:rPr>
        <w:t>”</w:t>
      </w:r>
      <w:r>
        <w:rPr>
          <w:rFonts w:ascii="Calibri" w:cs="Calibri" w:eastAsia="Calibri" w:hAnsi="Calibri"/>
          <w:sz w:val="21"/>
          <w:szCs w:val="21"/>
          <w:color w:val="auto"/>
        </w:rPr>
        <w:t xml:space="preserve"> includes not only the actual sale of a security, but also any contract to sell or otherwise dispose of a security. These defnitons extend to a broad range of transactons, including conventonal cash-for-stock transactons, conversions, the exercise of stock optons, transfers, gifs, and acquisitons and exercises of warrants or puts, calls, pledging and margin loans, or other derivatve securites.</w:t>
      </w:r>
    </w:p>
    <w:p>
      <w:pPr>
        <w:spacing w:after="0" w:line="205" w:lineRule="exact"/>
        <w:rPr>
          <w:sz w:val="20"/>
          <w:szCs w:val="20"/>
          <w:color w:val="auto"/>
        </w:rPr>
      </w:pPr>
    </w:p>
    <w:p>
      <w:pPr>
        <w:jc w:val="both"/>
        <w:ind w:left="120" w:right="120" w:firstLine="728"/>
        <w:spacing w:after="0" w:line="228" w:lineRule="auto"/>
        <w:rPr>
          <w:sz w:val="20"/>
          <w:szCs w:val="20"/>
          <w:color w:val="auto"/>
        </w:rPr>
      </w:pPr>
      <w:r>
        <w:rPr>
          <w:rFonts w:ascii="Calibri" w:cs="Calibri" w:eastAsia="Calibri" w:hAnsi="Calibri"/>
          <w:sz w:val="21"/>
          <w:szCs w:val="21"/>
          <w:color w:val="auto"/>
        </w:rPr>
        <w:t>The laws and regulatons concerning insider trading are complex, and you are encouraged to seek guidance from the Compliance Ofcer prior to considering a transacton in Company securites.</w:t>
      </w:r>
    </w:p>
    <w:p>
      <w:pPr>
        <w:spacing w:after="0" w:line="150"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auto"/>
        </w:rPr>
        <w:t>Material Nonpublic Informaton</w:t>
      </w:r>
    </w:p>
    <w:p>
      <w:pPr>
        <w:spacing w:after="0" w:line="250" w:lineRule="exact"/>
        <w:rPr>
          <w:sz w:val="20"/>
          <w:szCs w:val="20"/>
          <w:color w:val="auto"/>
        </w:rPr>
      </w:pPr>
    </w:p>
    <w:p>
      <w:pPr>
        <w:ind w:left="80"/>
        <w:spacing w:after="0"/>
        <w:rPr>
          <w:sz w:val="20"/>
          <w:szCs w:val="20"/>
          <w:color w:val="auto"/>
        </w:rPr>
      </w:pPr>
      <w:r>
        <w:rPr>
          <w:rFonts w:ascii="Calibri" w:cs="Calibri" w:eastAsia="Calibri" w:hAnsi="Calibri"/>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1089660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7" w:name="page278"/>
    <w:bookmarkEnd w:id="277"/>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749"/>
        <w:spacing w:after="0" w:line="227" w:lineRule="auto"/>
        <w:rPr>
          <w:sz w:val="20"/>
          <w:szCs w:val="20"/>
          <w:color w:val="auto"/>
        </w:rPr>
      </w:pPr>
      <w:r>
        <w:rPr>
          <w:rFonts w:ascii="Calibri" w:cs="Calibri" w:eastAsia="Calibri" w:hAnsi="Calibri"/>
          <w:sz w:val="21"/>
          <w:szCs w:val="21"/>
          <w:color w:val="auto"/>
        </w:rPr>
        <w:t>Informaton is considered “</w:t>
      </w:r>
      <w:r>
        <w:rPr>
          <w:rFonts w:ascii="Calibri" w:cs="Calibri" w:eastAsia="Calibri" w:hAnsi="Calibri"/>
          <w:sz w:val="21"/>
          <w:szCs w:val="21"/>
          <w:i w:val="1"/>
          <w:iCs w:val="1"/>
          <w:color w:val="auto"/>
        </w:rPr>
        <w:t>material</w:t>
      </w:r>
      <w:r>
        <w:rPr>
          <w:rFonts w:ascii="Calibri" w:cs="Calibri" w:eastAsia="Calibri" w:hAnsi="Calibri"/>
          <w:sz w:val="21"/>
          <w:szCs w:val="21"/>
          <w:color w:val="auto"/>
        </w:rPr>
        <w:t>” if there is a substantal likelihood that a reasonable investor would consider it important in making a decision to buy, sell, or hold a security, or if the informaton is likely to have a signifcant efect on the market price of the security. Material informaton can be positve or negatve, and can relate to virtually any aspect of a company’s business or to any type of security, debt, or equity. Also, informaton that something is likely to happen in the future—or even just that it may happen—could be deemed material.</w:t>
      </w:r>
    </w:p>
    <w:p>
      <w:pPr>
        <w:spacing w:after="0" w:line="208" w:lineRule="exact"/>
        <w:rPr>
          <w:sz w:val="20"/>
          <w:szCs w:val="20"/>
          <w:color w:val="auto"/>
        </w:rPr>
      </w:pPr>
    </w:p>
    <w:p>
      <w:pPr>
        <w:ind w:left="840"/>
        <w:spacing w:after="0"/>
        <w:rPr>
          <w:sz w:val="20"/>
          <w:szCs w:val="20"/>
          <w:color w:val="auto"/>
        </w:rPr>
      </w:pPr>
      <w:r>
        <w:rPr>
          <w:rFonts w:ascii="Calibri" w:cs="Calibri" w:eastAsia="Calibri" w:hAnsi="Calibri"/>
          <w:sz w:val="21"/>
          <w:szCs w:val="21"/>
          <w:color w:val="auto"/>
        </w:rPr>
        <w:t>Examples of material informaton may include (but are not limited to) informaton about:</w:t>
      </w:r>
    </w:p>
    <w:p>
      <w:pPr>
        <w:spacing w:after="0" w:line="230" w:lineRule="exact"/>
        <w:rPr>
          <w:sz w:val="20"/>
          <w:szCs w:val="20"/>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corporate earnings or earnings forecasts;</w:t>
      </w:r>
    </w:p>
    <w:p>
      <w:pPr>
        <w:spacing w:after="0" w:line="121"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possible mergers, acquisitons, tender ofers, or dispositons;</w:t>
      </w:r>
    </w:p>
    <w:p>
      <w:pPr>
        <w:spacing w:after="0" w:line="121"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major new products or product developments;</w:t>
      </w:r>
    </w:p>
    <w:p>
      <w:pPr>
        <w:spacing w:after="0" w:line="135"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results of clinical trials or preclinical studies;</w:t>
      </w:r>
    </w:p>
    <w:p>
      <w:pPr>
        <w:spacing w:after="0" w:line="108"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communicatons sent to or received from the U.S. Food and Drug Administraton or foreign regulatory authorites;</w:t>
      </w:r>
    </w:p>
    <w:p>
      <w:pPr>
        <w:spacing w:after="0" w:line="132" w:lineRule="exact"/>
        <w:rPr>
          <w:rFonts w:ascii="Times New Roman" w:cs="Times New Roman" w:eastAsia="Times New Roman" w:hAnsi="Times New Roman"/>
          <w:sz w:val="21"/>
          <w:szCs w:val="21"/>
          <w:color w:val="auto"/>
        </w:rPr>
      </w:pPr>
    </w:p>
    <w:p>
      <w:pPr>
        <w:ind w:left="1200" w:right="200" w:hanging="354"/>
        <w:spacing w:after="0" w:line="228" w:lineRule="auto"/>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important business developments, such as trial results, developments regarding strategic collaboratons or the status of regulatory submissions;</w:t>
      </w:r>
    </w:p>
    <w:p>
      <w:pPr>
        <w:spacing w:after="0" w:line="122"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management or control changes;</w:t>
      </w:r>
    </w:p>
    <w:p>
      <w:pPr>
        <w:spacing w:after="0" w:line="121"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signifcant fnancing developments including pending public sales or oferings of debt or equity securites;</w:t>
      </w:r>
    </w:p>
    <w:p>
      <w:pPr>
        <w:spacing w:after="0" w:line="121"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defaults on borrowings;</w:t>
      </w:r>
    </w:p>
    <w:p>
      <w:pPr>
        <w:spacing w:after="0" w:line="121"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bankruptcies;</w:t>
      </w:r>
    </w:p>
    <w:p>
      <w:pPr>
        <w:spacing w:after="0" w:line="121"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cybersecurity or data security incidents; and</w:t>
      </w:r>
    </w:p>
    <w:p>
      <w:pPr>
        <w:spacing w:after="0" w:line="121" w:lineRule="exact"/>
        <w:rPr>
          <w:rFonts w:ascii="Times New Roman" w:cs="Times New Roman" w:eastAsia="Times New Roman" w:hAnsi="Times New Roman"/>
          <w:sz w:val="21"/>
          <w:szCs w:val="21"/>
          <w:color w:val="auto"/>
        </w:rPr>
      </w:pPr>
    </w:p>
    <w:p>
      <w:pPr>
        <w:ind w:left="1200" w:hanging="354"/>
        <w:spacing w:after="0"/>
        <w:tabs>
          <w:tab w:leader="none" w:pos="1200" w:val="left"/>
        </w:tabs>
        <w:numPr>
          <w:ilvl w:val="0"/>
          <w:numId w:val="246"/>
        </w:numPr>
        <w:rPr>
          <w:rFonts w:ascii="Times New Roman" w:cs="Times New Roman" w:eastAsia="Times New Roman" w:hAnsi="Times New Roman"/>
          <w:sz w:val="21"/>
          <w:szCs w:val="21"/>
          <w:color w:val="auto"/>
        </w:rPr>
      </w:pPr>
      <w:r>
        <w:rPr>
          <w:rFonts w:ascii="Calibri" w:cs="Calibri" w:eastAsia="Calibri" w:hAnsi="Calibri"/>
          <w:sz w:val="21"/>
          <w:szCs w:val="21"/>
          <w:color w:val="auto"/>
        </w:rPr>
        <w:t>signifcant litgaton or regulatory actons.</w:t>
      </w:r>
    </w:p>
    <w:p>
      <w:pPr>
        <w:spacing w:after="0" w:line="214" w:lineRule="exact"/>
        <w:rPr>
          <w:sz w:val="20"/>
          <w:szCs w:val="20"/>
          <w:color w:val="auto"/>
        </w:rPr>
      </w:pPr>
    </w:p>
    <w:p>
      <w:pPr>
        <w:jc w:val="both"/>
        <w:ind w:left="120" w:right="100" w:firstLine="728"/>
        <w:spacing w:after="0" w:line="239" w:lineRule="auto"/>
        <w:rPr>
          <w:sz w:val="20"/>
          <w:szCs w:val="20"/>
          <w:color w:val="auto"/>
        </w:rPr>
      </w:pPr>
      <w:r>
        <w:rPr>
          <w:rFonts w:ascii="Calibri" w:cs="Calibri" w:eastAsia="Calibri" w:hAnsi="Calibri"/>
          <w:sz w:val="20"/>
          <w:szCs w:val="20"/>
          <w:color w:val="auto"/>
        </w:rPr>
        <w:t>Informaton is “</w:t>
      </w:r>
      <w:r>
        <w:rPr>
          <w:rFonts w:ascii="Calibri" w:cs="Calibri" w:eastAsia="Calibri" w:hAnsi="Calibri"/>
          <w:sz w:val="20"/>
          <w:szCs w:val="20"/>
          <w:i w:val="1"/>
          <w:iCs w:val="1"/>
          <w:color w:val="auto"/>
        </w:rPr>
        <w:t>nonpublic</w:t>
      </w:r>
      <w:r>
        <w:rPr>
          <w:rFonts w:ascii="Calibri" w:cs="Calibri" w:eastAsia="Calibri" w:hAnsi="Calibri"/>
          <w:sz w:val="20"/>
          <w:szCs w:val="20"/>
          <w:color w:val="auto"/>
        </w:rPr>
        <w:t>” if it is not available to the general public. In order for informaton to be considered “</w:t>
      </w:r>
      <w:r>
        <w:rPr>
          <w:rFonts w:ascii="Calibri" w:cs="Calibri" w:eastAsia="Calibri" w:hAnsi="Calibri"/>
          <w:sz w:val="20"/>
          <w:szCs w:val="20"/>
          <w:i w:val="1"/>
          <w:iCs w:val="1"/>
          <w:color w:val="auto"/>
        </w:rPr>
        <w:t>public</w:t>
      </w:r>
      <w:r>
        <w:rPr>
          <w:rFonts w:ascii="Calibri" w:cs="Calibri" w:eastAsia="Calibri" w:hAnsi="Calibri"/>
          <w:sz w:val="20"/>
          <w:szCs w:val="20"/>
          <w:color w:val="auto"/>
        </w:rPr>
        <w:t>,” it must be widely disseminated in a manner that makes it generally available to investors in a Regulaton FD-compliant method, such as through a press release, a fling with the U.S. Securites and Exchange Commission (the “</w:t>
      </w:r>
      <w:r>
        <w:rPr>
          <w:rFonts w:ascii="Calibri" w:cs="Calibri" w:eastAsia="Calibri" w:hAnsi="Calibri"/>
          <w:sz w:val="20"/>
          <w:szCs w:val="20"/>
          <w:b w:val="1"/>
          <w:bCs w:val="1"/>
          <w:i w:val="1"/>
          <w:iCs w:val="1"/>
          <w:color w:val="auto"/>
        </w:rPr>
        <w:t>SEC</w:t>
      </w:r>
      <w:r>
        <w:rPr>
          <w:rFonts w:ascii="Calibri" w:cs="Calibri" w:eastAsia="Calibri" w:hAnsi="Calibri"/>
          <w:sz w:val="20"/>
          <w:szCs w:val="20"/>
          <w:color w:val="auto"/>
        </w:rPr>
        <w:t>”) or a Regulaton FD-compliant conference call. The Compliance Ofcer shall have sole discreton to decide whether informaton is public for purposes of this Policy.</w:t>
      </w:r>
    </w:p>
    <w:p>
      <w:pPr>
        <w:spacing w:after="0" w:line="202" w:lineRule="exact"/>
        <w:rPr>
          <w:sz w:val="20"/>
          <w:szCs w:val="20"/>
          <w:color w:val="auto"/>
        </w:rPr>
      </w:pPr>
    </w:p>
    <w:p>
      <w:pPr>
        <w:jc w:val="both"/>
        <w:ind w:left="120" w:right="120" w:firstLine="728"/>
        <w:spacing w:after="0" w:line="228" w:lineRule="auto"/>
        <w:rPr>
          <w:sz w:val="20"/>
          <w:szCs w:val="20"/>
          <w:color w:val="auto"/>
        </w:rPr>
      </w:pPr>
      <w:r>
        <w:rPr>
          <w:rFonts w:ascii="Calibri" w:cs="Calibri" w:eastAsia="Calibri" w:hAnsi="Calibri"/>
          <w:sz w:val="21"/>
          <w:szCs w:val="21"/>
          <w:color w:val="auto"/>
        </w:rPr>
        <w:t>The circulaton of rumors, even if accurate and reported in the media, does not consttute public disseminaton. In additon, even afer a public announcement, a reasonable period of tme may need to lapse in order for the market to react to the informaton. Generally, the passage of one to two full trading days following release of the informaton to the public, is a reasonable waitng period before such informaton is deemed to be public.</w:t>
      </w:r>
    </w:p>
    <w:p>
      <w:pPr>
        <w:spacing w:after="0" w:line="203"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u w:val="single" w:color="auto"/>
          <w:color w:val="auto"/>
        </w:rPr>
        <w:t>Blackout Policy</w:t>
      </w:r>
    </w:p>
    <w:p>
      <w:pPr>
        <w:spacing w:after="0" w:line="214" w:lineRule="exact"/>
        <w:rPr>
          <w:sz w:val="20"/>
          <w:szCs w:val="20"/>
          <w:color w:val="auto"/>
        </w:rPr>
      </w:pPr>
    </w:p>
    <w:p>
      <w:pPr>
        <w:ind w:left="120" w:firstLine="644"/>
        <w:spacing w:after="0" w:line="228" w:lineRule="auto"/>
        <w:rPr>
          <w:sz w:val="20"/>
          <w:szCs w:val="20"/>
          <w:color w:val="auto"/>
        </w:rPr>
      </w:pPr>
      <w:r>
        <w:rPr>
          <w:rFonts w:ascii="Calibri" w:cs="Calibri" w:eastAsia="Calibri" w:hAnsi="Calibri"/>
          <w:sz w:val="21"/>
          <w:szCs w:val="21"/>
          <w:color w:val="auto"/>
        </w:rPr>
        <w:t>In additon to the prohibiton against trading while you possess inside informaton, CG Oncology, through its Compliance Ofcer, may impose certain blackout periods during which you</w:t>
      </w:r>
    </w:p>
    <w:p>
      <w:pPr>
        <w:spacing w:after="0" w:line="251" w:lineRule="exact"/>
        <w:rPr>
          <w:sz w:val="20"/>
          <w:szCs w:val="20"/>
          <w:color w:val="auto"/>
        </w:rPr>
      </w:pPr>
    </w:p>
    <w:p>
      <w:pPr>
        <w:ind w:left="80"/>
        <w:spacing w:after="0"/>
        <w:rPr>
          <w:sz w:val="20"/>
          <w:szCs w:val="20"/>
          <w:color w:val="auto"/>
        </w:rPr>
      </w:pPr>
      <w:r>
        <w:rPr>
          <w:rFonts w:ascii="Calibri" w:cs="Calibri" w:eastAsia="Calibri" w:hAnsi="Calibri"/>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1089660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92" w:lineRule="exact"/>
        <w:rPr>
          <w:sz w:val="20"/>
          <w:szCs w:val="20"/>
          <w:color w:val="auto"/>
        </w:rPr>
      </w:pPr>
    </w:p>
    <w:p>
      <w:pPr>
        <w:jc w:val="both"/>
        <w:ind w:left="40"/>
        <w:spacing w:after="0" w:line="227" w:lineRule="auto"/>
        <w:rPr>
          <w:sz w:val="20"/>
          <w:szCs w:val="20"/>
          <w:color w:val="auto"/>
        </w:rPr>
      </w:pPr>
      <w:r>
        <w:rPr>
          <w:rFonts w:ascii="Calibri" w:cs="Calibri" w:eastAsia="Calibri" w:hAnsi="Calibri"/>
          <w:sz w:val="21"/>
          <w:szCs w:val="21"/>
          <w:color w:val="auto"/>
        </w:rPr>
        <w:t>will be prohibited from trading in CG Oncology’s securites, unless such trades are made under a previously adopted, valid 10b5-1 Plan that complies with CG Oncology’s policies. Generally, CG Oncology will impose a trading blackout period on the 16th day of the last month of the fscal quarter, unless the 16th day falls on a weekend or Nasdaq holiday, in which case it is the trading day immediately prior to the 16th day of such month, and ending afer two full trading days have elapsed afer the public disseminaton of CG Oncology’s annual, interim or quarterly fnancial results.</w:t>
      </w:r>
    </w:p>
    <w:p>
      <w:pPr>
        <w:spacing w:after="0" w:line="219" w:lineRule="exact"/>
        <w:rPr>
          <w:sz w:val="20"/>
          <w:szCs w:val="20"/>
          <w:color w:val="auto"/>
        </w:rPr>
      </w:pPr>
    </w:p>
    <w:p>
      <w:pPr>
        <w:jc w:val="both"/>
        <w:ind w:left="40" w:firstLine="644"/>
        <w:spacing w:after="0" w:line="228" w:lineRule="auto"/>
        <w:rPr>
          <w:sz w:val="20"/>
          <w:szCs w:val="20"/>
          <w:color w:val="auto"/>
        </w:rPr>
      </w:pPr>
      <w:r>
        <w:rPr>
          <w:rFonts w:ascii="Calibri" w:cs="Calibri" w:eastAsia="Calibri" w:hAnsi="Calibri"/>
          <w:sz w:val="21"/>
          <w:szCs w:val="21"/>
          <w:color w:val="auto"/>
        </w:rPr>
        <w:t>In additon, other examples of events where CG Oncology may impose a trading blackout period include, but are not limited to, when CG Oncology:</w:t>
      </w:r>
    </w:p>
    <w:p>
      <w:pPr>
        <w:spacing w:after="0" w:line="215" w:lineRule="exact"/>
        <w:rPr>
          <w:sz w:val="20"/>
          <w:szCs w:val="20"/>
          <w:color w:val="auto"/>
        </w:rPr>
      </w:pPr>
    </w:p>
    <w:p>
      <w:pPr>
        <w:ind w:left="1060" w:right="20" w:hanging="383"/>
        <w:spacing w:after="0" w:line="228" w:lineRule="auto"/>
        <w:tabs>
          <w:tab w:leader="none" w:pos="1052" w:val="left"/>
        </w:tabs>
        <w:numPr>
          <w:ilvl w:val="0"/>
          <w:numId w:val="247"/>
        </w:numPr>
        <w:rPr>
          <w:rFonts w:ascii="Calibri" w:cs="Calibri" w:eastAsia="Calibri" w:hAnsi="Calibri"/>
          <w:sz w:val="21"/>
          <w:szCs w:val="21"/>
          <w:color w:val="auto"/>
        </w:rPr>
      </w:pPr>
      <w:r>
        <w:rPr>
          <w:rFonts w:ascii="Calibri" w:cs="Calibri" w:eastAsia="Calibri" w:hAnsi="Calibri"/>
          <w:sz w:val="21"/>
          <w:szCs w:val="21"/>
          <w:color w:val="auto"/>
        </w:rPr>
        <w:t>engages in communicatons, whether writen or oral, with the FDA or other regulatory authority regarding CG Oncology’s or another company’s drug;</w:t>
      </w:r>
    </w:p>
    <w:p>
      <w:pPr>
        <w:spacing w:after="0" w:line="241" w:lineRule="exact"/>
        <w:rPr>
          <w:rFonts w:ascii="Calibri" w:cs="Calibri" w:eastAsia="Calibri" w:hAnsi="Calibri"/>
          <w:sz w:val="21"/>
          <w:szCs w:val="21"/>
          <w:color w:val="auto"/>
        </w:rPr>
      </w:pPr>
    </w:p>
    <w:p>
      <w:pPr>
        <w:ind w:left="1060" w:hanging="383"/>
        <w:spacing w:after="0" w:line="228" w:lineRule="auto"/>
        <w:tabs>
          <w:tab w:leader="none" w:pos="1060" w:val="left"/>
        </w:tabs>
        <w:numPr>
          <w:ilvl w:val="0"/>
          <w:numId w:val="247"/>
        </w:numPr>
        <w:rPr>
          <w:rFonts w:ascii="Times New Roman" w:cs="Times New Roman" w:eastAsia="Times New Roman" w:hAnsi="Times New Roman"/>
          <w:sz w:val="21"/>
          <w:szCs w:val="21"/>
          <w:color w:val="auto"/>
        </w:rPr>
      </w:pPr>
      <w:r>
        <w:rPr>
          <w:rFonts w:ascii="Calibri" w:cs="Calibri" w:eastAsia="Calibri" w:hAnsi="Calibri"/>
          <w:sz w:val="21"/>
          <w:szCs w:val="21"/>
          <w:color w:val="auto"/>
        </w:rPr>
        <w:t>executes a signifcant partnering transacton related to one or more of CG Oncology’s programs untl CG Oncology publicly discloses such transacton;</w:t>
      </w:r>
    </w:p>
    <w:p>
      <w:pPr>
        <w:spacing w:after="0" w:line="230" w:lineRule="exact"/>
        <w:rPr>
          <w:rFonts w:ascii="Times New Roman" w:cs="Times New Roman" w:eastAsia="Times New Roman" w:hAnsi="Times New Roman"/>
          <w:sz w:val="21"/>
          <w:szCs w:val="21"/>
          <w:color w:val="auto"/>
        </w:rPr>
      </w:pPr>
    </w:p>
    <w:p>
      <w:pPr>
        <w:ind w:left="1060" w:hanging="383"/>
        <w:spacing w:after="0"/>
        <w:tabs>
          <w:tab w:leader="none" w:pos="1060" w:val="left"/>
        </w:tabs>
        <w:numPr>
          <w:ilvl w:val="0"/>
          <w:numId w:val="247"/>
        </w:numPr>
        <w:rPr>
          <w:rFonts w:ascii="Times New Roman" w:cs="Times New Roman" w:eastAsia="Times New Roman" w:hAnsi="Times New Roman"/>
          <w:sz w:val="21"/>
          <w:szCs w:val="21"/>
          <w:color w:val="auto"/>
        </w:rPr>
      </w:pPr>
      <w:r>
        <w:rPr>
          <w:rFonts w:ascii="Calibri" w:cs="Calibri" w:eastAsia="Calibri" w:hAnsi="Calibri"/>
          <w:sz w:val="21"/>
          <w:szCs w:val="21"/>
          <w:color w:val="auto"/>
        </w:rPr>
        <w:t>issues new equity or debt oferings or repurchases by CG Oncology;</w:t>
      </w:r>
    </w:p>
    <w:p>
      <w:pPr>
        <w:spacing w:after="0" w:line="243" w:lineRule="exact"/>
        <w:rPr>
          <w:rFonts w:ascii="Times New Roman" w:cs="Times New Roman" w:eastAsia="Times New Roman" w:hAnsi="Times New Roman"/>
          <w:sz w:val="21"/>
          <w:szCs w:val="21"/>
          <w:color w:val="auto"/>
        </w:rPr>
      </w:pPr>
    </w:p>
    <w:p>
      <w:pPr>
        <w:ind w:left="1060" w:hanging="383"/>
        <w:spacing w:after="0"/>
        <w:tabs>
          <w:tab w:leader="none" w:pos="1060" w:val="left"/>
        </w:tabs>
        <w:numPr>
          <w:ilvl w:val="0"/>
          <w:numId w:val="247"/>
        </w:numPr>
        <w:rPr>
          <w:rFonts w:ascii="Times New Roman" w:cs="Times New Roman" w:eastAsia="Times New Roman" w:hAnsi="Times New Roman"/>
          <w:sz w:val="21"/>
          <w:szCs w:val="21"/>
          <w:color w:val="auto"/>
        </w:rPr>
      </w:pPr>
      <w:r>
        <w:rPr>
          <w:rFonts w:ascii="Calibri" w:cs="Calibri" w:eastAsia="Calibri" w:hAnsi="Calibri"/>
          <w:sz w:val="21"/>
          <w:szCs w:val="21"/>
          <w:color w:val="auto"/>
        </w:rPr>
        <w:t>makes adjustments to CG Oncology’s fnancial guidance; and</w:t>
      </w:r>
    </w:p>
    <w:p>
      <w:pPr>
        <w:spacing w:after="0" w:line="240" w:lineRule="exact"/>
        <w:rPr>
          <w:rFonts w:ascii="Times New Roman" w:cs="Times New Roman" w:eastAsia="Times New Roman" w:hAnsi="Times New Roman"/>
          <w:sz w:val="21"/>
          <w:szCs w:val="21"/>
          <w:color w:val="auto"/>
        </w:rPr>
      </w:pPr>
    </w:p>
    <w:p>
      <w:pPr>
        <w:ind w:left="1060" w:hanging="383"/>
        <w:spacing w:after="0" w:line="228" w:lineRule="auto"/>
        <w:tabs>
          <w:tab w:leader="none" w:pos="1060" w:val="left"/>
        </w:tabs>
        <w:numPr>
          <w:ilvl w:val="0"/>
          <w:numId w:val="247"/>
        </w:numPr>
        <w:rPr>
          <w:rFonts w:ascii="Times New Roman" w:cs="Times New Roman" w:eastAsia="Times New Roman" w:hAnsi="Times New Roman"/>
          <w:sz w:val="21"/>
          <w:szCs w:val="21"/>
          <w:color w:val="auto"/>
        </w:rPr>
      </w:pPr>
      <w:r>
        <w:rPr>
          <w:rFonts w:ascii="Calibri" w:cs="Calibri" w:eastAsia="Calibri" w:hAnsi="Calibri"/>
          <w:sz w:val="21"/>
          <w:szCs w:val="21"/>
          <w:color w:val="auto"/>
        </w:rPr>
        <w:t>unblinds the data for a clinical study for one of CG Oncology’s drugs untl the top line results of such study are publicly disclosed by CG Oncology.</w:t>
      </w:r>
    </w:p>
    <w:p>
      <w:pPr>
        <w:spacing w:after="0" w:line="215" w:lineRule="exact"/>
        <w:rPr>
          <w:sz w:val="20"/>
          <w:szCs w:val="20"/>
          <w:color w:val="auto"/>
        </w:rPr>
      </w:pPr>
    </w:p>
    <w:p>
      <w:pPr>
        <w:ind w:left="40" w:firstLine="644"/>
        <w:spacing w:after="0" w:line="228" w:lineRule="auto"/>
        <w:rPr>
          <w:sz w:val="20"/>
          <w:szCs w:val="20"/>
          <w:color w:val="auto"/>
        </w:rPr>
      </w:pPr>
      <w:r>
        <w:rPr>
          <w:rFonts w:ascii="Calibri" w:cs="Calibri" w:eastAsia="Calibri" w:hAnsi="Calibri"/>
          <w:sz w:val="21"/>
          <w:szCs w:val="21"/>
          <w:color w:val="auto"/>
        </w:rPr>
        <w:t>In additon, CG Oncology may impose additonal blackout periods if the Compliance Ofcer believes inside informaton exists that requires imposing a blackout period to avoid the potental for, or the percepton of, insider trading.</w:t>
      </w:r>
    </w:p>
    <w:p>
      <w:pPr>
        <w:spacing w:after="0" w:line="215" w:lineRule="exact"/>
        <w:rPr>
          <w:sz w:val="20"/>
          <w:szCs w:val="20"/>
          <w:color w:val="auto"/>
        </w:rPr>
      </w:pPr>
    </w:p>
    <w:p>
      <w:pPr>
        <w:ind w:left="40" w:firstLine="644"/>
        <w:spacing w:after="0" w:line="228" w:lineRule="auto"/>
        <w:rPr>
          <w:sz w:val="20"/>
          <w:szCs w:val="20"/>
          <w:color w:val="auto"/>
        </w:rPr>
      </w:pPr>
      <w:r>
        <w:rPr>
          <w:rFonts w:ascii="Calibri" w:cs="Calibri" w:eastAsia="Calibri" w:hAnsi="Calibri"/>
          <w:sz w:val="21"/>
          <w:szCs w:val="21"/>
          <w:color w:val="auto"/>
        </w:rPr>
        <w:t>The fact that CG Oncology has imposed a blackout period is CG Oncology’s confdental informaton and may not be disclosed outside CG Oncology.</w:t>
      </w:r>
    </w:p>
    <w:p>
      <w:pPr>
        <w:spacing w:after="0" w:line="215" w:lineRule="exact"/>
        <w:rPr>
          <w:sz w:val="20"/>
          <w:szCs w:val="20"/>
          <w:color w:val="auto"/>
        </w:rPr>
      </w:pPr>
    </w:p>
    <w:p>
      <w:pPr>
        <w:ind w:left="40" w:firstLine="644"/>
        <w:spacing w:after="0" w:line="228" w:lineRule="auto"/>
        <w:rPr>
          <w:sz w:val="20"/>
          <w:szCs w:val="20"/>
          <w:color w:val="auto"/>
        </w:rPr>
      </w:pPr>
      <w:r>
        <w:rPr>
          <w:rFonts w:ascii="Calibri" w:cs="Calibri" w:eastAsia="Calibri" w:hAnsi="Calibri"/>
          <w:sz w:val="21"/>
          <w:szCs w:val="21"/>
          <w:color w:val="auto"/>
        </w:rPr>
        <w:t>Anytme a blackout period is in efect, CG Oncology will notfy you, and CG Oncology’s stock administrator is authorized to block transactons in CG Oncology’s securites that violate this policy.</w:t>
      </w:r>
    </w:p>
    <w:p>
      <w:pPr>
        <w:spacing w:after="0" w:line="204" w:lineRule="exact"/>
        <w:rPr>
          <w:sz w:val="20"/>
          <w:szCs w:val="20"/>
          <w:color w:val="auto"/>
        </w:rPr>
      </w:pPr>
    </w:p>
    <w:p>
      <w:pPr>
        <w:ind w:left="760"/>
        <w:spacing w:after="0"/>
        <w:rPr>
          <w:sz w:val="20"/>
          <w:szCs w:val="20"/>
          <w:color w:val="auto"/>
        </w:rPr>
      </w:pPr>
      <w:r>
        <w:rPr>
          <w:rFonts w:ascii="Calibri" w:cs="Calibri" w:eastAsia="Calibri" w:hAnsi="Calibri"/>
          <w:sz w:val="21"/>
          <w:szCs w:val="21"/>
          <w:color w:val="auto"/>
        </w:rPr>
        <w:t>These prohibitons do not apply to:</w:t>
      </w:r>
    </w:p>
    <w:p>
      <w:pPr>
        <w:spacing w:after="0" w:line="241" w:lineRule="exact"/>
        <w:rPr>
          <w:sz w:val="20"/>
          <w:szCs w:val="20"/>
          <w:color w:val="auto"/>
        </w:rPr>
      </w:pPr>
    </w:p>
    <w:p>
      <w:pPr>
        <w:ind w:left="1480" w:right="120" w:hanging="729"/>
        <w:spacing w:after="0" w:line="228" w:lineRule="auto"/>
        <w:tabs>
          <w:tab w:leader="none" w:pos="1480" w:val="left"/>
        </w:tabs>
        <w:numPr>
          <w:ilvl w:val="0"/>
          <w:numId w:val="248"/>
        </w:numPr>
        <w:rPr>
          <w:rFonts w:ascii="Times New Roman" w:cs="Times New Roman" w:eastAsia="Times New Roman" w:hAnsi="Times New Roman"/>
          <w:sz w:val="21"/>
          <w:szCs w:val="21"/>
          <w:color w:val="auto"/>
        </w:rPr>
      </w:pPr>
      <w:r>
        <w:rPr>
          <w:rFonts w:ascii="Calibri" w:cs="Calibri" w:eastAsia="Calibri" w:hAnsi="Calibri"/>
          <w:sz w:val="21"/>
          <w:szCs w:val="21"/>
          <w:color w:val="auto"/>
        </w:rPr>
        <w:t>purchases of CG Oncology’s securites from CG Oncology (e.g., Employee Stock Purchase Plan), or sales of CG Oncology’s securites to CG Oncology;</w:t>
      </w:r>
    </w:p>
    <w:p>
      <w:pPr>
        <w:spacing w:after="0" w:line="187" w:lineRule="exact"/>
        <w:rPr>
          <w:rFonts w:ascii="Times New Roman" w:cs="Times New Roman" w:eastAsia="Times New Roman" w:hAnsi="Times New Roman"/>
          <w:sz w:val="21"/>
          <w:szCs w:val="21"/>
          <w:color w:val="auto"/>
        </w:rPr>
      </w:pPr>
    </w:p>
    <w:p>
      <w:pPr>
        <w:jc w:val="both"/>
        <w:ind w:left="1480" w:right="100" w:hanging="713"/>
        <w:spacing w:after="0" w:line="227" w:lineRule="auto"/>
        <w:tabs>
          <w:tab w:leader="none" w:pos="1480" w:val="left"/>
        </w:tabs>
        <w:numPr>
          <w:ilvl w:val="1"/>
          <w:numId w:val="248"/>
        </w:numPr>
        <w:rPr>
          <w:rFonts w:ascii="Times New Roman" w:cs="Times New Roman" w:eastAsia="Times New Roman" w:hAnsi="Times New Roman"/>
          <w:sz w:val="21"/>
          <w:szCs w:val="21"/>
          <w:color w:val="auto"/>
        </w:rPr>
      </w:pPr>
      <w:r>
        <w:rPr>
          <w:rFonts w:ascii="Calibri" w:cs="Calibri" w:eastAsia="Calibri" w:hAnsi="Calibri"/>
          <w:sz w:val="21"/>
          <w:szCs w:val="21"/>
          <w:color w:val="auto"/>
        </w:rPr>
        <w:t>exercises of stock optons or other equity awards or the surrender of shares to CG Oncology in payment of the exercise price or in satsfacton of any tax withholding obligatons in a manner permited by the applicable equity award agreement, or vestng of equity-based awards, in each case, that do not involve a market sale of CG Oncology’s securites (the “</w:t>
      </w:r>
      <w:r>
        <w:rPr>
          <w:rFonts w:ascii="Calibri" w:cs="Calibri" w:eastAsia="Calibri" w:hAnsi="Calibri"/>
          <w:sz w:val="21"/>
          <w:szCs w:val="21"/>
          <w:i w:val="1"/>
          <w:iCs w:val="1"/>
          <w:color w:val="auto"/>
        </w:rPr>
        <w:t>cashless exercise</w:t>
      </w:r>
      <w:r>
        <w:rPr>
          <w:rFonts w:ascii="Calibri" w:cs="Calibri" w:eastAsia="Calibri" w:hAnsi="Calibri"/>
          <w:sz w:val="21"/>
          <w:szCs w:val="21"/>
          <w:color w:val="auto"/>
        </w:rPr>
        <w:t>” of a Company stock opton or other equity award through a broker does involve a market sale of CG Oncology’s securites, and therefore would not qualify under this excepton); or</w:t>
      </w:r>
    </w:p>
    <w:p>
      <w:pPr>
        <w:spacing w:after="0" w:line="232" w:lineRule="exact"/>
        <w:rPr>
          <w:rFonts w:ascii="Times New Roman" w:cs="Times New Roman" w:eastAsia="Times New Roman" w:hAnsi="Times New Roman"/>
          <w:sz w:val="21"/>
          <w:szCs w:val="21"/>
          <w:color w:val="auto"/>
        </w:rPr>
      </w:pPr>
    </w:p>
    <w:p>
      <w:pPr>
        <w:ind w:left="1480" w:right="100" w:hanging="729"/>
        <w:spacing w:after="0" w:line="228" w:lineRule="auto"/>
        <w:tabs>
          <w:tab w:leader="none" w:pos="1480" w:val="left"/>
        </w:tabs>
        <w:numPr>
          <w:ilvl w:val="0"/>
          <w:numId w:val="248"/>
        </w:numPr>
        <w:rPr>
          <w:rFonts w:ascii="Times New Roman" w:cs="Times New Roman" w:eastAsia="Times New Roman" w:hAnsi="Times New Roman"/>
          <w:sz w:val="21"/>
          <w:szCs w:val="21"/>
          <w:color w:val="auto"/>
        </w:rPr>
      </w:pPr>
      <w:r>
        <w:rPr>
          <w:rFonts w:ascii="Calibri" w:cs="Calibri" w:eastAsia="Calibri" w:hAnsi="Calibri"/>
          <w:sz w:val="21"/>
          <w:szCs w:val="21"/>
          <w:color w:val="auto"/>
        </w:rPr>
        <w:t>purchases or sales of CG Oncology’s securites (i) mandated under an employee beneft plan maintained by CG Oncology which authorizes the sale of only such</w:t>
      </w:r>
    </w:p>
    <w:p>
      <w:pPr>
        <w:spacing w:after="0" w:line="251" w:lineRule="exact"/>
        <w:rPr>
          <w:sz w:val="20"/>
          <w:szCs w:val="20"/>
          <w:color w:val="auto"/>
        </w:rPr>
      </w:pPr>
    </w:p>
    <w:p>
      <w:pPr>
        <w:spacing w:after="0"/>
        <w:rPr>
          <w:sz w:val="20"/>
          <w:szCs w:val="20"/>
          <w:color w:val="auto"/>
        </w:rPr>
      </w:pPr>
      <w:r>
        <w:rPr>
          <w:rFonts w:ascii="Calibri" w:cs="Calibri" w:eastAsia="Calibri" w:hAnsi="Calibri"/>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1089660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5"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92" w:lineRule="exact"/>
        <w:rPr>
          <w:sz w:val="20"/>
          <w:szCs w:val="20"/>
          <w:color w:val="auto"/>
        </w:rPr>
      </w:pPr>
    </w:p>
    <w:p>
      <w:pPr>
        <w:jc w:val="both"/>
        <w:ind w:left="1480" w:right="100"/>
        <w:spacing w:after="0" w:line="228" w:lineRule="auto"/>
        <w:rPr>
          <w:sz w:val="20"/>
          <w:szCs w:val="20"/>
          <w:color w:val="auto"/>
        </w:rPr>
      </w:pPr>
      <w:r>
        <w:rPr>
          <w:rFonts w:ascii="Calibri" w:cs="Calibri" w:eastAsia="Calibri" w:hAnsi="Calibri"/>
          <w:sz w:val="21"/>
          <w:szCs w:val="21"/>
          <w:color w:val="auto"/>
        </w:rPr>
        <w:t>securites as are necessary to satsfy tax withholding obligatons arising exclusively from the vestng of a compensatory award or (ii) made pursuant to a plan adopted to comply with the Exchange Act Rule 10b5-1 (“</w:t>
      </w:r>
      <w:r>
        <w:rPr>
          <w:rFonts w:ascii="Calibri" w:cs="Calibri" w:eastAsia="Calibri" w:hAnsi="Calibri"/>
          <w:sz w:val="21"/>
          <w:szCs w:val="21"/>
          <w:b w:val="1"/>
          <w:bCs w:val="1"/>
          <w:i w:val="1"/>
          <w:iCs w:val="1"/>
          <w:color w:val="auto"/>
        </w:rPr>
        <w:t>Rule</w:t>
      </w:r>
      <w:r>
        <w:rPr>
          <w:rFonts w:ascii="Calibri" w:cs="Calibri" w:eastAsia="Calibri" w:hAnsi="Calibri"/>
          <w:sz w:val="21"/>
          <w:szCs w:val="21"/>
          <w:color w:val="auto"/>
        </w:rPr>
        <w:t xml:space="preserve"> </w:t>
      </w:r>
      <w:r>
        <w:rPr>
          <w:rFonts w:ascii="Calibri" w:cs="Calibri" w:eastAsia="Calibri" w:hAnsi="Calibri"/>
          <w:sz w:val="21"/>
          <w:szCs w:val="21"/>
          <w:b w:val="1"/>
          <w:bCs w:val="1"/>
          <w:i w:val="1"/>
          <w:iCs w:val="1"/>
          <w:color w:val="auto"/>
        </w:rPr>
        <w:t>10b5-1</w:t>
      </w:r>
      <w:r>
        <w:rPr>
          <w:rFonts w:ascii="Calibri" w:cs="Calibri" w:eastAsia="Calibri" w:hAnsi="Calibri"/>
          <w:sz w:val="21"/>
          <w:szCs w:val="21"/>
          <w:color w:val="auto"/>
        </w:rPr>
        <w:t>”).</w:t>
      </w:r>
    </w:p>
    <w:p>
      <w:pPr>
        <w:spacing w:after="0" w:line="201" w:lineRule="exact"/>
        <w:rPr>
          <w:sz w:val="20"/>
          <w:szCs w:val="20"/>
          <w:color w:val="auto"/>
        </w:rPr>
      </w:pPr>
    </w:p>
    <w:p>
      <w:pPr>
        <w:ind w:left="40" w:right="120" w:firstLine="728"/>
        <w:spacing w:after="0" w:line="228" w:lineRule="auto"/>
        <w:rPr>
          <w:sz w:val="20"/>
          <w:szCs w:val="20"/>
          <w:color w:val="auto"/>
        </w:rPr>
      </w:pPr>
      <w:r>
        <w:rPr>
          <w:rFonts w:ascii="Calibri" w:cs="Calibri" w:eastAsia="Calibri" w:hAnsi="Calibri"/>
          <w:sz w:val="21"/>
          <w:szCs w:val="21"/>
          <w:color w:val="auto"/>
        </w:rPr>
        <w:t xml:space="preserve">Exceptons to the blackout period policy may be approved by the Compliance Ofcer (or, in the case of an excepton for the Compliance Ofcer, the Chief Executve Ofcer), including any exceptons for </w:t>
      </w:r>
      <w:r>
        <w:rPr>
          <w:rFonts w:ascii="Calibri" w:cs="Calibri" w:eastAsia="Calibri" w:hAnsi="Calibri"/>
          <w:sz w:val="21"/>
          <w:szCs w:val="21"/>
          <w:i w:val="1"/>
          <w:iCs w:val="1"/>
          <w:color w:val="auto"/>
        </w:rPr>
        <w:t>bona fde</w:t>
      </w:r>
      <w:r>
        <w:rPr>
          <w:rFonts w:ascii="Calibri" w:cs="Calibri" w:eastAsia="Calibri" w:hAnsi="Calibri"/>
          <w:sz w:val="21"/>
          <w:szCs w:val="21"/>
          <w:color w:val="auto"/>
        </w:rPr>
        <w:t xml:space="preserve"> gifs of CG Oncology’s securites.</w:t>
      </w:r>
    </w:p>
    <w:p>
      <w:pPr>
        <w:spacing w:after="0" w:line="215" w:lineRule="exact"/>
        <w:rPr>
          <w:sz w:val="20"/>
          <w:szCs w:val="20"/>
          <w:color w:val="auto"/>
        </w:rPr>
      </w:pPr>
    </w:p>
    <w:p>
      <w:pPr>
        <w:ind w:left="40" w:right="840"/>
        <w:spacing w:after="0" w:line="228" w:lineRule="auto"/>
        <w:rPr>
          <w:sz w:val="20"/>
          <w:szCs w:val="20"/>
          <w:color w:val="auto"/>
        </w:rPr>
      </w:pPr>
      <w:r>
        <w:rPr>
          <w:rFonts w:ascii="Calibri" w:cs="Calibri" w:eastAsia="Calibri" w:hAnsi="Calibri"/>
          <w:sz w:val="21"/>
          <w:szCs w:val="21"/>
          <w:b w:val="1"/>
          <w:bCs w:val="1"/>
          <w:color w:val="auto"/>
        </w:rPr>
        <w:t>Rule 10b5-1 Trading Plans Required for all Ofcers and Employees that are at or More Senior to the Vice President Level or Otherwise Identfed as Mandatory Partcipants; and Optonal for All Other Employees</w:t>
      </w:r>
    </w:p>
    <w:p>
      <w:pPr>
        <w:spacing w:after="0" w:line="215" w:lineRule="exact"/>
        <w:rPr>
          <w:sz w:val="20"/>
          <w:szCs w:val="20"/>
          <w:color w:val="auto"/>
        </w:rPr>
      </w:pPr>
    </w:p>
    <w:p>
      <w:pPr>
        <w:ind w:left="40" w:right="40" w:firstLine="644"/>
        <w:spacing w:after="0" w:line="227" w:lineRule="auto"/>
        <w:rPr>
          <w:sz w:val="20"/>
          <w:szCs w:val="20"/>
          <w:color w:val="auto"/>
        </w:rPr>
      </w:pPr>
      <w:r>
        <w:rPr>
          <w:rFonts w:ascii="Calibri" w:cs="Calibri" w:eastAsia="Calibri" w:hAnsi="Calibri"/>
          <w:sz w:val="21"/>
          <w:szCs w:val="21"/>
          <w:color w:val="auto"/>
        </w:rPr>
        <w:t>If you are an ofcer or other employee that is at or more senior to the Vice President level, or an employee that has been identfed by the Compliance Ofcer as a mandatory partcipant in CG Oncology’s 10b5-1 program (each such ofcer or other identfed employee, a “</w:t>
      </w:r>
      <w:r>
        <w:rPr>
          <w:rFonts w:ascii="Calibri" w:cs="Calibri" w:eastAsia="Calibri" w:hAnsi="Calibri"/>
          <w:sz w:val="21"/>
          <w:szCs w:val="21"/>
          <w:b w:val="1"/>
          <w:bCs w:val="1"/>
          <w:i w:val="1"/>
          <w:iCs w:val="1"/>
          <w:color w:val="auto"/>
        </w:rPr>
        <w:t>Mandatory 10b5-1 Program Partcipant</w:t>
      </w:r>
      <w:r>
        <w:rPr>
          <w:rFonts w:ascii="Calibri" w:cs="Calibri" w:eastAsia="Calibri" w:hAnsi="Calibri"/>
          <w:sz w:val="21"/>
          <w:szCs w:val="21"/>
          <w:color w:val="auto"/>
        </w:rPr>
        <w:t>”) you may only sell CG Oncology’s securites using a previously established contract, plan or instructon to trade in CG Oncology’s securites entered into in accordance with Rule 10b5-1 (a “</w:t>
      </w:r>
      <w:r>
        <w:rPr>
          <w:rFonts w:ascii="Calibri" w:cs="Calibri" w:eastAsia="Calibri" w:hAnsi="Calibri"/>
          <w:sz w:val="21"/>
          <w:szCs w:val="21"/>
          <w:b w:val="1"/>
          <w:bCs w:val="1"/>
          <w:i w:val="1"/>
          <w:iCs w:val="1"/>
          <w:color w:val="auto"/>
        </w:rPr>
        <w:t>Trading Plan</w:t>
      </w:r>
      <w:r>
        <w:rPr>
          <w:rFonts w:ascii="Calibri" w:cs="Calibri" w:eastAsia="Calibri" w:hAnsi="Calibri"/>
          <w:sz w:val="21"/>
          <w:szCs w:val="21"/>
          <w:color w:val="auto"/>
        </w:rPr>
        <w:t>”). Please note that this restricton applies not only to the individual Mandatory 10b5-1 Program Partcipant, but also to members of their household (e.g., spouses, children and relatves living in the same household) and businesses or other enttes they control.</w:t>
      </w:r>
    </w:p>
    <w:p>
      <w:pPr>
        <w:spacing w:after="0" w:line="219" w:lineRule="exact"/>
        <w:rPr>
          <w:sz w:val="20"/>
          <w:szCs w:val="20"/>
          <w:color w:val="auto"/>
        </w:rPr>
      </w:pPr>
    </w:p>
    <w:p>
      <w:pPr>
        <w:ind w:left="40" w:firstLine="644"/>
        <w:spacing w:after="0" w:line="228" w:lineRule="auto"/>
        <w:rPr>
          <w:sz w:val="20"/>
          <w:szCs w:val="20"/>
          <w:color w:val="auto"/>
        </w:rPr>
      </w:pPr>
      <w:r>
        <w:rPr>
          <w:rFonts w:ascii="Calibri" w:cs="Calibri" w:eastAsia="Calibri" w:hAnsi="Calibri"/>
          <w:sz w:val="21"/>
          <w:szCs w:val="21"/>
          <w:color w:val="auto"/>
        </w:rPr>
        <w:t>All other employees and directors may choose to trade CG Oncology’s securites using CG Oncology’s approved Trading Plan but are not required to do so. If you choose to use a Trading Plan, then you may not trade CG Oncology’s securites outside of a Trading Plan for at least 24 months and untl the end of the Sales Period (as defned in the Trading Plan) in which all of your Trading Plans have expired or been terminated.</w:t>
      </w:r>
    </w:p>
    <w:p>
      <w:pPr>
        <w:spacing w:after="0" w:line="189" w:lineRule="exact"/>
        <w:rPr>
          <w:sz w:val="20"/>
          <w:szCs w:val="20"/>
          <w:color w:val="auto"/>
        </w:rPr>
      </w:pPr>
    </w:p>
    <w:p>
      <w:pPr>
        <w:ind w:left="40"/>
        <w:spacing w:after="0"/>
        <w:rPr>
          <w:sz w:val="20"/>
          <w:szCs w:val="20"/>
          <w:color w:val="auto"/>
        </w:rPr>
      </w:pPr>
      <w:r>
        <w:rPr>
          <w:rFonts w:ascii="Calibri" w:cs="Calibri" w:eastAsia="Calibri" w:hAnsi="Calibri"/>
          <w:sz w:val="21"/>
          <w:szCs w:val="21"/>
          <w:b w:val="1"/>
          <w:bCs w:val="1"/>
          <w:u w:val="single" w:color="auto"/>
          <w:color w:val="auto"/>
        </w:rPr>
        <w:t>Rule 10b5-1 Trading Plans</w:t>
      </w:r>
    </w:p>
    <w:p>
      <w:pPr>
        <w:spacing w:after="0" w:line="214" w:lineRule="exact"/>
        <w:rPr>
          <w:sz w:val="20"/>
          <w:szCs w:val="20"/>
          <w:color w:val="auto"/>
        </w:rPr>
      </w:pPr>
    </w:p>
    <w:p>
      <w:pPr>
        <w:ind w:left="40" w:right="120" w:firstLine="728"/>
        <w:spacing w:after="0" w:line="228" w:lineRule="auto"/>
        <w:rPr>
          <w:sz w:val="20"/>
          <w:szCs w:val="20"/>
          <w:color w:val="auto"/>
        </w:rPr>
      </w:pPr>
      <w:r>
        <w:rPr>
          <w:rFonts w:ascii="Calibri" w:cs="Calibri" w:eastAsia="Calibri" w:hAnsi="Calibri"/>
          <w:sz w:val="21"/>
          <w:szCs w:val="21"/>
          <w:color w:val="auto"/>
        </w:rPr>
        <w:t>The trading restrictons set forth in this Policy, other than those transactons described under “</w:t>
      </w:r>
      <w:r>
        <w:rPr>
          <w:rFonts w:ascii="Calibri" w:cs="Calibri" w:eastAsia="Calibri" w:hAnsi="Calibri"/>
          <w:sz w:val="21"/>
          <w:szCs w:val="21"/>
          <w:b w:val="1"/>
          <w:bCs w:val="1"/>
          <w:i w:val="1"/>
          <w:iCs w:val="1"/>
          <w:color w:val="auto"/>
        </w:rPr>
        <w:t>Prohibited Transactons</w:t>
      </w:r>
      <w:r>
        <w:rPr>
          <w:rFonts w:ascii="Calibri" w:cs="Calibri" w:eastAsia="Calibri" w:hAnsi="Calibri"/>
          <w:sz w:val="21"/>
          <w:szCs w:val="21"/>
          <w:color w:val="auto"/>
        </w:rPr>
        <w:t>,” do not apply to transactons under a Trading Plan that:</w:t>
      </w:r>
    </w:p>
    <w:p>
      <w:pPr>
        <w:spacing w:after="0" w:line="231" w:lineRule="exact"/>
        <w:rPr>
          <w:sz w:val="20"/>
          <w:szCs w:val="20"/>
          <w:color w:val="auto"/>
        </w:rPr>
      </w:pPr>
    </w:p>
    <w:p>
      <w:pPr>
        <w:ind w:left="1480" w:hanging="729"/>
        <w:spacing w:after="0"/>
        <w:tabs>
          <w:tab w:leader="none" w:pos="1480" w:val="left"/>
        </w:tabs>
        <w:numPr>
          <w:ilvl w:val="0"/>
          <w:numId w:val="249"/>
        </w:numPr>
        <w:rPr>
          <w:rFonts w:ascii="Times New Roman" w:cs="Times New Roman" w:eastAsia="Times New Roman" w:hAnsi="Times New Roman"/>
          <w:sz w:val="21"/>
          <w:szCs w:val="21"/>
          <w:color w:val="auto"/>
        </w:rPr>
      </w:pPr>
      <w:r>
        <w:rPr>
          <w:rFonts w:ascii="Calibri" w:cs="Calibri" w:eastAsia="Calibri" w:hAnsi="Calibri"/>
          <w:sz w:val="21"/>
          <w:szCs w:val="21"/>
          <w:color w:val="auto"/>
        </w:rPr>
        <w:t>has been submited to and preapproved by the Compliance Ofcer</w:t>
      </w:r>
    </w:p>
    <w:p>
      <w:pPr>
        <w:spacing w:after="0" w:line="229" w:lineRule="exact"/>
        <w:rPr>
          <w:rFonts w:ascii="Times New Roman" w:cs="Times New Roman" w:eastAsia="Times New Roman" w:hAnsi="Times New Roman"/>
          <w:sz w:val="21"/>
          <w:szCs w:val="21"/>
          <w:color w:val="auto"/>
        </w:rPr>
      </w:pPr>
    </w:p>
    <w:p>
      <w:pPr>
        <w:ind w:left="1480" w:hanging="729"/>
        <w:spacing w:after="0"/>
        <w:tabs>
          <w:tab w:leader="none" w:pos="1480" w:val="left"/>
        </w:tabs>
        <w:numPr>
          <w:ilvl w:val="0"/>
          <w:numId w:val="249"/>
        </w:numPr>
        <w:rPr>
          <w:rFonts w:ascii="Times New Roman" w:cs="Times New Roman" w:eastAsia="Times New Roman" w:hAnsi="Times New Roman"/>
          <w:sz w:val="21"/>
          <w:szCs w:val="21"/>
          <w:color w:val="auto"/>
        </w:rPr>
      </w:pPr>
      <w:r>
        <w:rPr>
          <w:rFonts w:ascii="Calibri" w:cs="Calibri" w:eastAsia="Calibri" w:hAnsi="Calibri"/>
          <w:sz w:val="21"/>
          <w:szCs w:val="21"/>
          <w:color w:val="auto"/>
        </w:rPr>
        <w:t>includes a “</w:t>
      </w:r>
      <w:r>
        <w:rPr>
          <w:rFonts w:ascii="Calibri" w:cs="Calibri" w:eastAsia="Calibri" w:hAnsi="Calibri"/>
          <w:sz w:val="21"/>
          <w:szCs w:val="21"/>
          <w:i w:val="1"/>
          <w:iCs w:val="1"/>
          <w:color w:val="auto"/>
        </w:rPr>
        <w:t>Cooling Of Period</w:t>
      </w:r>
      <w:r>
        <w:rPr>
          <w:rFonts w:ascii="Calibri" w:cs="Calibri" w:eastAsia="Calibri" w:hAnsi="Calibri"/>
          <w:sz w:val="21"/>
          <w:szCs w:val="21"/>
          <w:color w:val="auto"/>
        </w:rPr>
        <w:t>” for</w:t>
      </w:r>
    </w:p>
    <w:p>
      <w:pPr>
        <w:spacing w:after="0" w:line="227" w:lineRule="exact"/>
        <w:rPr>
          <w:sz w:val="20"/>
          <w:szCs w:val="20"/>
          <w:color w:val="auto"/>
        </w:rPr>
      </w:pPr>
    </w:p>
    <w:p>
      <w:pPr>
        <w:jc w:val="both"/>
        <w:ind w:left="2220" w:right="100" w:hanging="361"/>
        <w:spacing w:after="0" w:line="228" w:lineRule="auto"/>
        <w:tabs>
          <w:tab w:leader="none" w:pos="2220" w:val="left"/>
        </w:tabs>
        <w:numPr>
          <w:ilvl w:val="1"/>
          <w:numId w:val="250"/>
        </w:numPr>
        <w:rPr>
          <w:rFonts w:ascii="Times New Roman" w:cs="Times New Roman" w:eastAsia="Times New Roman" w:hAnsi="Times New Roman"/>
          <w:sz w:val="21"/>
          <w:szCs w:val="21"/>
          <w:color w:val="auto"/>
        </w:rPr>
      </w:pPr>
      <w:r>
        <w:rPr>
          <w:rFonts w:ascii="Calibri" w:cs="Calibri" w:eastAsia="Calibri" w:hAnsi="Calibri"/>
          <w:sz w:val="21"/>
          <w:szCs w:val="21"/>
          <w:color w:val="auto"/>
        </w:rPr>
        <w:t>Secton 16 reportng persons that extends to the later of 90 days afer adopton or modifcaton of a Trading Plan or two business days afer fling the Form 10-K or Form 10-Q covering the fscal quarter in which the Trading Plan was adopted, up to a maximum of 120 days; and</w:t>
      </w:r>
    </w:p>
    <w:p>
      <w:pPr>
        <w:spacing w:after="0" w:line="241" w:lineRule="exact"/>
        <w:rPr>
          <w:rFonts w:ascii="Times New Roman" w:cs="Times New Roman" w:eastAsia="Times New Roman" w:hAnsi="Times New Roman"/>
          <w:sz w:val="21"/>
          <w:szCs w:val="21"/>
          <w:color w:val="auto"/>
        </w:rPr>
      </w:pPr>
    </w:p>
    <w:p>
      <w:pPr>
        <w:ind w:left="2220" w:right="100" w:hanging="361"/>
        <w:spacing w:after="0" w:line="228" w:lineRule="auto"/>
        <w:tabs>
          <w:tab w:leader="none" w:pos="2220" w:val="left"/>
        </w:tabs>
        <w:numPr>
          <w:ilvl w:val="1"/>
          <w:numId w:val="250"/>
        </w:numPr>
        <w:rPr>
          <w:rFonts w:ascii="Times New Roman" w:cs="Times New Roman" w:eastAsia="Times New Roman" w:hAnsi="Times New Roman"/>
          <w:sz w:val="21"/>
          <w:szCs w:val="21"/>
          <w:color w:val="auto"/>
        </w:rPr>
      </w:pPr>
      <w:r>
        <w:rPr>
          <w:rFonts w:ascii="Calibri" w:cs="Calibri" w:eastAsia="Calibri" w:hAnsi="Calibri"/>
          <w:sz w:val="21"/>
          <w:szCs w:val="21"/>
          <w:color w:val="auto"/>
        </w:rPr>
        <w:t>employees and any other persons, other than CG Oncology, that extends 30 days afer adopton or modifcaton of a Trading Plan;</w:t>
      </w:r>
    </w:p>
    <w:p>
      <w:pPr>
        <w:spacing w:after="0" w:line="241" w:lineRule="exact"/>
        <w:rPr>
          <w:rFonts w:ascii="Times New Roman" w:cs="Times New Roman" w:eastAsia="Times New Roman" w:hAnsi="Times New Roman"/>
          <w:sz w:val="21"/>
          <w:szCs w:val="21"/>
          <w:color w:val="auto"/>
        </w:rPr>
      </w:pPr>
    </w:p>
    <w:p>
      <w:pPr>
        <w:jc w:val="both"/>
        <w:ind w:left="1480" w:right="100" w:hanging="729"/>
        <w:spacing w:after="0" w:line="228" w:lineRule="auto"/>
        <w:tabs>
          <w:tab w:leader="none" w:pos="1480" w:val="left"/>
        </w:tabs>
        <w:numPr>
          <w:ilvl w:val="0"/>
          <w:numId w:val="250"/>
        </w:numPr>
        <w:rPr>
          <w:rFonts w:ascii="Times New Roman" w:cs="Times New Roman" w:eastAsia="Times New Roman" w:hAnsi="Times New Roman"/>
          <w:sz w:val="21"/>
          <w:szCs w:val="21"/>
          <w:color w:val="auto"/>
        </w:rPr>
      </w:pPr>
      <w:r>
        <w:rPr>
          <w:rFonts w:ascii="Calibri" w:cs="Calibri" w:eastAsia="Calibri" w:hAnsi="Calibri"/>
          <w:sz w:val="21"/>
          <w:szCs w:val="21"/>
          <w:color w:val="auto"/>
        </w:rPr>
        <w:t>for Secton 16 reportng persons, includes a representaton in the Trading Plan that the Secton 16 reportng person is (1) not aware of any material nonpublic informaton about CG Oncology or its securites; and (2) adoptng the Trading Plan in good faith and not as part of a plan or scheme to evade Rule 10b-5;</w:t>
      </w:r>
    </w:p>
    <w:p>
      <w:pPr>
        <w:spacing w:after="0" w:line="251" w:lineRule="exact"/>
        <w:rPr>
          <w:sz w:val="20"/>
          <w:szCs w:val="20"/>
          <w:color w:val="auto"/>
        </w:rPr>
      </w:pPr>
    </w:p>
    <w:p>
      <w:pPr>
        <w:spacing w:after="0"/>
        <w:rPr>
          <w:sz w:val="20"/>
          <w:szCs w:val="20"/>
          <w:color w:val="auto"/>
        </w:rPr>
      </w:pPr>
      <w:r>
        <w:rPr>
          <w:rFonts w:ascii="Calibri" w:cs="Calibri" w:eastAsia="Calibri" w:hAnsi="Calibri"/>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1089660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5"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580" w:right="100" w:hanging="719"/>
        <w:spacing w:after="0" w:line="228" w:lineRule="auto"/>
        <w:tabs>
          <w:tab w:leader="none" w:pos="1715" w:val="left"/>
        </w:tabs>
        <w:numPr>
          <w:ilvl w:val="1"/>
          <w:numId w:val="251"/>
        </w:numPr>
        <w:rPr>
          <w:rFonts w:ascii="Times New Roman" w:cs="Times New Roman" w:eastAsia="Times New Roman" w:hAnsi="Times New Roman"/>
          <w:sz w:val="21"/>
          <w:szCs w:val="21"/>
          <w:color w:val="auto"/>
        </w:rPr>
      </w:pPr>
      <w:r>
        <w:rPr>
          <w:rFonts w:ascii="Calibri" w:cs="Calibri" w:eastAsia="Calibri" w:hAnsi="Calibri"/>
          <w:sz w:val="21"/>
          <w:szCs w:val="21"/>
          <w:color w:val="auto"/>
        </w:rPr>
        <w:t>has been entered into in good faith at a tme when the individual was not in possession of material nonpublic informaton about CG Oncology and not otherwise in a blackout period, and the person who entered into the Trading Plan has acted in good faith with respect to the Trading Plan;</w:t>
      </w:r>
    </w:p>
    <w:p>
      <w:pPr>
        <w:spacing w:after="0" w:line="187" w:lineRule="exact"/>
        <w:rPr>
          <w:rFonts w:ascii="Times New Roman" w:cs="Times New Roman" w:eastAsia="Times New Roman" w:hAnsi="Times New Roman"/>
          <w:sz w:val="21"/>
          <w:szCs w:val="21"/>
          <w:color w:val="auto"/>
        </w:rPr>
      </w:pPr>
    </w:p>
    <w:p>
      <w:pPr>
        <w:jc w:val="both"/>
        <w:ind w:left="1560" w:right="100" w:hanging="729"/>
        <w:spacing w:after="0" w:line="228" w:lineRule="auto"/>
        <w:tabs>
          <w:tab w:leader="none" w:pos="1560" w:val="left"/>
        </w:tabs>
        <w:numPr>
          <w:ilvl w:val="0"/>
          <w:numId w:val="251"/>
        </w:numPr>
        <w:rPr>
          <w:rFonts w:ascii="Times New Roman" w:cs="Times New Roman" w:eastAsia="Times New Roman" w:hAnsi="Times New Roman"/>
          <w:sz w:val="21"/>
          <w:szCs w:val="21"/>
          <w:color w:val="auto"/>
        </w:rPr>
      </w:pPr>
      <w:r>
        <w:rPr>
          <w:rFonts w:ascii="Calibri" w:cs="Calibri" w:eastAsia="Calibri" w:hAnsi="Calibri"/>
          <w:sz w:val="21"/>
          <w:szCs w:val="21"/>
          <w:color w:val="auto"/>
        </w:rPr>
        <w:t>either (1) specifes the amounts, prices, and dates of all transactons under the Trading Plan; or (2) provides a writen formula, algorithm, or computer program for determining the amount, price, and date of the transactons, and (3) prohibits the individual from exercising any subsequent infuence over the transactons; and</w:t>
      </w:r>
    </w:p>
    <w:p>
      <w:pPr>
        <w:spacing w:after="0" w:line="230" w:lineRule="exact"/>
        <w:rPr>
          <w:rFonts w:ascii="Times New Roman" w:cs="Times New Roman" w:eastAsia="Times New Roman" w:hAnsi="Times New Roman"/>
          <w:sz w:val="21"/>
          <w:szCs w:val="21"/>
          <w:color w:val="auto"/>
        </w:rPr>
      </w:pPr>
    </w:p>
    <w:p>
      <w:pPr>
        <w:ind w:left="1560" w:hanging="729"/>
        <w:spacing w:after="0"/>
        <w:tabs>
          <w:tab w:leader="none" w:pos="1560" w:val="left"/>
        </w:tabs>
        <w:numPr>
          <w:ilvl w:val="0"/>
          <w:numId w:val="251"/>
        </w:numPr>
        <w:rPr>
          <w:rFonts w:ascii="Times New Roman" w:cs="Times New Roman" w:eastAsia="Times New Roman" w:hAnsi="Times New Roman"/>
          <w:sz w:val="21"/>
          <w:szCs w:val="21"/>
          <w:color w:val="auto"/>
        </w:rPr>
      </w:pPr>
      <w:r>
        <w:rPr>
          <w:rFonts w:ascii="Calibri" w:cs="Calibri" w:eastAsia="Calibri" w:hAnsi="Calibri"/>
          <w:sz w:val="21"/>
          <w:szCs w:val="21"/>
          <w:color w:val="auto"/>
        </w:rPr>
        <w:t>complies with all other applicable requirements of Rule 10b5-1.</w:t>
      </w:r>
    </w:p>
    <w:p>
      <w:pPr>
        <w:spacing w:after="0" w:line="214" w:lineRule="exact"/>
        <w:rPr>
          <w:sz w:val="20"/>
          <w:szCs w:val="20"/>
          <w:color w:val="auto"/>
        </w:rPr>
      </w:pPr>
    </w:p>
    <w:p>
      <w:pPr>
        <w:jc w:val="both"/>
        <w:ind w:left="120" w:right="100" w:firstLine="728"/>
        <w:spacing w:after="0" w:line="227" w:lineRule="auto"/>
        <w:rPr>
          <w:sz w:val="20"/>
          <w:szCs w:val="20"/>
          <w:color w:val="auto"/>
        </w:rPr>
      </w:pPr>
      <w:r>
        <w:rPr>
          <w:rFonts w:ascii="Calibri" w:cs="Calibri" w:eastAsia="Calibri" w:hAnsi="Calibri"/>
          <w:sz w:val="21"/>
          <w:szCs w:val="21"/>
          <w:color w:val="auto"/>
        </w:rPr>
        <w:t>The Compliance Ofcer may impose such other conditons on the implementaton and operaton of the Trading Plan as the Compliance Ofcer deems necessary or advisable. You may not adopt more than one Trading Plan at a tme except under the limited circumstances permited by Rule 10b5-1 (including Trading Plans which authorize an agent to sell only such securites as are necessary to satsfy tax withholding obligatons arising exclusively from the vestng of a compensatory award) and subject to preapproval by the Compliance Ofcer.</w:t>
      </w:r>
    </w:p>
    <w:p>
      <w:pPr>
        <w:spacing w:after="0" w:line="219" w:lineRule="exact"/>
        <w:rPr>
          <w:sz w:val="20"/>
          <w:szCs w:val="20"/>
          <w:color w:val="auto"/>
        </w:rPr>
      </w:pPr>
    </w:p>
    <w:p>
      <w:pPr>
        <w:jc w:val="both"/>
        <w:ind w:left="120" w:right="120" w:firstLine="728"/>
        <w:spacing w:after="0" w:line="228" w:lineRule="auto"/>
        <w:rPr>
          <w:sz w:val="20"/>
          <w:szCs w:val="20"/>
          <w:color w:val="auto"/>
        </w:rPr>
      </w:pPr>
      <w:r>
        <w:rPr>
          <w:rFonts w:ascii="Calibri" w:cs="Calibri" w:eastAsia="Calibri" w:hAnsi="Calibri"/>
          <w:sz w:val="21"/>
          <w:szCs w:val="21"/>
          <w:color w:val="auto"/>
        </w:rPr>
        <w:t>You may only modify a Trading Plan outside of a blackout period and, in any event, when you do not possess material nonpublic informaton. Modifcatons to and terminatons of a Trading Plan are subject to preapproval by the Compliance Ofcer and modifcatons of a Trading Plan that change the amount, price, or tming of the purchase or sale of the securites underlying a Trading Plan will trigger a new Cooling-Of Period.</w:t>
      </w:r>
    </w:p>
    <w:p>
      <w:pPr>
        <w:spacing w:after="0" w:line="200" w:lineRule="exact"/>
        <w:rPr>
          <w:sz w:val="20"/>
          <w:szCs w:val="20"/>
          <w:color w:val="auto"/>
        </w:rPr>
      </w:pPr>
    </w:p>
    <w:p>
      <w:pPr>
        <w:jc w:val="both"/>
        <w:ind w:left="120" w:right="120" w:firstLine="728"/>
        <w:spacing w:after="0" w:line="227" w:lineRule="auto"/>
        <w:rPr>
          <w:sz w:val="20"/>
          <w:szCs w:val="20"/>
          <w:color w:val="auto"/>
        </w:rPr>
      </w:pPr>
      <w:r>
        <w:rPr>
          <w:rFonts w:ascii="Calibri" w:cs="Calibri" w:eastAsia="Calibri" w:hAnsi="Calibri"/>
          <w:sz w:val="21"/>
          <w:szCs w:val="21"/>
          <w:color w:val="auto"/>
        </w:rPr>
        <w:t>CG Oncology reserves the right to publicly disclose, announce, or respond to inquiries from the media regarding the adopton, modifcaton, or terminaton of a Trading Plan and non-Rule 10b5-1 trading arrangements, or the executon of transactons made under a Trading Plan. CG Oncology also reserves the right from tme to tme to suspend, discontnue, or otherwise prohibit transactons under a Trading Plan if the Compliance Ofcer or the Board of Directors, in its discreton, determines that such suspension, discontnuaton, or other prohibiton is in the best interests of CG Oncology.</w:t>
      </w:r>
    </w:p>
    <w:p>
      <w:pPr>
        <w:spacing w:after="0" w:line="205" w:lineRule="exact"/>
        <w:rPr>
          <w:sz w:val="20"/>
          <w:szCs w:val="20"/>
          <w:color w:val="auto"/>
        </w:rPr>
      </w:pPr>
    </w:p>
    <w:p>
      <w:pPr>
        <w:jc w:val="both"/>
        <w:ind w:left="120" w:right="120" w:firstLine="728"/>
        <w:spacing w:after="0" w:line="227" w:lineRule="auto"/>
        <w:rPr>
          <w:sz w:val="20"/>
          <w:szCs w:val="20"/>
          <w:color w:val="auto"/>
        </w:rPr>
      </w:pPr>
      <w:r>
        <w:rPr>
          <w:rFonts w:ascii="Calibri" w:cs="Calibri" w:eastAsia="Calibri" w:hAnsi="Calibri"/>
          <w:sz w:val="21"/>
          <w:szCs w:val="21"/>
          <w:color w:val="auto"/>
        </w:rPr>
        <w:t>Compliance of a Trading Plan with the terms of Rule 10b5-1 and the executon of transactons pursuant to the Trading Plan are the sole responsibility of the person initatng the Trading Plan, and none of CG Oncology, the Compliance Ofcer, or CG Oncology’s other employees assumes any liability for any delay in reviewing and/or refusing to approve a Trading Plan submited for approval, nor the legality or consequences relatng to a person entering into, informing CG Oncology of, or trading under, a Trading Plan.</w:t>
      </w:r>
    </w:p>
    <w:p>
      <w:pPr>
        <w:spacing w:after="0" w:line="205" w:lineRule="exact"/>
        <w:rPr>
          <w:sz w:val="20"/>
          <w:szCs w:val="20"/>
          <w:color w:val="auto"/>
        </w:rPr>
      </w:pPr>
    </w:p>
    <w:p>
      <w:pPr>
        <w:jc w:val="both"/>
        <w:ind w:left="120" w:right="120" w:firstLine="728"/>
        <w:spacing w:after="0" w:line="228" w:lineRule="auto"/>
        <w:rPr>
          <w:sz w:val="20"/>
          <w:szCs w:val="20"/>
          <w:color w:val="auto"/>
        </w:rPr>
      </w:pPr>
      <w:r>
        <w:rPr>
          <w:rFonts w:ascii="Calibri" w:cs="Calibri" w:eastAsia="Calibri" w:hAnsi="Calibri"/>
          <w:sz w:val="21"/>
          <w:szCs w:val="21"/>
          <w:color w:val="auto"/>
        </w:rPr>
        <w:t>References to “</w:t>
      </w:r>
      <w:r>
        <w:rPr>
          <w:rFonts w:ascii="Calibri" w:cs="Calibri" w:eastAsia="Calibri" w:hAnsi="Calibri"/>
          <w:sz w:val="21"/>
          <w:szCs w:val="21"/>
          <w:i w:val="1"/>
          <w:iCs w:val="1"/>
          <w:color w:val="auto"/>
        </w:rPr>
        <w:t>Compliance Ofcer</w:t>
      </w:r>
      <w:r>
        <w:rPr>
          <w:rFonts w:ascii="Calibri" w:cs="Calibri" w:eastAsia="Calibri" w:hAnsi="Calibri"/>
          <w:sz w:val="21"/>
          <w:szCs w:val="21"/>
          <w:color w:val="auto"/>
        </w:rPr>
        <w:t>” in this secton shall refer to the Chief Executve Ofcer with respect to any Trading Plan to be entered into by the Compliance Ofcer.</w:t>
      </w:r>
    </w:p>
    <w:p>
      <w:pPr>
        <w:spacing w:after="0" w:line="150" w:lineRule="exact"/>
        <w:rPr>
          <w:sz w:val="20"/>
          <w:szCs w:val="20"/>
          <w:color w:val="auto"/>
        </w:rPr>
      </w:pPr>
    </w:p>
    <w:p>
      <w:pPr>
        <w:spacing w:after="0"/>
        <w:rPr>
          <w:sz w:val="20"/>
          <w:szCs w:val="20"/>
          <w:color w:val="auto"/>
        </w:rPr>
      </w:pPr>
      <w:r>
        <w:rPr>
          <w:rFonts w:ascii="Calibri" w:cs="Calibri" w:eastAsia="Calibri" w:hAnsi="Calibri"/>
          <w:sz w:val="21"/>
          <w:szCs w:val="21"/>
          <w:b w:val="1"/>
          <w:bCs w:val="1"/>
          <w:u w:val="single" w:color="auto"/>
          <w:color w:val="auto"/>
        </w:rPr>
        <w:t>Post-Terminaton Transactons</w:t>
      </w:r>
    </w:p>
    <w:p>
      <w:pPr>
        <w:spacing w:after="0" w:line="214" w:lineRule="exact"/>
        <w:rPr>
          <w:sz w:val="20"/>
          <w:szCs w:val="20"/>
          <w:color w:val="auto"/>
        </w:rPr>
      </w:pPr>
    </w:p>
    <w:p>
      <w:pPr>
        <w:jc w:val="both"/>
        <w:ind w:left="120" w:right="120" w:firstLine="728"/>
        <w:spacing w:after="0" w:line="228" w:lineRule="auto"/>
        <w:rPr>
          <w:sz w:val="20"/>
          <w:szCs w:val="20"/>
          <w:color w:val="auto"/>
        </w:rPr>
      </w:pPr>
      <w:r>
        <w:rPr>
          <w:rFonts w:ascii="Calibri" w:cs="Calibri" w:eastAsia="Calibri" w:hAnsi="Calibri"/>
          <w:sz w:val="21"/>
          <w:szCs w:val="21"/>
          <w:color w:val="auto"/>
        </w:rPr>
        <w:t>If you are in possession of material nonpublic informaton when your service with CG Oncology terminates, you may not trade in CG Oncology’s securites untl that informaton has become public or is no longer material.</w:t>
      </w:r>
    </w:p>
    <w:p>
      <w:pPr>
        <w:spacing w:after="0" w:line="251" w:lineRule="exact"/>
        <w:rPr>
          <w:sz w:val="20"/>
          <w:szCs w:val="20"/>
          <w:color w:val="auto"/>
        </w:rPr>
      </w:pPr>
    </w:p>
    <w:p>
      <w:pPr>
        <w:ind w:left="80"/>
        <w:spacing w:after="0"/>
        <w:rPr>
          <w:sz w:val="20"/>
          <w:szCs w:val="20"/>
          <w:color w:val="auto"/>
        </w:rPr>
      </w:pPr>
      <w:r>
        <w:rPr>
          <w:rFonts w:ascii="Calibri" w:cs="Calibri" w:eastAsia="Calibri" w:hAnsi="Calibri"/>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1089660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u w:val="single" w:color="auto"/>
          <w:color w:val="auto"/>
        </w:rPr>
        <w:t>Prohibited Transactons</w:t>
      </w:r>
    </w:p>
    <w:p>
      <w:pPr>
        <w:spacing w:after="0" w:line="214" w:lineRule="exact"/>
        <w:rPr>
          <w:sz w:val="20"/>
          <w:szCs w:val="20"/>
          <w:color w:val="auto"/>
        </w:rPr>
      </w:pPr>
    </w:p>
    <w:p>
      <w:pPr>
        <w:jc w:val="both"/>
        <w:ind w:left="120" w:right="120" w:firstLine="728"/>
        <w:spacing w:after="0" w:line="228" w:lineRule="auto"/>
        <w:rPr>
          <w:sz w:val="20"/>
          <w:szCs w:val="20"/>
          <w:color w:val="auto"/>
        </w:rPr>
      </w:pPr>
      <w:r>
        <w:rPr>
          <w:rFonts w:ascii="Calibri" w:cs="Calibri" w:eastAsia="Calibri" w:hAnsi="Calibri"/>
          <w:sz w:val="21"/>
          <w:szCs w:val="21"/>
          <w:color w:val="auto"/>
        </w:rPr>
        <w:t>CG Oncology has determined that there is a heightened legal risk and the appearance of improper or inappropriate conduct if persons subject to this Policy engage in certain types of transactons. Therefore, you shall comply with the following policies with respect to certain transactons in CG Oncology’s securites.</w:t>
      </w:r>
    </w:p>
    <w:p>
      <w:pPr>
        <w:spacing w:after="0" w:line="190" w:lineRule="exact"/>
        <w:rPr>
          <w:sz w:val="20"/>
          <w:szCs w:val="20"/>
          <w:color w:val="auto"/>
        </w:rPr>
      </w:pPr>
    </w:p>
    <w:p>
      <w:pPr>
        <w:ind w:left="120"/>
        <w:spacing w:after="0"/>
        <w:rPr>
          <w:sz w:val="20"/>
          <w:szCs w:val="20"/>
          <w:color w:val="auto"/>
        </w:rPr>
      </w:pPr>
      <w:r>
        <w:rPr>
          <w:rFonts w:ascii="Calibri" w:cs="Calibri" w:eastAsia="Calibri" w:hAnsi="Calibri"/>
          <w:sz w:val="21"/>
          <w:szCs w:val="21"/>
          <w:i w:val="1"/>
          <w:iCs w:val="1"/>
          <w:color w:val="auto"/>
        </w:rPr>
        <w:t>Short Sales</w:t>
      </w:r>
    </w:p>
    <w:p>
      <w:pPr>
        <w:spacing w:after="0" w:line="214" w:lineRule="exact"/>
        <w:rPr>
          <w:sz w:val="20"/>
          <w:szCs w:val="20"/>
          <w:color w:val="auto"/>
        </w:rPr>
      </w:pPr>
    </w:p>
    <w:p>
      <w:pPr>
        <w:jc w:val="both"/>
        <w:ind w:left="120" w:right="100" w:firstLine="728"/>
        <w:spacing w:after="0" w:line="239" w:lineRule="auto"/>
        <w:rPr>
          <w:sz w:val="20"/>
          <w:szCs w:val="20"/>
          <w:color w:val="auto"/>
        </w:rPr>
      </w:pPr>
      <w:r>
        <w:rPr>
          <w:rFonts w:ascii="Calibri" w:cs="Calibri" w:eastAsia="Calibri" w:hAnsi="Calibri"/>
          <w:sz w:val="20"/>
          <w:szCs w:val="20"/>
          <w:color w:val="auto"/>
        </w:rPr>
        <w:t>Short sales of CG Oncology’s securites are prohibited by this Policy. Short sales of CG Oncology’s securites, or sales of shares that you do not own at the tme of sale, or sales of shares against which you do not deliver the shares within 20 days afer the sale, evidence an expectaton on your part that the securites will decline in value, and, therefore, signal to the market that you have no confdence in CG Oncology or its short-term prospects. In additon, Secton 16(c) of the Exchange Act prohibits Secton 16 reportng persons (i.e., directors, ofcers, and CG Oncology’s 10% stockholders) from making short sales of CG Oncology’s equity securites.</w:t>
      </w:r>
    </w:p>
    <w:p>
      <w:pPr>
        <w:spacing w:after="0" w:line="204" w:lineRule="exact"/>
        <w:rPr>
          <w:sz w:val="20"/>
          <w:szCs w:val="20"/>
          <w:color w:val="auto"/>
        </w:rPr>
      </w:pPr>
    </w:p>
    <w:p>
      <w:pPr>
        <w:ind w:left="120"/>
        <w:spacing w:after="0"/>
        <w:rPr>
          <w:sz w:val="20"/>
          <w:szCs w:val="20"/>
          <w:color w:val="auto"/>
        </w:rPr>
      </w:pPr>
      <w:r>
        <w:rPr>
          <w:rFonts w:ascii="Calibri" w:cs="Calibri" w:eastAsia="Calibri" w:hAnsi="Calibri"/>
          <w:sz w:val="21"/>
          <w:szCs w:val="21"/>
          <w:i w:val="1"/>
          <w:iCs w:val="1"/>
          <w:color w:val="auto"/>
        </w:rPr>
        <w:t>Optons</w:t>
      </w:r>
    </w:p>
    <w:p>
      <w:pPr>
        <w:spacing w:after="0" w:line="214" w:lineRule="exact"/>
        <w:rPr>
          <w:sz w:val="20"/>
          <w:szCs w:val="20"/>
          <w:color w:val="auto"/>
        </w:rPr>
      </w:pPr>
    </w:p>
    <w:p>
      <w:pPr>
        <w:jc w:val="both"/>
        <w:ind w:left="120" w:right="100" w:firstLine="728"/>
        <w:spacing w:after="0" w:line="239" w:lineRule="auto"/>
        <w:rPr>
          <w:sz w:val="20"/>
          <w:szCs w:val="20"/>
          <w:color w:val="auto"/>
        </w:rPr>
      </w:pPr>
      <w:r>
        <w:rPr>
          <w:rFonts w:ascii="Calibri" w:cs="Calibri" w:eastAsia="Calibri" w:hAnsi="Calibri"/>
          <w:sz w:val="20"/>
          <w:szCs w:val="20"/>
          <w:color w:val="auto"/>
        </w:rPr>
        <w:t>Transactons in puts, calls, or other derivatve securites involving CG Oncology’s equity securites, on an exchange, on an over-the-counter market, or in any other organized market, are prohibited by this Policy. A transacton in optons is, in efect, a bet on the short-term movement of CG Oncology’s stock and, therefore, creates the appearance that you are trading based on material nonpublic informaton. Transactons in optons, whether traded on an exchange, on an over-the-counter market, or any other organized market, also may focus your atenton on short-term performance at the expense of CG Oncology’s long- term objectves.</w:t>
      </w:r>
    </w:p>
    <w:p>
      <w:pPr>
        <w:spacing w:after="0" w:line="191" w:lineRule="exact"/>
        <w:rPr>
          <w:sz w:val="20"/>
          <w:szCs w:val="20"/>
          <w:color w:val="auto"/>
        </w:rPr>
      </w:pPr>
    </w:p>
    <w:p>
      <w:pPr>
        <w:ind w:left="120"/>
        <w:spacing w:after="0"/>
        <w:rPr>
          <w:sz w:val="20"/>
          <w:szCs w:val="20"/>
          <w:color w:val="auto"/>
        </w:rPr>
      </w:pPr>
      <w:r>
        <w:rPr>
          <w:rFonts w:ascii="Calibri" w:cs="Calibri" w:eastAsia="Calibri" w:hAnsi="Calibri"/>
          <w:sz w:val="21"/>
          <w:szCs w:val="21"/>
          <w:i w:val="1"/>
          <w:iCs w:val="1"/>
          <w:color w:val="auto"/>
        </w:rPr>
        <w:t>Hedging Transactons</w:t>
      </w:r>
    </w:p>
    <w:p>
      <w:pPr>
        <w:spacing w:after="0" w:line="214" w:lineRule="exact"/>
        <w:rPr>
          <w:sz w:val="20"/>
          <w:szCs w:val="20"/>
          <w:color w:val="auto"/>
        </w:rPr>
      </w:pPr>
    </w:p>
    <w:p>
      <w:pPr>
        <w:jc w:val="both"/>
        <w:ind w:left="120" w:right="100" w:firstLine="728"/>
        <w:spacing w:after="0" w:line="227" w:lineRule="auto"/>
        <w:rPr>
          <w:sz w:val="20"/>
          <w:szCs w:val="20"/>
          <w:color w:val="auto"/>
        </w:rPr>
      </w:pPr>
      <w:r>
        <w:rPr>
          <w:rFonts w:ascii="Calibri" w:cs="Calibri" w:eastAsia="Calibri" w:hAnsi="Calibri"/>
          <w:sz w:val="21"/>
          <w:szCs w:val="21"/>
          <w:color w:val="auto"/>
        </w:rPr>
        <w:t>Hedging transactons involving CG Oncology’s securites, such as prepaid variable forward contracts, equity swaps, collars and exchange funds, or other transactons that hedge or ofset, or are designed to hedge or ofset, any decrease in the market value of CG Oncology’s equity securites, are prohibited by this Policy. Such transactons allow you to contnue to own the covered securites, but without the full risks and rewards of ownership. When that occurs, you may no longer have the same objectves as CG Oncology’s other stockholders.</w:t>
      </w:r>
    </w:p>
    <w:p>
      <w:pPr>
        <w:spacing w:after="0" w:line="397" w:lineRule="exact"/>
        <w:rPr>
          <w:sz w:val="20"/>
          <w:szCs w:val="20"/>
          <w:color w:val="auto"/>
        </w:rPr>
      </w:pPr>
    </w:p>
    <w:p>
      <w:pPr>
        <w:spacing w:after="0"/>
        <w:rPr>
          <w:sz w:val="20"/>
          <w:szCs w:val="20"/>
          <w:color w:val="auto"/>
        </w:rPr>
      </w:pPr>
      <w:r>
        <w:rPr>
          <w:rFonts w:ascii="Calibri" w:cs="Calibri" w:eastAsia="Calibri" w:hAnsi="Calibri"/>
          <w:sz w:val="21"/>
          <w:szCs w:val="21"/>
          <w:i w:val="1"/>
          <w:iCs w:val="1"/>
          <w:color w:val="auto"/>
        </w:rPr>
        <w:t>Margin Accounts and Pledging</w:t>
      </w:r>
    </w:p>
    <w:p>
      <w:pPr>
        <w:spacing w:after="0" w:line="214" w:lineRule="exact"/>
        <w:rPr>
          <w:sz w:val="20"/>
          <w:szCs w:val="20"/>
          <w:color w:val="auto"/>
        </w:rPr>
      </w:pPr>
    </w:p>
    <w:p>
      <w:pPr>
        <w:jc w:val="both"/>
        <w:ind w:left="120" w:right="100" w:firstLine="728"/>
        <w:spacing w:after="0" w:line="228" w:lineRule="auto"/>
        <w:rPr>
          <w:sz w:val="20"/>
          <w:szCs w:val="20"/>
          <w:color w:val="auto"/>
        </w:rPr>
      </w:pPr>
      <w:r>
        <w:rPr>
          <w:rFonts w:ascii="Calibri" w:cs="Calibri" w:eastAsia="Calibri" w:hAnsi="Calibri"/>
          <w:sz w:val="21"/>
          <w:szCs w:val="21"/>
          <w:color w:val="auto"/>
        </w:rPr>
        <w:t>You are prohibited from pledging Company securites as collateral for a loan, purchasing Company securites on margin (i.e., borrowing money to purchase the securites), or placing Company securites in a margin account. This prohibiton does not apply to cashless exercises of stock optons under CG Oncology’s equity plans, nor to situatons approved in advance by the Compliance Ofcer.</w:t>
      </w:r>
    </w:p>
    <w:p>
      <w:pPr>
        <w:spacing w:after="0" w:line="189" w:lineRule="exact"/>
        <w:rPr>
          <w:sz w:val="20"/>
          <w:szCs w:val="20"/>
          <w:color w:val="auto"/>
        </w:rPr>
      </w:pPr>
    </w:p>
    <w:p>
      <w:pPr>
        <w:ind w:left="120"/>
        <w:spacing w:after="0"/>
        <w:rPr>
          <w:sz w:val="20"/>
          <w:szCs w:val="20"/>
          <w:color w:val="auto"/>
        </w:rPr>
      </w:pPr>
      <w:r>
        <w:rPr>
          <w:rFonts w:ascii="Calibri" w:cs="Calibri" w:eastAsia="Calibri" w:hAnsi="Calibri"/>
          <w:sz w:val="21"/>
          <w:szCs w:val="21"/>
          <w:i w:val="1"/>
          <w:iCs w:val="1"/>
          <w:color w:val="auto"/>
        </w:rPr>
        <w:t>Partnership Distributons</w:t>
      </w:r>
    </w:p>
    <w:p>
      <w:pPr>
        <w:spacing w:after="0" w:line="214" w:lineRule="exact"/>
        <w:rPr>
          <w:sz w:val="20"/>
          <w:szCs w:val="20"/>
          <w:color w:val="auto"/>
        </w:rPr>
      </w:pPr>
    </w:p>
    <w:p>
      <w:pPr>
        <w:jc w:val="both"/>
        <w:ind w:left="120" w:right="120" w:firstLine="728"/>
        <w:spacing w:after="0" w:line="228" w:lineRule="auto"/>
        <w:rPr>
          <w:sz w:val="20"/>
          <w:szCs w:val="20"/>
          <w:color w:val="auto"/>
        </w:rPr>
      </w:pPr>
      <w:r>
        <w:rPr>
          <w:rFonts w:ascii="Calibri" w:cs="Calibri" w:eastAsia="Calibri" w:hAnsi="Calibri"/>
          <w:sz w:val="21"/>
          <w:szCs w:val="21"/>
          <w:color w:val="auto"/>
        </w:rPr>
        <w:t>Nothing in this Policy is intended to limit the ability of an investment fund, venture capital partnership or other similar entty with which a director is afliated to distribute Company</w:t>
      </w:r>
    </w:p>
    <w:p>
      <w:pPr>
        <w:spacing w:after="0" w:line="251" w:lineRule="exact"/>
        <w:rPr>
          <w:sz w:val="20"/>
          <w:szCs w:val="20"/>
          <w:color w:val="auto"/>
        </w:rPr>
      </w:pPr>
    </w:p>
    <w:p>
      <w:pPr>
        <w:ind w:left="80"/>
        <w:spacing w:after="0"/>
        <w:rPr>
          <w:sz w:val="20"/>
          <w:szCs w:val="20"/>
          <w:color w:val="auto"/>
        </w:rPr>
      </w:pPr>
      <w:r>
        <w:rPr>
          <w:rFonts w:ascii="Calibri" w:cs="Calibri" w:eastAsia="Calibri" w:hAnsi="Calibri"/>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1089660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92" w:lineRule="exact"/>
        <w:rPr>
          <w:sz w:val="20"/>
          <w:szCs w:val="20"/>
          <w:color w:val="auto"/>
        </w:rPr>
      </w:pPr>
    </w:p>
    <w:p>
      <w:pPr>
        <w:jc w:val="both"/>
        <w:ind w:left="120" w:right="120"/>
        <w:spacing w:after="0" w:line="228" w:lineRule="auto"/>
        <w:rPr>
          <w:sz w:val="20"/>
          <w:szCs w:val="20"/>
          <w:color w:val="auto"/>
        </w:rPr>
      </w:pPr>
      <w:r>
        <w:rPr>
          <w:rFonts w:ascii="Calibri" w:cs="Calibri" w:eastAsia="Calibri" w:hAnsi="Calibri"/>
          <w:sz w:val="21"/>
          <w:szCs w:val="21"/>
          <w:color w:val="auto"/>
        </w:rPr>
        <w:t xml:space="preserve">securites to its partners, members, or other similar persons; </w:t>
      </w:r>
      <w:r>
        <w:rPr>
          <w:rFonts w:ascii="Calibri" w:cs="Calibri" w:eastAsia="Calibri" w:hAnsi="Calibri"/>
          <w:sz w:val="21"/>
          <w:szCs w:val="21"/>
          <w:i w:val="1"/>
          <w:iCs w:val="1"/>
          <w:color w:val="auto"/>
        </w:rPr>
        <w:t>provided, however</w:t>
      </w:r>
      <w:r>
        <w:rPr>
          <w:rFonts w:ascii="Calibri" w:cs="Calibri" w:eastAsia="Calibri" w:hAnsi="Calibri"/>
          <w:sz w:val="21"/>
          <w:szCs w:val="21"/>
          <w:color w:val="auto"/>
        </w:rPr>
        <w:t>, it is the responsibility of each such entty, in consultaton with its own counsel (as appropriate), to determine the tming of any distributons, based on relevant facts and circumstances, and applicable securites laws.</w:t>
      </w:r>
    </w:p>
    <w:p>
      <w:pPr>
        <w:spacing w:after="0" w:line="190"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u w:val="single" w:color="auto"/>
          <w:color w:val="auto"/>
        </w:rPr>
        <w:t>Interpretaton, Amendment, and Implementaton of this Policy</w:t>
      </w:r>
    </w:p>
    <w:p>
      <w:pPr>
        <w:spacing w:after="0" w:line="214" w:lineRule="exact"/>
        <w:rPr>
          <w:sz w:val="20"/>
          <w:szCs w:val="20"/>
          <w:color w:val="auto"/>
        </w:rPr>
      </w:pPr>
    </w:p>
    <w:p>
      <w:pPr>
        <w:jc w:val="both"/>
        <w:ind w:left="120" w:right="120" w:firstLine="728"/>
        <w:spacing w:after="0" w:line="228" w:lineRule="auto"/>
        <w:rPr>
          <w:sz w:val="20"/>
          <w:szCs w:val="20"/>
          <w:color w:val="auto"/>
        </w:rPr>
      </w:pPr>
      <w:r>
        <w:rPr>
          <w:rFonts w:ascii="Calibri" w:cs="Calibri" w:eastAsia="Calibri" w:hAnsi="Calibri"/>
          <w:sz w:val="21"/>
          <w:szCs w:val="21"/>
          <w:color w:val="auto"/>
        </w:rPr>
        <w:t>The Compliance Ofcer shall have the authority to interpret and update this Policy and all related policies and procedures. In partcular, such interpretatons and updates of this Policy, as authorized by the Compliance Ofcer, may include amendments to or departures from the terms of this Policy, to the extent consistent with the general purpose of this Policy and applicable securites laws.</w:t>
      </w:r>
    </w:p>
    <w:p>
      <w:pPr>
        <w:spacing w:after="0" w:line="160" w:lineRule="exact"/>
        <w:rPr>
          <w:sz w:val="20"/>
          <w:szCs w:val="20"/>
          <w:color w:val="auto"/>
        </w:rPr>
      </w:pPr>
    </w:p>
    <w:p>
      <w:pPr>
        <w:jc w:val="both"/>
        <w:ind w:right="120" w:firstLine="749"/>
        <w:spacing w:after="0" w:line="227" w:lineRule="auto"/>
        <w:rPr>
          <w:sz w:val="20"/>
          <w:szCs w:val="20"/>
          <w:color w:val="auto"/>
        </w:rPr>
      </w:pPr>
      <w:r>
        <w:rPr>
          <w:rFonts w:ascii="Calibri" w:cs="Calibri" w:eastAsia="Calibri" w:hAnsi="Calibri"/>
          <w:sz w:val="21"/>
          <w:szCs w:val="21"/>
          <w:color w:val="auto"/>
        </w:rPr>
        <w:t>Although you are permited to trade CG Oncology’s securites under this Policy without pre-clearance from the Compliance Ofcer, you are encouraged to contact the Compliance Ofcer if you have questons regarding this Policy and/or your potental transacton (including to ensure any trades by directors are tmely reported in accordance with SEC regulatons). Actons taken by CG Oncology, the Compliance Ofcer, or any other Company personnel do not consttute legal advice, nor do they insulate you from the consequences of noncompliance with this Policy or with securites laws.</w:t>
      </w:r>
    </w:p>
    <w:p>
      <w:pPr>
        <w:spacing w:after="0" w:line="194"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u w:val="single" w:color="auto"/>
          <w:color w:val="auto"/>
        </w:rPr>
        <w:t>Certfcaton of Compliance</w:t>
      </w:r>
    </w:p>
    <w:p>
      <w:pPr>
        <w:spacing w:after="0" w:line="214" w:lineRule="exact"/>
        <w:rPr>
          <w:sz w:val="20"/>
          <w:szCs w:val="20"/>
          <w:color w:val="auto"/>
        </w:rPr>
      </w:pPr>
    </w:p>
    <w:p>
      <w:pPr>
        <w:ind w:left="120" w:right="260" w:firstLine="728"/>
        <w:spacing w:after="0" w:line="228" w:lineRule="auto"/>
        <w:rPr>
          <w:sz w:val="20"/>
          <w:szCs w:val="20"/>
          <w:color w:val="auto"/>
        </w:rPr>
      </w:pPr>
      <w:r>
        <w:rPr>
          <w:rFonts w:ascii="Calibri" w:cs="Calibri" w:eastAsia="Calibri" w:hAnsi="Calibri"/>
          <w:sz w:val="21"/>
          <w:szCs w:val="21"/>
          <w:color w:val="auto"/>
        </w:rPr>
        <w:t>All directors, ofcers, employees and others subject to this Policy may be asked periodically to certfy their compliance with the terms and provisions of this Policy.</w:t>
      </w:r>
    </w:p>
    <w:p>
      <w:pPr>
        <w:spacing w:after="0" w:line="251" w:lineRule="exact"/>
        <w:rPr>
          <w:sz w:val="20"/>
          <w:szCs w:val="20"/>
          <w:color w:val="auto"/>
        </w:rPr>
      </w:pPr>
    </w:p>
    <w:p>
      <w:pPr>
        <w:ind w:left="80"/>
        <w:spacing w:after="0"/>
        <w:rPr>
          <w:sz w:val="20"/>
          <w:szCs w:val="20"/>
          <w:color w:val="auto"/>
        </w:rPr>
      </w:pPr>
      <w:r>
        <w:rPr>
          <w:rFonts w:ascii="Calibri" w:cs="Calibri" w:eastAsia="Calibri" w:hAnsi="Calibri"/>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1097915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SYNDAX PHARMACEUTICALS, INC.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w:t>
            </w:r>
          </w:p>
        </w:tc>
        <w:tc>
          <w:tcPr>
            <w:tcW w:w="5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 Incorporation</w:t>
            </w:r>
          </w:p>
        </w:tc>
      </w:tr>
      <w:tr>
        <w:trPr>
          <w:trHeight w:val="276"/>
        </w:trPr>
        <w:tc>
          <w:tcPr>
            <w:tcW w:w="5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SafeGuard Healthcare, LLC</w:t>
            </w:r>
          </w:p>
        </w:tc>
        <w:tc>
          <w:tcPr>
            <w:tcW w:w="5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940"/>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4" w:name="page285"/>
    <w:bookmarkEnd w:id="284"/>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333333"/>
        </w:rPr>
        <w:t xml:space="preserve">We consent to the incorporation by reference in the Registration Statement (Form S-8 No. 333-276729) pertaining to the CG Oncology, Inc. 2015 Equity Incentive Plan, CG Oncology, Inc. 2022 Equity Incentive Plan, CG Oncology, Inc. 2024 Equity Incentive Plan, and the CG Oncology, Inc. 2024 Employee Stock Purchase Plan of CG Oncology, Inc. </w:t>
      </w:r>
      <w:r>
        <w:rPr>
          <w:rFonts w:ascii="Times New Roman" w:cs="Times New Roman" w:eastAsia="Times New Roman" w:hAnsi="Times New Roman"/>
          <w:sz w:val="18"/>
          <w:szCs w:val="18"/>
          <w:color w:val="000000"/>
        </w:rPr>
        <w:t>of our report dated March 28, 2025, with respect to the consolidated financial statements of CG Oncology, Inc.</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included in this Annual Report (Form 10-K) of CG Oncology, Inc. for the year ended December 31, 2024.</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Kuan, certify that:</w:t>
      </w:r>
    </w:p>
    <w:p>
      <w:pPr>
        <w:spacing w:after="0" w:line="27" w:lineRule="exact"/>
        <w:rPr>
          <w:sz w:val="20"/>
          <w:szCs w:val="20"/>
          <w:color w:val="auto"/>
        </w:rPr>
      </w:pPr>
    </w:p>
    <w:p>
      <w:pPr>
        <w:ind w:left="760" w:hanging="365"/>
        <w:spacing w:after="0"/>
        <w:tabs>
          <w:tab w:leader="none" w:pos="7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CG Oncology, Inc.;</w:t>
      </w:r>
    </w:p>
    <w:p>
      <w:pPr>
        <w:spacing w:after="0" w:line="9" w:lineRule="exact"/>
        <w:rPr>
          <w:rFonts w:ascii="Times New Roman" w:cs="Times New Roman" w:eastAsia="Times New Roman" w:hAnsi="Times New Roman"/>
          <w:sz w:val="18"/>
          <w:szCs w:val="18"/>
          <w:color w:val="auto"/>
        </w:rPr>
      </w:pPr>
    </w:p>
    <w:p>
      <w:pPr>
        <w:jc w:val="both"/>
        <w:ind w:left="760" w:right="20" w:hanging="365"/>
        <w:spacing w:after="0" w:line="250" w:lineRule="auto"/>
        <w:tabs>
          <w:tab w:leader="none" w:pos="75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760" w:right="240" w:hanging="365"/>
        <w:spacing w:after="0" w:line="250" w:lineRule="auto"/>
        <w:tabs>
          <w:tab w:leader="none" w:pos="75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760" w:right="40" w:hanging="365"/>
        <w:spacing w:after="0" w:line="250" w:lineRule="auto"/>
        <w:tabs>
          <w:tab w:leader="none" w:pos="75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1500" w:right="140" w:hanging="365"/>
        <w:spacing w:after="0" w:line="250" w:lineRule="auto"/>
        <w:tabs>
          <w:tab w:leader="none" w:pos="148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00" w:hanging="365"/>
        <w:spacing w:after="0"/>
        <w:tabs>
          <w:tab w:leader="none" w:pos="150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9" w:lineRule="exact"/>
        <w:rPr>
          <w:rFonts w:ascii="Times New Roman" w:cs="Times New Roman" w:eastAsia="Times New Roman" w:hAnsi="Times New Roman"/>
          <w:sz w:val="18"/>
          <w:szCs w:val="18"/>
          <w:color w:val="auto"/>
        </w:rPr>
      </w:pPr>
    </w:p>
    <w:p>
      <w:pPr>
        <w:jc w:val="both"/>
        <w:ind w:left="1500" w:hanging="365"/>
        <w:spacing w:after="0" w:line="250" w:lineRule="auto"/>
        <w:tabs>
          <w:tab w:leader="none" w:pos="148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60" w:hanging="365"/>
        <w:spacing w:after="0" w:line="250" w:lineRule="auto"/>
        <w:tabs>
          <w:tab w:leader="none" w:pos="148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760" w:right="180" w:hanging="365"/>
        <w:spacing w:after="0" w:line="265" w:lineRule="auto"/>
        <w:tabs>
          <w:tab w:leader="none" w:pos="759"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520" w:right="260" w:hanging="378"/>
        <w:spacing w:after="0" w:line="250" w:lineRule="auto"/>
        <w:tabs>
          <w:tab w:leader="none" w:pos="150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20" w:right="560" w:hanging="378"/>
        <w:spacing w:after="0" w:line="260" w:lineRule="auto"/>
        <w:tabs>
          <w:tab w:leader="none" w:pos="150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Arthur Kuan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Corleen Roche, certify that:</w:t>
      </w:r>
    </w:p>
    <w:p>
      <w:pPr>
        <w:spacing w:after="0" w:line="27" w:lineRule="exact"/>
        <w:rPr>
          <w:sz w:val="20"/>
          <w:szCs w:val="20"/>
          <w:color w:val="auto"/>
        </w:rPr>
      </w:pPr>
    </w:p>
    <w:p>
      <w:pPr>
        <w:ind w:left="760" w:hanging="365"/>
        <w:spacing w:after="0"/>
        <w:tabs>
          <w:tab w:leader="none" w:pos="7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CG Oncology, Inc.;</w:t>
      </w:r>
    </w:p>
    <w:p>
      <w:pPr>
        <w:spacing w:after="0" w:line="9" w:lineRule="exact"/>
        <w:rPr>
          <w:rFonts w:ascii="Times New Roman" w:cs="Times New Roman" w:eastAsia="Times New Roman" w:hAnsi="Times New Roman"/>
          <w:sz w:val="18"/>
          <w:szCs w:val="18"/>
          <w:color w:val="auto"/>
        </w:rPr>
      </w:pPr>
    </w:p>
    <w:p>
      <w:pPr>
        <w:jc w:val="both"/>
        <w:ind w:left="760" w:right="20" w:hanging="365"/>
        <w:spacing w:after="0" w:line="250" w:lineRule="auto"/>
        <w:tabs>
          <w:tab w:leader="none" w:pos="75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760" w:right="240" w:hanging="365"/>
        <w:spacing w:after="0" w:line="250" w:lineRule="auto"/>
        <w:tabs>
          <w:tab w:leader="none" w:pos="75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760" w:right="40" w:hanging="365"/>
        <w:spacing w:after="0" w:line="250" w:lineRule="auto"/>
        <w:tabs>
          <w:tab w:leader="none" w:pos="75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1500" w:right="140" w:hanging="365"/>
        <w:spacing w:after="0" w:line="250" w:lineRule="auto"/>
        <w:tabs>
          <w:tab w:leader="none" w:pos="148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00" w:hanging="365"/>
        <w:spacing w:after="0"/>
        <w:tabs>
          <w:tab w:leader="none" w:pos="150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9" w:lineRule="exact"/>
        <w:rPr>
          <w:rFonts w:ascii="Times New Roman" w:cs="Times New Roman" w:eastAsia="Times New Roman" w:hAnsi="Times New Roman"/>
          <w:sz w:val="18"/>
          <w:szCs w:val="18"/>
          <w:color w:val="auto"/>
        </w:rPr>
      </w:pPr>
    </w:p>
    <w:p>
      <w:pPr>
        <w:jc w:val="both"/>
        <w:ind w:left="1500" w:hanging="365"/>
        <w:spacing w:after="0" w:line="250" w:lineRule="auto"/>
        <w:tabs>
          <w:tab w:leader="none" w:pos="148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60" w:hanging="365"/>
        <w:spacing w:after="0" w:line="250" w:lineRule="auto"/>
        <w:tabs>
          <w:tab w:leader="none" w:pos="148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760" w:right="180" w:hanging="365"/>
        <w:spacing w:after="0" w:line="265" w:lineRule="auto"/>
        <w:tabs>
          <w:tab w:leader="none" w:pos="759"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520" w:right="260" w:hanging="378"/>
        <w:spacing w:after="0" w:line="250" w:lineRule="auto"/>
        <w:tabs>
          <w:tab w:leader="none" w:pos="150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right="560" w:hanging="365"/>
        <w:spacing w:after="0" w:line="260" w:lineRule="auto"/>
        <w:tabs>
          <w:tab w:leader="none" w:pos="148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/s/Corleen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Corleen Roche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576"/>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CG Oncology, Inc. (the “Company”) on Form 10-K for the year ended December 31, 2024 as filed with the Securities and Exchange Commission on the date hereof (the “Report”), I certify, pursuant to 18 U.S.C. § 1350, as adopted pursuant to § 906 of the Sarbanes-Oxley Act of 2002, that, to my knowledge:</w:t>
      </w:r>
    </w:p>
    <w:p>
      <w:pPr>
        <w:spacing w:after="0" w:line="1" w:lineRule="exact"/>
        <w:rPr>
          <w:sz w:val="20"/>
          <w:szCs w:val="20"/>
          <w:color w:val="auto"/>
        </w:rPr>
      </w:pPr>
    </w:p>
    <w:p>
      <w:pPr>
        <w:ind w:left="740" w:hanging="353"/>
        <w:spacing w:after="0"/>
        <w:tabs>
          <w:tab w:leader="none" w:pos="7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Arthur Kuan</w:t>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576"/>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CG Oncology, Inc. (the “Company”) on Form 10-K for the year ended December 31, 2024 as filed with the Securities and Exchange Commission on the date hereof (the “Report”), I certify, pursuant to 18 U.S.C. § 1350, as adopted pursuant to § 906 of the Sarbanes-Oxley Act of 2002, that, to my knowledge:</w:t>
      </w:r>
    </w:p>
    <w:p>
      <w:pPr>
        <w:spacing w:after="0" w:line="1" w:lineRule="exact"/>
        <w:rPr>
          <w:sz w:val="20"/>
          <w:szCs w:val="20"/>
          <w:color w:val="auto"/>
        </w:rPr>
      </w:pPr>
    </w:p>
    <w:p>
      <w:pPr>
        <w:ind w:left="740" w:hanging="353"/>
        <w:spacing w:after="0"/>
        <w:tabs>
          <w:tab w:leader="none" w:pos="7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/s/Corleen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Corleen Roche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4"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|US-DOCS\149376610.2||</w:t>
      </w:r>
      <w:r>
        <w:rPr>
          <w:sz w:val="20"/>
          <w:szCs w:val="20"/>
          <w:color w:val="auto"/>
        </w:rPr>
        <w:tab/>
      </w:r>
      <w:r>
        <w:rPr>
          <w:rFonts w:ascii="Times New Roman" w:cs="Times New Roman" w:eastAsia="Times New Roman" w:hAnsi="Times New Roman"/>
          <w:sz w:val="14"/>
          <w:szCs w:val="14"/>
          <w:color w:val="auto"/>
        </w:rPr>
        <w:t>|  068798-0012||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9" w:name="page290"/>
    <w:bookmarkEnd w:id="2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
      <w:numFmt w:val="bullet"/>
      <w:start w:val="1"/>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
      <w:numFmt w:val="bullet"/>
      <w:start w:val="1"/>
    </w:lvl>
  </w:abstractNum>
  <w:abstractNum w:abstractNumId="11">
    <w:nsid w:val="2157F6BC"/>
    <w:multiLevelType w:val="hybridMultilevel"/>
    <w:lvl w:ilvl="0">
      <w:lvlJc w:val="left"/>
      <w:lvlText w:val="•"/>
      <w:numFmt w:val="bullet"/>
      <w:start w:val="1"/>
    </w:lvl>
  </w:abstractNum>
  <w:abstractNum w:abstractNumId="12">
    <w:nsid w:val="704E1DD5"/>
    <w:multiLevelType w:val="hybridMultilevel"/>
    <w:lvl w:ilvl="0">
      <w:lvlJc w:val="left"/>
      <w:lvlText w:val="•"/>
      <w:numFmt w:val="bullet"/>
      <w:start w:val="1"/>
    </w:lvl>
  </w:abstractNum>
  <w:abstractNum w:abstractNumId="13">
    <w:nsid w:val="57D2F10E"/>
    <w:multiLevelType w:val="hybridMultilevel"/>
    <w:lvl w:ilvl="0">
      <w:lvlJc w:val="left"/>
      <w:lvlText w:val="•"/>
      <w:numFmt w:val="bullet"/>
      <w:start w:val="1"/>
    </w:lvl>
  </w:abstractNum>
  <w:abstractNum w:abstractNumId="14">
    <w:nsid w:val="BFFAE18"/>
    <w:multiLevelType w:val="hybridMultilevel"/>
    <w:lvl w:ilvl="0">
      <w:lvlJc w:val="left"/>
      <w:lvlText w:val="•"/>
      <w:numFmt w:val="bullet"/>
      <w:start w:val="1"/>
    </w:lvl>
  </w:abstractNum>
  <w:abstractNum w:abstractNumId="15">
    <w:nsid w:val="E3E47A8"/>
    <w:multiLevelType w:val="hybridMultilevel"/>
    <w:lvl w:ilvl="0">
      <w:lvlJc w:val="left"/>
      <w:lvlText w:val="•"/>
      <w:numFmt w:val="bullet"/>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
      <w:numFmt w:val="bullet"/>
      <w:start w:val="1"/>
    </w:lvl>
  </w:abstractNum>
  <w:abstractNum w:abstractNumId="19">
    <w:nsid w:val="5551B9F3"/>
    <w:multiLevelType w:val="hybridMultilevel"/>
    <w:lvl w:ilvl="0">
      <w:lvlJc w:val="left"/>
      <w:lvlText w:val="•"/>
      <w:numFmt w:val="bullet"/>
      <w:start w:val="1"/>
    </w:lvl>
  </w:abstractNum>
  <w:abstractNum w:abstractNumId="20">
    <w:nsid w:val="24F6AB8E"/>
    <w:multiLevelType w:val="hybridMultilevel"/>
    <w:lvl w:ilvl="0">
      <w:lvlJc w:val="left"/>
      <w:lvlText w:val="•"/>
      <w:numFmt w:val="bullet"/>
      <w:start w:val="1"/>
    </w:lvl>
  </w:abstractNum>
  <w:abstractNum w:abstractNumId="21">
    <w:nsid w:val="634C574C"/>
    <w:multiLevelType w:val="hybridMultilevel"/>
    <w:lvl w:ilvl="0">
      <w:lvlJc w:val="left"/>
      <w:lvlText w:val="•"/>
      <w:numFmt w:val="bullet"/>
      <w:start w:val="1"/>
    </w:lvl>
  </w:abstractNum>
  <w:abstractNum w:abstractNumId="22">
    <w:nsid w:val="24E99DD7"/>
    <w:multiLevelType w:val="hybridMultilevel"/>
    <w:lvl w:ilvl="0">
      <w:lvlJc w:val="left"/>
      <w:lvlText w:val="•"/>
      <w:numFmt w:val="bullet"/>
      <w:start w:val="1"/>
    </w:lvl>
  </w:abstractNum>
  <w:abstractNum w:abstractNumId="23">
    <w:nsid w:val="2A31B62D"/>
    <w:multiLevelType w:val="hybridMultilevel"/>
    <w:lvl w:ilvl="0">
      <w:lvlJc w:val="left"/>
      <w:lvlText w:val="•"/>
      <w:numFmt w:val="bullet"/>
      <w:start w:val="1"/>
    </w:lvl>
  </w:abstractNum>
  <w:abstractNum w:abstractNumId="24">
    <w:nsid w:val="1849C29B"/>
    <w:multiLevelType w:val="hybridMultilevel"/>
    <w:lvl w:ilvl="0">
      <w:lvlJc w:val="left"/>
      <w:lvlText w:val="•"/>
      <w:numFmt w:val="bullet"/>
      <w:start w:val="1"/>
    </w:lvl>
  </w:abstractNum>
  <w:abstractNum w:abstractNumId="25">
    <w:nsid w:val="7DFF9D09"/>
    <w:multiLevelType w:val="hybridMultilevel"/>
    <w:lvl w:ilvl="0">
      <w:lvlJc w:val="left"/>
      <w:lvlText w:val="•"/>
      <w:numFmt w:val="bullet"/>
      <w:start w:val="1"/>
    </w:lvl>
  </w:abstractNum>
  <w:abstractNum w:abstractNumId="26">
    <w:nsid w:val="754342"/>
    <w:multiLevelType w:val="hybridMultilevel"/>
    <w:lvl w:ilvl="0">
      <w:lvlJc w:val="left"/>
      <w:lvlText w:val="•"/>
      <w:numFmt w:val="bullet"/>
      <w:start w:val="1"/>
    </w:lvl>
  </w:abstractNum>
  <w:abstractNum w:abstractNumId="27">
    <w:nsid w:val="69E7F3E5"/>
    <w:multiLevelType w:val="hybridMultilevel"/>
    <w:lvl w:ilvl="0">
      <w:lvlJc w:val="left"/>
      <w:lvlText w:val="•"/>
      <w:numFmt w:val="bullet"/>
      <w:start w:val="1"/>
    </w:lvl>
  </w:abstractNum>
  <w:abstractNum w:abstractNumId="28">
    <w:nsid w:val="2A6DE806"/>
    <w:multiLevelType w:val="hybridMultilevel"/>
    <w:lvl w:ilvl="0">
      <w:lvlJc w:val="left"/>
      <w:lvlText w:val="•"/>
      <w:numFmt w:val="bullet"/>
      <w:start w:val="1"/>
    </w:lvl>
  </w:abstractNum>
  <w:abstractNum w:abstractNumId="29">
    <w:nsid w:val="1816F8C4"/>
    <w:multiLevelType w:val="hybridMultilevel"/>
    <w:lvl w:ilvl="0">
      <w:lvlJc w:val="left"/>
      <w:lvlText w:val="•"/>
      <w:numFmt w:val="bullet"/>
      <w:start w:val="1"/>
    </w:lvl>
  </w:abstractNum>
  <w:abstractNum w:abstractNumId="30">
    <w:nsid w:val="37DF2233"/>
    <w:multiLevelType w:val="hybridMultilevel"/>
    <w:lvl w:ilvl="0">
      <w:lvlJc w:val="left"/>
      <w:lvlText w:val="•"/>
      <w:numFmt w:val="bullet"/>
      <w:start w:val="1"/>
    </w:lvl>
  </w:abstractNum>
  <w:abstractNum w:abstractNumId="31">
    <w:nsid w:val="7AB49DAF"/>
    <w:multiLevelType w:val="hybridMultilevel"/>
    <w:lvl w:ilvl="0">
      <w:lvlJc w:val="left"/>
      <w:lvlText w:val="•"/>
      <w:numFmt w:val="bullet"/>
      <w:start w:val="1"/>
    </w:lvl>
  </w:abstractNum>
  <w:abstractNum w:abstractNumId="32">
    <w:nsid w:val="759F82CD"/>
    <w:multiLevelType w:val="hybridMultilevel"/>
    <w:lvl w:ilvl="0">
      <w:lvlJc w:val="left"/>
      <w:lvlText w:val="•"/>
      <w:numFmt w:val="bullet"/>
      <w:start w:val="1"/>
    </w:lvl>
  </w:abstractNum>
  <w:abstractNum w:abstractNumId="33">
    <w:nsid w:val="61E74EA3"/>
    <w:multiLevelType w:val="hybridMultilevel"/>
    <w:lvl w:ilvl="0">
      <w:lvlJc w:val="left"/>
      <w:lvlText w:val="•"/>
      <w:numFmt w:val="bullet"/>
      <w:start w:val="1"/>
    </w:lvl>
  </w:abstractNum>
  <w:abstractNum w:abstractNumId="34">
    <w:nsid w:val="597B4D84"/>
    <w:multiLevelType w:val="hybridMultilevel"/>
    <w:lvl w:ilvl="0">
      <w:lvlJc w:val="left"/>
      <w:lvlText w:val="(%1)"/>
      <w:numFmt w:val="lowerRoman"/>
      <w:start w:val="3"/>
    </w:lvl>
  </w:abstractNum>
  <w:abstractNum w:abstractNumId="35">
    <w:nsid w:val="F819E7F"/>
    <w:multiLevelType w:val="hybridMultilevel"/>
    <w:lvl w:ilvl="0">
      <w:lvlJc w:val="left"/>
      <w:lvlText w:val="•"/>
      <w:numFmt w:val="bullet"/>
      <w:start w:val="1"/>
    </w:lvl>
  </w:abstractNum>
  <w:abstractNum w:abstractNumId="36">
    <w:nsid w:val="57C7D42D"/>
    <w:multiLevelType w:val="hybridMultilevel"/>
    <w:lvl w:ilvl="0">
      <w:lvlJc w:val="left"/>
      <w:lvlText w:val="•"/>
      <w:numFmt w:val="bullet"/>
      <w:start w:val="1"/>
    </w:lvl>
  </w:abstractNum>
  <w:abstractNum w:abstractNumId="37">
    <w:nsid w:val="312167AD"/>
    <w:multiLevelType w:val="hybridMultilevel"/>
    <w:lvl w:ilvl="0">
      <w:lvlJc w:val="left"/>
      <w:lvlText w:val="•"/>
      <w:numFmt w:val="bullet"/>
      <w:start w:val="1"/>
    </w:lvl>
  </w:abstractNum>
  <w:abstractNum w:abstractNumId="38">
    <w:nsid w:val="631B64D4"/>
    <w:multiLevelType w:val="hybridMultilevel"/>
    <w:lvl w:ilvl="0">
      <w:lvlJc w:val="left"/>
      <w:lvlText w:val="•"/>
      <w:numFmt w:val="bullet"/>
      <w:start w:val="1"/>
    </w:lvl>
  </w:abstractNum>
  <w:abstractNum w:abstractNumId="39">
    <w:nsid w:val="78B5E776"/>
    <w:multiLevelType w:val="hybridMultilevel"/>
    <w:lvl w:ilvl="0">
      <w:lvlJc w:val="left"/>
      <w:lvlText w:val="•"/>
      <w:numFmt w:val="bullet"/>
      <w:start w:val="1"/>
    </w:lvl>
  </w:abstractNum>
  <w:abstractNum w:abstractNumId="40">
    <w:nsid w:val="75486E47"/>
    <w:multiLevelType w:val="hybridMultilevel"/>
    <w:lvl w:ilvl="0">
      <w:lvlJc w:val="left"/>
      <w:lvlText w:val="•"/>
      <w:numFmt w:val="bullet"/>
      <w:start w:val="1"/>
    </w:lvl>
  </w:abstractNum>
  <w:abstractNum w:abstractNumId="41">
    <w:nsid w:val="6E534CDE"/>
    <w:multiLevelType w:val="hybridMultilevel"/>
    <w:lvl w:ilvl="0">
      <w:lvlJc w:val="left"/>
      <w:lvlText w:val="•"/>
      <w:numFmt w:val="bullet"/>
      <w:start w:val="1"/>
    </w:lvl>
  </w:abstractNum>
  <w:abstractNum w:abstractNumId="42">
    <w:nsid w:val="1A0DDE32"/>
    <w:multiLevelType w:val="hybridMultilevel"/>
    <w:lvl w:ilvl="0">
      <w:lvlJc w:val="left"/>
      <w:lvlText w:val="•"/>
      <w:numFmt w:val="bullet"/>
      <w:start w:val="1"/>
    </w:lvl>
  </w:abstractNum>
  <w:abstractNum w:abstractNumId="43">
    <w:nsid w:val="65968C1C"/>
    <w:multiLevelType w:val="hybridMultilevel"/>
    <w:lvl w:ilvl="0">
      <w:lvlJc w:val="left"/>
      <w:lvlText w:val="•"/>
      <w:numFmt w:val="bullet"/>
      <w:start w:val="1"/>
    </w:lvl>
  </w:abstractNum>
  <w:abstractNum w:abstractNumId="44">
    <w:nsid w:val="46263DEC"/>
    <w:multiLevelType w:val="hybridMultilevel"/>
    <w:lvl w:ilvl="0">
      <w:lvlJc w:val="left"/>
      <w:lvlText w:val="•"/>
      <w:numFmt w:val="bullet"/>
      <w:start w:val="1"/>
    </w:lvl>
  </w:abstractNum>
  <w:abstractNum w:abstractNumId="45">
    <w:nsid w:val="260D8C4A"/>
    <w:multiLevelType w:val="hybridMultilevel"/>
    <w:lvl w:ilvl="0">
      <w:lvlJc w:val="left"/>
      <w:lvlText w:val="•"/>
      <w:numFmt w:val="bullet"/>
      <w:start w:val="1"/>
    </w:lvl>
  </w:abstractNum>
  <w:abstractNum w:abstractNumId="46">
    <w:nsid w:val="73D4D3C4"/>
    <w:multiLevelType w:val="hybridMultilevel"/>
    <w:lvl w:ilvl="0">
      <w:lvlJc w:val="left"/>
      <w:lvlText w:val="%1."/>
      <w:numFmt w:val="decimal"/>
      <w:start w:val="1"/>
    </w:lvl>
  </w:abstractNum>
  <w:abstractNum w:abstractNumId="47">
    <w:nsid w:val="746F2E30"/>
    <w:multiLevelType w:val="hybridMultilevel"/>
    <w:lvl w:ilvl="0">
      <w:lvlJc w:val="left"/>
      <w:lvlText w:val="%1."/>
      <w:numFmt w:val="decimal"/>
      <w:start w:val="2"/>
    </w:lvl>
  </w:abstractNum>
  <w:abstractNum w:abstractNumId="48">
    <w:nsid w:val="6FDE8AF6"/>
    <w:multiLevelType w:val="hybridMultilevel"/>
    <w:lvl w:ilvl="0">
      <w:lvlJc w:val="left"/>
      <w:lvlText w:val="(%1)"/>
      <w:numFmt w:val="decimal"/>
      <w:start w:val="2"/>
    </w:lvl>
  </w:abstractNum>
  <w:abstractNum w:abstractNumId="49">
    <w:nsid w:val="3FC32E20"/>
    <w:multiLevelType w:val="hybridMultilevel"/>
    <w:lvl w:ilvl="0">
      <w:lvlJc w:val="left"/>
      <w:lvlText w:val="%1."/>
      <w:numFmt w:val="decimal"/>
      <w:start w:val="3"/>
    </w:lvl>
  </w:abstractNum>
  <w:abstractNum w:abstractNumId="50">
    <w:nsid w:val="49C0E823"/>
    <w:multiLevelType w:val="hybridMultilevel"/>
    <w:lvl w:ilvl="0">
      <w:lvlJc w:val="left"/>
      <w:lvlText w:val="%1."/>
      <w:numFmt w:val="decimal"/>
      <w:start w:val="4"/>
    </w:lvl>
  </w:abstractNum>
  <w:abstractNum w:abstractNumId="51">
    <w:nsid w:val="14D53685"/>
    <w:multiLevelType w:val="hybridMultilevel"/>
    <w:lvl w:ilvl="0">
      <w:lvlJc w:val="left"/>
      <w:lvlText w:val="%1."/>
      <w:numFmt w:val="decimal"/>
      <w:start w:val="5"/>
    </w:lvl>
  </w:abstractNum>
  <w:abstractNum w:abstractNumId="52">
    <w:nsid w:val="230F856C"/>
    <w:multiLevelType w:val="hybridMultilevel"/>
    <w:lvl w:ilvl="0">
      <w:lvlJc w:val="left"/>
      <w:lvlText w:val="%1."/>
      <w:numFmt w:val="decimal"/>
      <w:start w:val="6"/>
    </w:lvl>
  </w:abstractNum>
  <w:abstractNum w:abstractNumId="53">
    <w:nsid w:val="6EAA85FB"/>
    <w:multiLevelType w:val="hybridMultilevel"/>
    <w:lvl w:ilvl="0">
      <w:lvlJc w:val="left"/>
      <w:lvlText w:val="%1."/>
      <w:numFmt w:val="decimal"/>
      <w:start w:val="7"/>
    </w:lvl>
  </w:abstractNum>
  <w:abstractNum w:abstractNumId="54">
    <w:nsid w:val="3F06ECB2"/>
    <w:multiLevelType w:val="hybridMultilevel"/>
    <w:lvl w:ilvl="0">
      <w:lvlJc w:val="left"/>
      <w:lvlText w:val="%1"/>
      <w:numFmt w:val="decimal"/>
      <w:start w:val="1"/>
    </w:lvl>
    <w:lvl w:ilvl="1">
      <w:lvlJc w:val="left"/>
      <w:lvlText w:val="(%2)"/>
      <w:numFmt w:val="decimal"/>
      <w:start w:val="1"/>
    </w:lvl>
  </w:abstractNum>
  <w:abstractNum w:abstractNumId="55">
    <w:nsid w:val="3B594807"/>
    <w:multiLevelType w:val="hybridMultilevel"/>
    <w:lvl w:ilvl="0">
      <w:lvlJc w:val="left"/>
      <w:lvlText w:val="%1."/>
      <w:numFmt w:val="decimal"/>
      <w:start w:val="8"/>
    </w:lvl>
    <w:lvl w:ilvl="1">
      <w:lvlJc w:val="left"/>
      <w:lvlText w:val="%2"/>
      <w:numFmt w:val="decimal"/>
      <w:start w:val="1"/>
    </w:lvl>
  </w:abstractNum>
  <w:abstractNum w:abstractNumId="56">
    <w:nsid w:val="6CAA2304"/>
    <w:multiLevelType w:val="hybridMultilevel"/>
    <w:lvl w:ilvl="0">
      <w:lvlJc w:val="left"/>
      <w:lvlText w:val="(%1)"/>
      <w:numFmt w:val="lowerRoman"/>
      <w:start w:val="1"/>
    </w:lvl>
  </w:abstractNum>
  <w:abstractNum w:abstractNumId="57">
    <w:nsid w:val="3F7C2FF4"/>
    <w:multiLevelType w:val="hybridMultilevel"/>
    <w:lvl w:ilvl="0">
      <w:lvlJc w:val="left"/>
      <w:lvlText w:val="(%1)"/>
      <w:numFmt w:val="lowerRoman"/>
      <w:start w:val="3"/>
    </w:lvl>
  </w:abstractNum>
  <w:abstractNum w:abstractNumId="58">
    <w:nsid w:val="25413BEC"/>
    <w:multiLevelType w:val="hybridMultilevel"/>
    <w:lvl w:ilvl="0">
      <w:lvlJc w:val="left"/>
      <w:lvlText w:val="(%1)"/>
      <w:numFmt w:val="lowerRoman"/>
      <w:start w:val="1"/>
    </w:lvl>
  </w:abstractNum>
  <w:abstractNum w:abstractNumId="59">
    <w:nsid w:val="17180B0B"/>
    <w:multiLevelType w:val="hybridMultilevel"/>
    <w:lvl w:ilvl="0">
      <w:lvlJc w:val="left"/>
      <w:lvlText w:val="(%1)"/>
      <w:numFmt w:val="lowerRoman"/>
      <w:start w:val="2"/>
    </w:lvl>
  </w:abstractNum>
  <w:abstractNum w:abstractNumId="60">
    <w:nsid w:val="579328B9"/>
    <w:multiLevelType w:val="hybridMultilevel"/>
    <w:lvl w:ilvl="0">
      <w:lvlJc w:val="left"/>
      <w:lvlText w:val="%1."/>
      <w:numFmt w:val="decimal"/>
      <w:start w:val="9"/>
    </w:lvl>
  </w:abstractNum>
  <w:abstractNum w:abstractNumId="61">
    <w:nsid w:val="5D205E20"/>
    <w:multiLevelType w:val="hybridMultilevel"/>
    <w:lvl w:ilvl="0">
      <w:lvlJc w:val="left"/>
      <w:lvlText w:val="%1."/>
      <w:numFmt w:val="decimal"/>
      <w:start w:val="10"/>
    </w:lvl>
  </w:abstractNum>
  <w:abstractNum w:abstractNumId="62">
    <w:nsid w:val="11CCA8BA"/>
    <w:multiLevelType w:val="hybridMultilevel"/>
    <w:lvl w:ilvl="0">
      <w:lvlJc w:val="left"/>
      <w:lvlText w:val="%1."/>
      <w:numFmt w:val="decimal"/>
      <w:start w:val="11"/>
    </w:lvl>
  </w:abstractNum>
  <w:abstractNum w:abstractNumId="63">
    <w:nsid w:val="4D32AB86"/>
    <w:multiLevelType w:val="hybridMultilevel"/>
    <w:lvl w:ilvl="0">
      <w:lvlJc w:val="left"/>
      <w:lvlText w:val="%1."/>
      <w:numFmt w:val="decimal"/>
      <w:start w:val="12"/>
    </w:lvl>
  </w:abstractNum>
  <w:abstractNum w:abstractNumId="64">
    <w:nsid w:val="3F07ACC3"/>
    <w:multiLevelType w:val="hybridMultilevel"/>
    <w:lvl w:ilvl="0">
      <w:lvlJc w:val="left"/>
      <w:lvlText w:val="%1."/>
      <w:numFmt w:val="decimal"/>
      <w:start w:val="13"/>
    </w:lvl>
  </w:abstractNum>
  <w:abstractNum w:abstractNumId="65">
    <w:nsid w:val="6B47F63E"/>
    <w:multiLevelType w:val="hybridMultilevel"/>
    <w:lvl w:ilvl="0">
      <w:lvlJc w:val="left"/>
      <w:lvlText w:val="%1."/>
      <w:numFmt w:val="decimal"/>
      <w:start w:val="14"/>
    </w:lvl>
  </w:abstractNum>
  <w:abstractNum w:abstractNumId="66">
    <w:nsid w:val="5CB44A05"/>
    <w:multiLevelType w:val="hybridMultilevel"/>
    <w:lvl w:ilvl="0">
      <w:lvlJc w:val="left"/>
      <w:lvlText w:val="%1."/>
      <w:numFmt w:val="decimal"/>
      <w:start w:val="15"/>
    </w:lvl>
  </w:abstractNum>
  <w:abstractNum w:abstractNumId="67">
    <w:nsid w:val="16CF80F1"/>
    <w:multiLevelType w:val="hybridMultilevel"/>
    <w:lvl w:ilvl="0">
      <w:lvlJc w:val="left"/>
      <w:lvlText w:val="(%1)"/>
      <w:numFmt w:val="decimal"/>
      <w:start w:val="1"/>
    </w:lvl>
  </w:abstractNum>
  <w:abstractNum w:abstractNumId="68">
    <w:nsid w:val="1C695DEC"/>
    <w:multiLevelType w:val="hybridMultilevel"/>
    <w:lvl w:ilvl="0">
      <w:lvlJc w:val="left"/>
      <w:lvlText w:val="*"/>
      <w:numFmt w:val="bullet"/>
      <w:start w:val="1"/>
    </w:lvl>
  </w:abstractNum>
  <w:abstractNum w:abstractNumId="69">
    <w:nsid w:val="3FCFAED9"/>
    <w:multiLevelType w:val="hybridMultilevel"/>
    <w:lvl w:ilvl="0">
      <w:lvlJc w:val="left"/>
      <w:lvlText w:val="%1."/>
      <w:numFmt w:val="decimal"/>
      <w:start w:val="1"/>
    </w:lvl>
  </w:abstractNum>
  <w:abstractNum w:abstractNumId="70">
    <w:nsid w:val="F856867"/>
    <w:multiLevelType w:val="hybridMultilevel"/>
    <w:lvl w:ilvl="0">
      <w:lvlJc w:val="left"/>
      <w:lvlText w:val="%1."/>
      <w:numFmt w:val="decimal"/>
      <w:start w:val="2"/>
    </w:lvl>
  </w:abstractNum>
  <w:abstractNum w:abstractNumId="71">
    <w:nsid w:val="11B1CC33"/>
    <w:multiLevelType w:val="hybridMultilevel"/>
    <w:lvl w:ilvl="0">
      <w:lvlJc w:val="left"/>
      <w:lvlText w:val="%1."/>
      <w:numFmt w:val="decimal"/>
      <w:start w:val="3"/>
    </w:lvl>
  </w:abstractNum>
  <w:abstractNum w:abstractNumId="72">
    <w:nsid w:val="2E22FBB7"/>
    <w:multiLevelType w:val="hybridMultilevel"/>
    <w:lvl w:ilvl="0">
      <w:lvlJc w:val="left"/>
      <w:lvlText w:val="*"/>
      <w:numFmt w:val="bullet"/>
      <w:start w:val="1"/>
    </w:lvl>
    <w:lvl w:ilvl="1">
      <w:lvlJc w:val="left"/>
      <w:lvlText w:val="#"/>
      <w:numFmt w:val="bullet"/>
      <w:start w:val="1"/>
    </w:lvl>
  </w:abstractNum>
  <w:abstractNum w:abstractNumId="73">
    <w:nsid w:val="29934699"/>
    <w:multiLevelType w:val="hybridMultilevel"/>
    <w:lvl w:ilvl="0">
      <w:lvlJc w:val="left"/>
      <w:lvlText w:val="%1."/>
      <w:numFmt w:val="decimal"/>
      <w:start w:val="1"/>
    </w:lvl>
  </w:abstractNum>
  <w:abstractNum w:abstractNumId="74">
    <w:nsid w:val="77485850"/>
    <w:multiLevelType w:val="hybridMultilevel"/>
    <w:lvl w:ilvl="0">
      <w:lvlJc w:val="left"/>
      <w:lvlText w:val="%1."/>
      <w:numFmt w:val="decimal"/>
      <w:start w:val="1"/>
    </w:lvl>
    <w:lvl w:ilvl="1">
      <w:lvlJc w:val="left"/>
      <w:lvlText w:val="(%2)"/>
      <w:numFmt w:val="lowerLetter"/>
      <w:start w:val="1"/>
    </w:lvl>
  </w:abstractNum>
  <w:abstractNum w:abstractNumId="75">
    <w:nsid w:val="744939A3"/>
    <w:multiLevelType w:val="hybridMultilevel"/>
    <w:lvl w:ilvl="0">
      <w:lvlJc w:val="left"/>
      <w:lvlText w:val="%1"/>
      <w:numFmt w:val="decimal"/>
      <w:start w:val="1"/>
    </w:lvl>
    <w:lvl w:ilvl="1">
      <w:lvlJc w:val="left"/>
      <w:lvlText w:val="(%2)"/>
      <w:numFmt w:val="lowerLetter"/>
      <w:start w:val="4"/>
    </w:lvl>
  </w:abstractNum>
  <w:abstractNum w:abstractNumId="76">
    <w:nsid w:val="4FA0D2E3"/>
    <w:multiLevelType w:val="hybridMultilevel"/>
    <w:lvl w:ilvl="0">
      <w:lvlJc w:val="left"/>
      <w:lvlText w:val="%1."/>
      <w:numFmt w:val="decimal"/>
      <w:start w:val="2"/>
    </w:lvl>
    <w:lvl w:ilvl="1">
      <w:lvlJc w:val="left"/>
      <w:lvlText w:val="(%2)"/>
      <w:numFmt w:val="lowerLetter"/>
      <w:start w:val="1"/>
    </w:lvl>
  </w:abstractNum>
  <w:abstractNum w:abstractNumId="77">
    <w:nsid w:val="6B1D2C14"/>
    <w:multiLevelType w:val="hybridMultilevel"/>
    <w:lvl w:ilvl="0">
      <w:lvlJc w:val="left"/>
      <w:lvlText w:val="(%1)"/>
      <w:numFmt w:val="lowerLetter"/>
      <w:start w:val="5"/>
    </w:lvl>
  </w:abstractNum>
  <w:abstractNum w:abstractNumId="78">
    <w:nsid w:val="68B867D3"/>
    <w:multiLevelType w:val="hybridMultilevel"/>
    <w:lvl w:ilvl="0">
      <w:lvlJc w:val="left"/>
      <w:lvlText w:val="%1."/>
      <w:numFmt w:val="decimal"/>
      <w:start w:val="3"/>
    </w:lvl>
  </w:abstractNum>
  <w:abstractNum w:abstractNumId="79">
    <w:nsid w:val="3F7F5DD9"/>
    <w:multiLevelType w:val="hybridMultilevel"/>
    <w:lvl w:ilvl="0">
      <w:lvlJc w:val="left"/>
      <w:lvlText w:val="(%1)"/>
      <w:numFmt w:val="lowerLetter"/>
      <w:start w:val="1"/>
    </w:lvl>
    <w:lvl w:ilvl="1">
      <w:lvlJc w:val="left"/>
      <w:lvlText w:val="(%2)"/>
      <w:numFmt w:val="lowerRoman"/>
      <w:start w:val="1"/>
    </w:lvl>
  </w:abstractNum>
  <w:abstractNum w:abstractNumId="80">
    <w:nsid w:val="2AE05A34"/>
    <w:multiLevelType w:val="hybridMultilevel"/>
    <w:lvl w:ilvl="0">
      <w:lvlJc w:val="left"/>
      <w:lvlText w:val="%1"/>
      <w:numFmt w:val="lowerLetter"/>
      <w:start w:val="1"/>
    </w:lvl>
    <w:lvl w:ilvl="1">
      <w:lvlJc w:val="left"/>
      <w:lvlText w:val="(%2)"/>
      <w:numFmt w:val="lowerLetter"/>
      <w:start w:val="3"/>
    </w:lvl>
  </w:abstractNum>
  <w:abstractNum w:abstractNumId="81">
    <w:nsid w:val="32794FF7"/>
    <w:multiLevelType w:val="hybridMultilevel"/>
    <w:lvl w:ilvl="0">
      <w:lvlJc w:val="left"/>
      <w:lvlText w:val="(%1)"/>
      <w:numFmt w:val="lowerLetter"/>
      <w:start w:val="9"/>
    </w:lvl>
    <w:lvl w:ilvl="1">
      <w:lvlJc w:val="left"/>
      <w:lvlText w:val="(%2)"/>
      <w:numFmt w:val="lowerLetter"/>
      <w:start w:val="4"/>
    </w:lvl>
  </w:abstractNum>
  <w:abstractNum w:abstractNumId="82">
    <w:nsid w:val="5454945E"/>
    <w:multiLevelType w:val="hybridMultilevel"/>
    <w:lvl w:ilvl="0">
      <w:lvlJc w:val="left"/>
      <w:lvlText w:val="%1."/>
      <w:numFmt w:val="decimal"/>
      <w:start w:val="4"/>
    </w:lvl>
    <w:lvl w:ilvl="1">
      <w:lvlJc w:val="left"/>
      <w:lvlText w:val="(%2)"/>
      <w:numFmt w:val="lowerLetter"/>
      <w:start w:val="1"/>
    </w:lvl>
  </w:abstractNum>
  <w:abstractNum w:abstractNumId="83">
    <w:nsid w:val="4DEFDFA0"/>
    <w:multiLevelType w:val="hybridMultilevel"/>
    <w:lvl w:ilvl="0">
      <w:lvlJc w:val="left"/>
      <w:lvlText w:val="(%1)"/>
      <w:numFmt w:val="lowerLetter"/>
      <w:start w:val="2"/>
    </w:lvl>
    <w:lvl w:ilvl="1">
      <w:lvlJc w:val="left"/>
      <w:lvlText w:val="(%2)"/>
      <w:numFmt w:val="lowerRoman"/>
      <w:start w:val="1"/>
    </w:lvl>
  </w:abstractNum>
  <w:abstractNum w:abstractNumId="84">
    <w:nsid w:val="2123D5F2"/>
    <w:multiLevelType w:val="hybridMultilevel"/>
    <w:lvl w:ilvl="0">
      <w:lvlJc w:val="left"/>
      <w:lvlText w:val="(%1)"/>
      <w:numFmt w:val="lowerLetter"/>
      <w:start w:val="3"/>
    </w:lvl>
    <w:lvl w:ilvl="1">
      <w:lvlJc w:val="left"/>
      <w:lvlText w:val="(%2)"/>
      <w:numFmt w:val="lowerRoman"/>
      <w:start w:val="1"/>
    </w:lvl>
  </w:abstractNum>
  <w:abstractNum w:abstractNumId="85">
    <w:nsid w:val="135B8110"/>
    <w:multiLevelType w:val="hybridMultilevel"/>
    <w:lvl w:ilvl="0">
      <w:lvlJc w:val="left"/>
      <w:lvlText w:val="%1"/>
      <w:numFmt w:val="decimal"/>
      <w:start w:val="1"/>
    </w:lvl>
    <w:lvl w:ilvl="1">
      <w:lvlJc w:val="left"/>
      <w:lvlText w:val="(%2)"/>
      <w:numFmt w:val="lowerLetter"/>
      <w:start w:val="4"/>
    </w:lvl>
  </w:abstractNum>
  <w:abstractNum w:abstractNumId="86">
    <w:nsid w:val="94927A8"/>
    <w:multiLevelType w:val="hybridMultilevel"/>
    <w:lvl w:ilvl="0">
      <w:lvlJc w:val="left"/>
      <w:lvlText w:val="%1."/>
      <w:numFmt w:val="decimal"/>
      <w:start w:val="5"/>
    </w:lvl>
    <w:lvl w:ilvl="1">
      <w:lvlJc w:val="left"/>
      <w:lvlText w:val="(%2)"/>
      <w:numFmt w:val="lowerLetter"/>
      <w:start w:val="1"/>
    </w:lvl>
  </w:abstractNum>
  <w:abstractNum w:abstractNumId="87">
    <w:nsid w:val="DCDF8F6"/>
    <w:multiLevelType w:val="hybridMultilevel"/>
    <w:lvl w:ilvl="0">
      <w:lvlJc w:val="left"/>
      <w:lvlText w:val="(%1)"/>
      <w:numFmt w:val="lowerLetter"/>
      <w:start w:val="4"/>
    </w:lvl>
  </w:abstractNum>
  <w:abstractNum w:abstractNumId="88">
    <w:nsid w:val="52D7B105"/>
    <w:multiLevelType w:val="hybridMultilevel"/>
    <w:lvl w:ilvl="0">
      <w:lvlJc w:val="left"/>
      <w:lvlText w:val="%1."/>
      <w:numFmt w:val="decimal"/>
      <w:start w:val="6"/>
    </w:lvl>
  </w:abstractNum>
  <w:abstractNum w:abstractNumId="89">
    <w:nsid w:val="2E8A639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0">
    <w:nsid w:val="24E60401"/>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2"/>
    </w:lvl>
  </w:abstractNum>
  <w:abstractNum w:abstractNumId="91">
    <w:nsid w:val="2A6AD9BE"/>
    <w:multiLevelType w:val="hybridMultilevel"/>
    <w:lvl w:ilvl="0">
      <w:lvlJc w:val="left"/>
      <w:lvlText w:val="(%1)"/>
      <w:numFmt w:val="lowerLetter"/>
      <w:start w:val="2"/>
    </w:lvl>
  </w:abstractNum>
  <w:abstractNum w:abstractNumId="92">
    <w:nsid w:val="BAAC1B4"/>
    <w:multiLevelType w:val="hybridMultilevel"/>
    <w:lvl w:ilvl="0">
      <w:lvlJc w:val="left"/>
      <w:lvlText w:val="%1"/>
      <w:numFmt w:val="decimal"/>
      <w:start w:val="1"/>
    </w:lvl>
    <w:lvl w:ilvl="1">
      <w:lvlJc w:val="left"/>
      <w:lvlText w:val="(%2)"/>
      <w:numFmt w:val="lowerLetter"/>
      <w:start w:val="4"/>
    </w:lvl>
  </w:abstractNum>
  <w:abstractNum w:abstractNumId="93">
    <w:nsid w:val="36B2ACBC"/>
    <w:multiLevelType w:val="hybridMultilevel"/>
    <w:lvl w:ilvl="0">
      <w:lvlJc w:val="left"/>
      <w:lvlText w:val="%1."/>
      <w:numFmt w:val="decimal"/>
      <w:start w:val="8"/>
    </w:lvl>
    <w:lvl w:ilvl="1">
      <w:lvlJc w:val="left"/>
      <w:lvlText w:val="(%2)"/>
      <w:numFmt w:val="lowerLetter"/>
      <w:start w:val="1"/>
    </w:lvl>
  </w:abstractNum>
  <w:abstractNum w:abstractNumId="94">
    <w:nsid w:val="779D8544"/>
    <w:multiLevelType w:val="hybridMultilevel"/>
    <w:lvl w:ilvl="0">
      <w:lvlJc w:val="left"/>
      <w:lvlText w:val="(%1)"/>
      <w:numFmt w:val="lowerLetter"/>
      <w:start w:val="2"/>
    </w:lvl>
  </w:abstractNum>
  <w:abstractNum w:abstractNumId="95">
    <w:nsid w:val="4AB26E7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6">
    <w:nsid w:val="21FAA2F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7">
    <w:nsid w:val="5451CF49"/>
    <w:multiLevelType w:val="hybridMultilevel"/>
    <w:lvl w:ilvl="0">
      <w:lvlJc w:val="left"/>
      <w:lvlText w:val="(%1)"/>
      <w:numFmt w:val="lowerLetter"/>
      <w:start w:val="4"/>
    </w:lvl>
  </w:abstractNum>
  <w:abstractNum w:abstractNumId="98">
    <w:nsid w:val="6181EF69"/>
    <w:multiLevelType w:val="hybridMultilevel"/>
    <w:lvl w:ilvl="0">
      <w:lvlJc w:val="left"/>
      <w:lvlText w:val="(%1)"/>
      <w:numFmt w:val="lowerLetter"/>
      <w:start w:val="9"/>
    </w:lvl>
    <w:lvl w:ilvl="1">
      <w:lvlJc w:val="left"/>
      <w:lvlText w:val="(%2)"/>
      <w:numFmt w:val="lowerRoman"/>
      <w:start w:val="1"/>
    </w:lvl>
  </w:abstractNum>
  <w:abstractNum w:abstractNumId="99">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00">
    <w:nsid w:val="14217E23"/>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101">
    <w:nsid w:val="710757D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02">
    <w:nsid w:val="5015CD1A"/>
    <w:multiLevelType w:val="hybridMultilevel"/>
    <w:lvl w:ilvl="0">
      <w:lvlJc w:val="left"/>
      <w:lvlText w:val="%1."/>
      <w:numFmt w:val="decimal"/>
      <w:start w:val="1"/>
    </w:lvl>
  </w:abstractNum>
  <w:abstractNum w:abstractNumId="103">
    <w:nsid w:val="424479DA"/>
    <w:multiLevelType w:val="hybridMultilevel"/>
    <w:lvl w:ilvl="0">
      <w:lvlJc w:val="left"/>
      <w:lvlText w:val="(%1)"/>
      <w:numFmt w:val="lowerLetter"/>
      <w:start w:val="1"/>
    </w:lvl>
  </w:abstractNum>
  <w:abstractNum w:abstractNumId="104">
    <w:nsid w:val="1A9A9E69"/>
    <w:multiLevelType w:val="hybridMultilevel"/>
    <w:lvl w:ilvl="0">
      <w:lvlJc w:val="left"/>
      <w:lvlText w:val="%1."/>
      <w:numFmt w:val="decimal"/>
      <w:start w:val="3"/>
    </w:lvl>
  </w:abstractNum>
  <w:abstractNum w:abstractNumId="105">
    <w:nsid w:val="475E256A"/>
    <w:multiLevelType w:val="hybridMultilevel"/>
    <w:lvl w:ilvl="0">
      <w:lvlJc w:val="left"/>
      <w:lvlText w:val="%1."/>
      <w:numFmt w:val="decimal"/>
      <w:start w:val="4"/>
    </w:lvl>
    <w:lvl w:ilvl="1">
      <w:lvlJc w:val="left"/>
      <w:lvlText w:val="%2."/>
      <w:numFmt w:val="decimal"/>
      <w:start w:val="8"/>
    </w:lvl>
  </w:abstractNum>
  <w:abstractNum w:abstractNumId="106">
    <w:nsid w:val="368DB37E"/>
    <w:multiLevelType w:val="hybridMultilevel"/>
    <w:lvl w:ilvl="0">
      <w:lvlJc w:val="left"/>
      <w:lvlText w:val="%1."/>
      <w:numFmt w:val="decimal"/>
      <w:start w:val="1"/>
    </w:lvl>
    <w:lvl w:ilvl="1">
      <w:lvlJc w:val="left"/>
      <w:lvlText w:val="(%2)"/>
      <w:numFmt w:val="lowerLetter"/>
      <w:start w:val="1"/>
    </w:lvl>
  </w:abstractNum>
  <w:abstractNum w:abstractNumId="107">
    <w:nsid w:val="6A3B714C"/>
    <w:multiLevelType w:val="hybridMultilevel"/>
    <w:lvl w:ilvl="0">
      <w:lvlJc w:val="left"/>
      <w:lvlText w:val="%1"/>
      <w:numFmt w:val="decimal"/>
      <w:start w:val="1"/>
    </w:lvl>
    <w:lvl w:ilvl="1">
      <w:lvlJc w:val="left"/>
      <w:lvlText w:val="(%2)"/>
      <w:numFmt w:val="lowerLetter"/>
      <w:start w:val="4"/>
    </w:lvl>
  </w:abstractNum>
  <w:abstractNum w:abstractNumId="108">
    <w:nsid w:val="327B517E"/>
    <w:multiLevelType w:val="hybridMultilevel"/>
    <w:lvl w:ilvl="0">
      <w:lvlJc w:val="left"/>
      <w:lvlText w:val="%1."/>
      <w:numFmt w:val="decimal"/>
      <w:start w:val="2"/>
    </w:lvl>
    <w:lvl w:ilvl="1">
      <w:lvlJc w:val="left"/>
      <w:lvlText w:val="(%2)"/>
      <w:numFmt w:val="lowerLetter"/>
      <w:start w:val="1"/>
    </w:lvl>
  </w:abstractNum>
  <w:abstractNum w:abstractNumId="109">
    <w:nsid w:val="1F461B5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0">
    <w:nsid w:val="29BACF25"/>
    <w:multiLevelType w:val="hybridMultilevel"/>
    <w:lvl w:ilvl="0">
      <w:lvlJc w:val="left"/>
      <w:lvlText w:val="(%1)"/>
      <w:numFmt w:val="lowerLetter"/>
      <w:start w:val="6"/>
    </w:lvl>
  </w:abstractNum>
  <w:abstractNum w:abstractNumId="111">
    <w:nsid w:val="5D5BABB3"/>
    <w:multiLevelType w:val="hybridMultilevel"/>
    <w:lvl w:ilvl="0">
      <w:lvlJc w:val="left"/>
      <w:lvlText w:val="(%1)"/>
      <w:numFmt w:val="lowerLetter"/>
      <w:start w:val="1"/>
    </w:lvl>
    <w:lvl w:ilvl="1">
      <w:lvlJc w:val="left"/>
      <w:lvlText w:val="(%2)"/>
      <w:numFmt w:val="lowerRoman"/>
      <w:start w:val="1"/>
    </w:lvl>
  </w:abstractNum>
  <w:abstractNum w:abstractNumId="112">
    <w:nsid w:val="51BF6B48"/>
    <w:multiLevelType w:val="hybridMultilevel"/>
    <w:lvl w:ilvl="0">
      <w:lvlJc w:val="left"/>
      <w:lvlText w:val="%1"/>
      <w:numFmt w:val="decimal"/>
      <w:start w:val="1"/>
    </w:lvl>
    <w:lvl w:ilvl="1">
      <w:lvlJc w:val="left"/>
      <w:lvlText w:val="(%2)"/>
      <w:numFmt w:val="lowerLetter"/>
      <w:start w:val="4"/>
    </w:lvl>
  </w:abstractNum>
  <w:abstractNum w:abstractNumId="113">
    <w:nsid w:val="7E0F6384"/>
    <w:multiLevelType w:val="hybridMultilevel"/>
    <w:lvl w:ilvl="0">
      <w:lvlJc w:val="left"/>
      <w:lvlText w:val="%1."/>
      <w:numFmt w:val="decimal"/>
      <w:start w:val="4"/>
    </w:lvl>
    <w:lvl w:ilvl="1">
      <w:lvlJc w:val="left"/>
      <w:lvlText w:val="(%2)"/>
      <w:numFmt w:val="lowerLetter"/>
      <w:start w:val="1"/>
    </w:lvl>
  </w:abstractNum>
  <w:abstractNum w:abstractNumId="114">
    <w:nsid w:val="2B4B8B53"/>
    <w:multiLevelType w:val="hybridMultilevel"/>
    <w:lvl w:ilvl="0">
      <w:lvlJc w:val="left"/>
      <w:lvlText w:val="(%1)"/>
      <w:numFmt w:val="lowerRoman"/>
      <w:start w:val="1"/>
    </w:lvl>
  </w:abstractNum>
  <w:abstractNum w:abstractNumId="115">
    <w:nsid w:val="72E3413A"/>
    <w:multiLevelType w:val="hybridMultilevel"/>
    <w:lvl w:ilvl="0">
      <w:lvlJc w:val="left"/>
      <w:lvlText w:val="%1"/>
      <w:numFmt w:val="upperLetter"/>
      <w:start w:val="1"/>
    </w:lvl>
    <w:lvl w:ilvl="1">
      <w:lvlJc w:val="left"/>
      <w:lvlText w:val="(%2)"/>
      <w:numFmt w:val="lowerRoman"/>
      <w:start w:val="2"/>
    </w:lvl>
  </w:abstractNum>
  <w:abstractNum w:abstractNumId="116">
    <w:nsid w:val="116AE494"/>
    <w:multiLevelType w:val="hybridMultilevel"/>
    <w:lvl w:ilvl="0">
      <w:lvlJc w:val="left"/>
      <w:lvlText w:val="(%1)"/>
      <w:numFmt w:val="upperLetter"/>
      <w:start w:val="2"/>
    </w:lvl>
    <w:lvl w:ilvl="1">
      <w:lvlJc w:val="left"/>
      <w:lvlText w:val="(%2)"/>
      <w:numFmt w:val="lowerRoman"/>
      <w:start w:val="5"/>
    </w:lvl>
  </w:abstractNum>
  <w:abstractNum w:abstractNumId="117">
    <w:nsid w:val="3494B2FB"/>
    <w:multiLevelType w:val="hybridMultilevel"/>
    <w:lvl w:ilvl="0">
      <w:lvlJc w:val="left"/>
      <w:lvlText w:val="(%1)"/>
      <w:numFmt w:val="lowerLetter"/>
      <w:start w:val="3"/>
    </w:lvl>
    <w:lvl w:ilvl="1">
      <w:lvlJc w:val="left"/>
      <w:lvlText w:val="(%2)"/>
      <w:numFmt w:val="lowerRoman"/>
      <w:start w:val="1"/>
    </w:lvl>
  </w:abstractNum>
  <w:abstractNum w:abstractNumId="118">
    <w:nsid w:val="B13A31"/>
    <w:multiLevelType w:val="hybridMultilevel"/>
    <w:lvl w:ilvl="0">
      <w:lvlJc w:val="left"/>
      <w:lvlText w:val="%1"/>
      <w:numFmt w:val="decimal"/>
      <w:start w:val="1"/>
    </w:lvl>
    <w:lvl w:ilvl="1">
      <w:lvlJc w:val="left"/>
      <w:lvlText w:val="(%2)"/>
      <w:numFmt w:val="lowerLetter"/>
      <w:start w:val="4"/>
    </w:lvl>
  </w:abstractNum>
  <w:abstractNum w:abstractNumId="119">
    <w:nsid w:val="64429599"/>
    <w:multiLevelType w:val="hybridMultilevel"/>
    <w:lvl w:ilvl="0">
      <w:lvlJc w:val="left"/>
      <w:lvlText w:val="%1."/>
      <w:numFmt w:val="decimal"/>
      <w:start w:val="5"/>
    </w:lvl>
    <w:lvl w:ilvl="1">
      <w:lvlJc w:val="left"/>
      <w:lvlText w:val="(%2)"/>
      <w:numFmt w:val="lowerLetter"/>
      <w:start w:val="1"/>
    </w:lvl>
  </w:abstractNum>
  <w:abstractNum w:abstractNumId="120">
    <w:nsid w:val="631F1690"/>
    <w:multiLevelType w:val="hybridMultilevel"/>
    <w:lvl w:ilvl="0">
      <w:lvlJc w:val="left"/>
      <w:lvlText w:val="(%1)"/>
      <w:numFmt w:val="lowerLetter"/>
      <w:start w:val="4"/>
    </w:lvl>
  </w:abstractNum>
  <w:abstractNum w:abstractNumId="121">
    <w:nsid w:val="25973E32"/>
    <w:multiLevelType w:val="hybridMultilevel"/>
    <w:lvl w:ilvl="0">
      <w:lvlJc w:val="left"/>
      <w:lvlText w:val="%1."/>
      <w:numFmt w:val="decimal"/>
      <w:start w:val="6"/>
    </w:lvl>
  </w:abstractNum>
  <w:abstractNum w:abstractNumId="122">
    <w:nsid w:val="EAD6F5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3">
    <w:nsid w:val="6EC9D844"/>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2"/>
    </w:lvl>
  </w:abstractNum>
  <w:abstractNum w:abstractNumId="124">
    <w:nsid w:val="5C49EAEE"/>
    <w:multiLevelType w:val="hybridMultilevel"/>
    <w:lvl w:ilvl="0">
      <w:lvlJc w:val="left"/>
      <w:lvlText w:val="(%1)"/>
      <w:numFmt w:val="lowerLetter"/>
      <w:start w:val="2"/>
    </w:lvl>
  </w:abstractNum>
  <w:abstractNum w:abstractNumId="125">
    <w:nsid w:val="64AF49B"/>
    <w:multiLevelType w:val="hybridMultilevel"/>
    <w:lvl w:ilvl="0">
      <w:lvlJc w:val="left"/>
      <w:lvlText w:val="%1."/>
      <w:numFmt w:val="decimal"/>
      <w:start w:val="8"/>
    </w:lvl>
    <w:lvl w:ilvl="1">
      <w:lvlJc w:val="left"/>
      <w:lvlText w:val="(%2)"/>
      <w:numFmt w:val="lowerLetter"/>
      <w:start w:val="1"/>
    </w:lvl>
  </w:abstractNum>
  <w:abstractNum w:abstractNumId="126">
    <w:nsid w:val="397C46BC"/>
    <w:multiLevelType w:val="hybridMultilevel"/>
    <w:lvl w:ilvl="0">
      <w:lvlJc w:val="left"/>
      <w:lvlText w:val="%1"/>
      <w:numFmt w:val="decimal"/>
      <w:start w:val="1"/>
    </w:lvl>
    <w:lvl w:ilvl="1">
      <w:lvlJc w:val="left"/>
      <w:lvlText w:val="(%2)"/>
      <w:numFmt w:val="lowerLetter"/>
      <w:start w:val="3"/>
    </w:lvl>
  </w:abstractNum>
  <w:abstractNum w:abstractNumId="127">
    <w:nsid w:val="7E448DE9"/>
    <w:multiLevelType w:val="hybridMultilevel"/>
    <w:lvl w:ilvl="0">
      <w:lvlJc w:val="left"/>
      <w:lvlText w:val="%1."/>
      <w:numFmt w:val="decimal"/>
      <w:start w:val="9"/>
    </w:lvl>
    <w:lvl w:ilvl="1">
      <w:lvlJc w:val="left"/>
      <w:lvlText w:val="(%2)"/>
      <w:numFmt w:val="lowerLetter"/>
      <w:start w:val="1"/>
    </w:lvl>
  </w:abstractNum>
  <w:abstractNum w:abstractNumId="128">
    <w:nsid w:val="5A9CC3E5"/>
    <w:multiLevelType w:val="hybridMultilevel"/>
    <w:lvl w:ilvl="0">
      <w:lvlJc w:val="left"/>
      <w:lvlText w:val="%1"/>
      <w:numFmt w:val="lowerLetter"/>
      <w:start w:val="1"/>
    </w:lvl>
    <w:lvl w:ilvl="1">
      <w:lvlJc w:val="left"/>
      <w:lvlText w:val="(%2)"/>
      <w:numFmt w:val="lowerRoman"/>
      <w:start w:val="1"/>
    </w:lvl>
  </w:abstractNum>
  <w:abstractNum w:abstractNumId="129">
    <w:nsid w:val="1AFE3625"/>
    <w:multiLevelType w:val="hybridMultilevel"/>
    <w:lvl w:ilvl="0">
      <w:lvlJc w:val="left"/>
      <w:lvlText w:val="(%1)"/>
      <w:numFmt w:val="lowerLetter"/>
      <w:start w:val="4"/>
    </w:lvl>
    <w:lvl w:ilvl="1">
      <w:lvlJc w:val="left"/>
      <w:lvlText w:val="%2"/>
      <w:numFmt w:val="lowerRoman"/>
      <w:start w:val="1"/>
    </w:lvl>
  </w:abstractNum>
  <w:abstractNum w:abstractNumId="130">
    <w:nsid w:val="3CA88ECF"/>
    <w:multiLevelType w:val="hybridMultilevel"/>
    <w:lvl w:ilvl="0">
      <w:lvlJc w:val="left"/>
      <w:lvlText w:val="(%1)"/>
      <w:numFmt w:val="lowerLetter"/>
      <w:start w:val="9"/>
    </w:lvl>
    <w:lvl w:ilvl="1">
      <w:lvlJc w:val="left"/>
      <w:lvlText w:val="(%2)"/>
      <w:numFmt w:val="lowerRoman"/>
      <w:start w:val="1"/>
    </w:lvl>
  </w:abstractNum>
  <w:abstractNum w:abstractNumId="131">
    <w:nsid w:val="6EBE4208"/>
    <w:multiLevelType w:val="hybridMultilevel"/>
    <w:lvl w:ilvl="0">
      <w:lvlJc w:val="left"/>
      <w:lvlText w:val="%1"/>
      <w:numFmt w:val="lowerLetter"/>
      <w:start w:val="1"/>
    </w:lvl>
    <w:lvl w:ilvl="1">
      <w:lvlJc w:val="left"/>
      <w:lvlText w:val="(%2)"/>
      <w:numFmt w:val="lowerRoman"/>
      <w:start w:val="4"/>
    </w:lvl>
  </w:abstractNum>
  <w:abstractNum w:abstractNumId="132">
    <w:nsid w:val="C058DF5"/>
    <w:multiLevelType w:val="hybridMultilevel"/>
    <w:lvl w:ilvl="0">
      <w:lvlJc w:val="left"/>
      <w:lvlText w:val="(%1)"/>
      <w:numFmt w:val="lowerLetter"/>
      <w:start w:val="12"/>
    </w:lvl>
    <w:lvl w:ilvl="1">
      <w:lvlJc w:val="left"/>
      <w:lvlText w:val="%2"/>
      <w:numFmt w:val="lowerRoman"/>
      <w:start w:val="1"/>
    </w:lvl>
  </w:abstractNum>
  <w:abstractNum w:abstractNumId="133">
    <w:nsid w:val="CBE5BE9"/>
    <w:multiLevelType w:val="hybridMultilevel"/>
    <w:lvl w:ilvl="0">
      <w:lvlJc w:val="left"/>
      <w:lvlText w:val="%1."/>
      <w:numFmt w:val="decimal"/>
      <w:start w:val="10"/>
    </w:lvl>
  </w:abstractNum>
  <w:abstractNum w:abstractNumId="134">
    <w:nsid w:val="3102BBE2"/>
    <w:multiLevelType w:val="hybridMultilevel"/>
    <w:lvl w:ilvl="0">
      <w:lvlJc w:val="left"/>
      <w:lvlText w:val="%1."/>
      <w:numFmt w:val="decimal"/>
      <w:start w:val="1"/>
    </w:lvl>
  </w:abstractNum>
  <w:abstractNum w:abstractNumId="135">
    <w:nsid w:val="26A02C5E"/>
    <w:multiLevelType w:val="hybridMultilevel"/>
    <w:lvl w:ilvl="0">
      <w:lvlJc w:val="left"/>
      <w:lvlText w:val="(%1)"/>
      <w:numFmt w:val="lowerLetter"/>
      <w:start w:val="1"/>
    </w:lvl>
  </w:abstractNum>
  <w:abstractNum w:abstractNumId="136">
    <w:nsid w:val="541C8153"/>
    <w:multiLevelType w:val="hybridMultilevel"/>
    <w:lvl w:ilvl="0">
      <w:lvlJc w:val="left"/>
      <w:lvlText w:val="%1."/>
      <w:numFmt w:val="decimal"/>
      <w:start w:val="3"/>
    </w:lvl>
  </w:abstractNum>
  <w:abstractNum w:abstractNumId="137">
    <w:nsid w:val="67906F60"/>
    <w:multiLevelType w:val="hybridMultilevel"/>
    <w:lvl w:ilvl="0">
      <w:lvlJc w:val="left"/>
      <w:lvlText w:val="%1."/>
      <w:numFmt w:val="decimal"/>
      <w:start w:val="4"/>
    </w:lvl>
    <w:lvl w:ilvl="1">
      <w:lvlJc w:val="left"/>
      <w:lvlText w:val="%2."/>
      <w:numFmt w:val="decimal"/>
      <w:start w:val="9"/>
    </w:lvl>
  </w:abstractNum>
  <w:abstractNum w:abstractNumId="138">
    <w:nsid w:val="10DB9DAA"/>
    <w:multiLevelType w:val="hybridMultilevel"/>
    <w:lvl w:ilvl="0">
      <w:lvlJc w:val="left"/>
      <w:lvlText w:val="•"/>
      <w:numFmt w:val="bullet"/>
      <w:start w:val="1"/>
    </w:lvl>
  </w:abstractNum>
  <w:abstractNum w:abstractNumId="139">
    <w:nsid w:val="697D2D2"/>
    <w:multiLevelType w:val="hybridMultilevel"/>
    <w:lvl w:ilvl="0">
      <w:lvlJc w:val="left"/>
      <w:lvlText w:val="%1."/>
      <w:numFmt w:val="decimal"/>
      <w:start w:val="1"/>
    </w:lvl>
    <w:lvl w:ilvl="1">
      <w:lvlJc w:val="left"/>
      <w:lvlText w:val="(%2)"/>
      <w:numFmt w:val="lowerLetter"/>
      <w:start w:val="1"/>
    </w:lvl>
  </w:abstractNum>
  <w:abstractNum w:abstractNumId="140">
    <w:nsid w:val="6D68AB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41">
    <w:nsid w:val="3A966CD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42">
    <w:nsid w:val="63F37E85"/>
    <w:multiLevelType w:val="hybridMultilevel"/>
    <w:lvl w:ilvl="0">
      <w:lvlJc w:val="left"/>
      <w:lvlText w:val="(%1)"/>
      <w:numFmt w:val="lowerRoman"/>
      <w:start w:val="2"/>
    </w:lvl>
  </w:abstractNum>
  <w:abstractNum w:abstractNumId="143">
    <w:nsid w:val="5895F5FA"/>
    <w:multiLevelType w:val="hybridMultilevel"/>
    <w:lvl w:ilvl="0">
      <w:lvlJc w:val="left"/>
      <w:lvlText w:val="%1"/>
      <w:numFmt w:val="lowerLetter"/>
      <w:start w:val="1"/>
    </w:lvl>
    <w:lvl w:ilvl="1">
      <w:lvlJc w:val="left"/>
      <w:lvlText w:val="(%2)"/>
      <w:numFmt w:val="upperLetter"/>
      <w:start w:val="2"/>
    </w:lvl>
  </w:abstractNum>
  <w:abstractNum w:abstractNumId="144">
    <w:nsid w:val="38A5D054"/>
    <w:multiLevelType w:val="hybridMultilevel"/>
    <w:lvl w:ilvl="0">
      <w:lvlJc w:val="left"/>
      <w:lvlText w:val="(%1)"/>
      <w:numFmt w:val="lowerLetter"/>
      <w:start w:val="5"/>
    </w:lvl>
    <w:lvl w:ilvl="1">
      <w:lvlJc w:val="left"/>
      <w:lvlText w:val="%2"/>
      <w:numFmt w:val="upperLetter"/>
      <w:start w:val="1"/>
    </w:lvl>
  </w:abstractNum>
  <w:abstractNum w:abstractNumId="145">
    <w:nsid w:val="F3F09D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6">
    <w:nsid w:val="4B79373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47">
    <w:nsid w:val="4A10B4E8"/>
    <w:multiLevelType w:val="hybridMultilevel"/>
    <w:lvl w:ilvl="0">
      <w:lvlJc w:val="left"/>
      <w:lvlText w:val="%1"/>
      <w:numFmt w:val="decimal"/>
      <w:start w:val="1"/>
    </w:lvl>
    <w:lvl w:ilvl="1">
      <w:lvlJc w:val="left"/>
      <w:lvlText w:val="(%2)"/>
      <w:numFmt w:val="lowerLetter"/>
      <w:start w:val="4"/>
    </w:lvl>
  </w:abstractNum>
  <w:abstractNum w:abstractNumId="148">
    <w:nsid w:val="43D3BCD4"/>
    <w:multiLevelType w:val="hybridMultilevel"/>
    <w:lvl w:ilvl="0">
      <w:lvlJc w:val="left"/>
      <w:lvlText w:val="%1."/>
      <w:numFmt w:val="decimal"/>
      <w:start w:val="4"/>
    </w:lvl>
    <w:lvl w:ilvl="1">
      <w:lvlJc w:val="left"/>
      <w:lvlText w:val="(%2)"/>
      <w:numFmt w:val="lowerLetter"/>
      <w:start w:val="1"/>
    </w:lvl>
  </w:abstractNum>
  <w:abstractNum w:abstractNumId="149">
    <w:nsid w:val="4C2A7166"/>
    <w:multiLevelType w:val="hybridMultilevel"/>
    <w:lvl w:ilvl="0">
      <w:lvlJc w:val="left"/>
      <w:lvlText w:val="%1"/>
      <w:numFmt w:val="lowerLetter"/>
      <w:start w:val="1"/>
    </w:lvl>
    <w:lvl w:ilvl="1">
      <w:lvlJc w:val="left"/>
      <w:lvlText w:val="(%2)"/>
      <w:numFmt w:val="lowerRoman"/>
      <w:start w:val="1"/>
    </w:lvl>
  </w:abstractNum>
  <w:abstractNum w:abstractNumId="150">
    <w:nsid w:val="2E534A82"/>
    <w:multiLevelType w:val="hybridMultilevel"/>
    <w:lvl w:ilvl="0">
      <w:lvlJc w:val="left"/>
      <w:lvlText w:val="(%1)"/>
      <w:numFmt w:val="lowerLetter"/>
      <w:start w:val="3"/>
    </w:lvl>
    <w:lvl w:ilvl="1">
      <w:lvlJc w:val="left"/>
      <w:lvlText w:val="%2"/>
      <w:numFmt w:val="lowerRoman"/>
      <w:start w:val="1"/>
    </w:lvl>
  </w:abstractNum>
  <w:abstractNum w:abstractNumId="151">
    <w:nsid w:val="26F2D364"/>
    <w:multiLevelType w:val="hybridMultilevel"/>
    <w:lvl w:ilvl="0">
      <w:lvlJc w:val="left"/>
      <w:lvlText w:val="%1"/>
      <w:numFmt w:val="lowerLetter"/>
      <w:start w:val="1"/>
    </w:lvl>
    <w:lvl w:ilvl="1">
      <w:lvlJc w:val="left"/>
      <w:lvlText w:val="(%2)"/>
      <w:numFmt w:val="lowerRoman"/>
      <w:start w:val="1"/>
    </w:lvl>
  </w:abstractNum>
  <w:abstractNum w:abstractNumId="152">
    <w:nsid w:val="71C1AF98"/>
    <w:multiLevelType w:val="hybridMultilevel"/>
    <w:lvl w:ilvl="0">
      <w:lvlJc w:val="left"/>
      <w:lvlText w:val="(%1)"/>
      <w:numFmt w:val="lowerLetter"/>
      <w:start w:val="4"/>
    </w:lvl>
    <w:lvl w:ilvl="1">
      <w:lvlJc w:val="left"/>
      <w:lvlText w:val="%2"/>
      <w:numFmt w:val="lowerRoman"/>
      <w:start w:val="1"/>
    </w:lvl>
  </w:abstractNum>
  <w:abstractNum w:abstractNumId="153">
    <w:nsid w:val="3D00B9D9"/>
    <w:multiLevelType w:val="hybridMultilevel"/>
    <w:lvl w:ilvl="0">
      <w:lvlJc w:val="left"/>
      <w:lvlText w:val="%1"/>
      <w:numFmt w:val="decimal"/>
      <w:start w:val="1"/>
    </w:lvl>
    <w:lvl w:ilvl="1">
      <w:lvlJc w:val="left"/>
      <w:lvlText w:val="(%2)"/>
      <w:numFmt w:val="lowerLetter"/>
      <w:start w:val="5"/>
    </w:lvl>
  </w:abstractNum>
  <w:abstractNum w:abstractNumId="154">
    <w:nsid w:val="15BCABA8"/>
    <w:multiLevelType w:val="hybridMultilevel"/>
    <w:lvl w:ilvl="0">
      <w:lvlJc w:val="left"/>
      <w:lvlText w:val="%1."/>
      <w:numFmt w:val="decimal"/>
      <w:start w:val="5"/>
    </w:lvl>
    <w:lvl w:ilvl="1">
      <w:lvlJc w:val="left"/>
      <w:lvlText w:val="(%2)"/>
      <w:numFmt w:val="lowerLetter"/>
      <w:start w:val="1"/>
    </w:lvl>
  </w:abstractNum>
  <w:abstractNum w:abstractNumId="155">
    <w:nsid w:val="4E0B9A87"/>
    <w:multiLevelType w:val="hybridMultilevel"/>
    <w:lvl w:ilvl="0">
      <w:lvlJc w:val="left"/>
      <w:lvlText w:val="(%1)"/>
      <w:numFmt w:val="lowerLetter"/>
      <w:start w:val="5"/>
    </w:lvl>
  </w:abstractNum>
  <w:abstractNum w:abstractNumId="156">
    <w:nsid w:val="434BAE75"/>
    <w:multiLevelType w:val="hybridMultilevel"/>
    <w:lvl w:ilvl="0">
      <w:lvlJc w:val="left"/>
      <w:lvlText w:val="%1."/>
      <w:numFmt w:val="decimal"/>
      <w:start w:val="6"/>
    </w:lvl>
  </w:abstractNum>
  <w:abstractNum w:abstractNumId="157">
    <w:nsid w:val="4F38F26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8">
    <w:nsid w:val="4C502870"/>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2"/>
    </w:lvl>
  </w:abstractNum>
  <w:abstractNum w:abstractNumId="159">
    <w:nsid w:val="1DE8725A"/>
    <w:multiLevelType w:val="hybridMultilevel"/>
    <w:lvl w:ilvl="0">
      <w:lvlJc w:val="left"/>
      <w:lvlText w:val="(%1)"/>
      <w:numFmt w:val="lowerLetter"/>
      <w:start w:val="2"/>
    </w:lvl>
  </w:abstractNum>
  <w:abstractNum w:abstractNumId="160">
    <w:nsid w:val="6A37288A"/>
    <w:multiLevelType w:val="hybridMultilevel"/>
    <w:lvl w:ilvl="0">
      <w:lvlJc w:val="left"/>
      <w:lvlText w:val="%1"/>
      <w:numFmt w:val="decimal"/>
      <w:start w:val="1"/>
    </w:lvl>
    <w:lvl w:ilvl="1">
      <w:lvlJc w:val="left"/>
      <w:lvlText w:val="(%2)"/>
      <w:numFmt w:val="lowerLetter"/>
      <w:start w:val="4"/>
    </w:lvl>
  </w:abstractNum>
  <w:abstractNum w:abstractNumId="161">
    <w:nsid w:val="8F8B73F"/>
    <w:multiLevelType w:val="hybridMultilevel"/>
    <w:lvl w:ilvl="0">
      <w:lvlJc w:val="left"/>
      <w:lvlText w:val="%1."/>
      <w:numFmt w:val="decimal"/>
      <w:start w:val="8"/>
    </w:lvl>
    <w:lvl w:ilvl="1">
      <w:lvlJc w:val="left"/>
      <w:lvlText w:val="(%2)"/>
      <w:numFmt w:val="lowerLetter"/>
      <w:start w:val="1"/>
    </w:lvl>
  </w:abstractNum>
  <w:abstractNum w:abstractNumId="162">
    <w:nsid w:val="CA6B462"/>
    <w:multiLevelType w:val="hybridMultilevel"/>
    <w:lvl w:ilvl="0">
      <w:lvlJc w:val="left"/>
      <w:lvlText w:val="(%1)"/>
      <w:numFmt w:val="lowerLetter"/>
      <w:start w:val="2"/>
    </w:lvl>
  </w:abstractNum>
  <w:abstractNum w:abstractNumId="163">
    <w:nsid w:val="763CB68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4">
    <w:nsid w:val="15B7132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5">
    <w:nsid w:val="3DA97044"/>
    <w:multiLevelType w:val="hybridMultilevel"/>
    <w:lvl w:ilvl="0">
      <w:lvlJc w:val="left"/>
      <w:lvlText w:val="(%1)"/>
      <w:numFmt w:val="lowerLetter"/>
      <w:start w:val="4"/>
    </w:lvl>
  </w:abstractNum>
  <w:abstractNum w:abstractNumId="166">
    <w:nsid w:val="1CDCE2DE"/>
    <w:multiLevelType w:val="hybridMultilevel"/>
    <w:lvl w:ilvl="0">
      <w:lvlJc w:val="left"/>
      <w:lvlText w:val="(%1)"/>
      <w:numFmt w:val="lowerLetter"/>
      <w:start w:val="9"/>
    </w:lvl>
    <w:lvl w:ilvl="1">
      <w:lvlJc w:val="left"/>
      <w:lvlText w:val="(%2)"/>
      <w:numFmt w:val="lowerRoman"/>
      <w:start w:val="1"/>
    </w:lvl>
  </w:abstractNum>
  <w:abstractNum w:abstractNumId="167">
    <w:nsid w:val="69D3947C"/>
    <w:multiLevelType w:val="hybridMultilevel"/>
    <w:lvl w:ilvl="0">
      <w:lvlJc w:val="left"/>
      <w:lvlText w:val="%1"/>
      <w:numFmt w:val="lowerLetter"/>
      <w:start w:val="1"/>
    </w:lvl>
    <w:lvl w:ilvl="1">
      <w:lvlJc w:val="left"/>
      <w:lvlText w:val="(%2)"/>
      <w:numFmt w:val="lowerRoman"/>
      <w:start w:val="4"/>
    </w:lvl>
  </w:abstractNum>
  <w:abstractNum w:abstractNumId="168">
    <w:nsid w:val="2539DFA5"/>
    <w:multiLevelType w:val="hybridMultilevel"/>
    <w:lvl w:ilvl="0">
      <w:lvlJc w:val="left"/>
      <w:lvlText w:val="(%1)"/>
      <w:numFmt w:val="lowerLetter"/>
      <w:start w:val="12"/>
    </w:lvl>
    <w:lvl w:ilvl="1">
      <w:lvlJc w:val="left"/>
      <w:lvlText w:val="%2"/>
      <w:numFmt w:val="lowerRoman"/>
      <w:start w:val="1"/>
    </w:lvl>
  </w:abstractNum>
  <w:abstractNum w:abstractNumId="169">
    <w:nsid w:val="2DB88089"/>
    <w:multiLevelType w:val="hybridMultilevel"/>
    <w:lvl w:ilvl="0">
      <w:lvlJc w:val="left"/>
      <w:lvlText w:val="%1."/>
      <w:numFmt w:val="decimal"/>
      <w:start w:val="10"/>
    </w:lvl>
  </w:abstractNum>
  <w:abstractNum w:abstractNumId="170">
    <w:nsid w:val="706B674E"/>
    <w:multiLevelType w:val="hybridMultilevel"/>
    <w:lvl w:ilvl="0">
      <w:lvlJc w:val="left"/>
      <w:lvlText w:val="%1."/>
      <w:numFmt w:val="decimal"/>
      <w:start w:val="1"/>
    </w:lvl>
  </w:abstractNum>
  <w:abstractNum w:abstractNumId="171">
    <w:nsid w:val="2C106A57"/>
    <w:multiLevelType w:val="hybridMultilevel"/>
    <w:lvl w:ilvl="0">
      <w:lvlJc w:val="left"/>
      <w:lvlText w:val="§"/>
      <w:numFmt w:val="bullet"/>
      <w:start w:val="1"/>
    </w:lvl>
    <w:lvl w:ilvl="1">
      <w:lvlJc w:val="left"/>
      <w:lvlText w:val="(%2)"/>
      <w:numFmt w:val="lowerLetter"/>
      <w:start w:val="1"/>
    </w:lvl>
  </w:abstractNum>
  <w:abstractNum w:abstractNumId="172">
    <w:nsid w:val="684EED59"/>
    <w:multiLevelType w:val="hybridMultilevel"/>
    <w:lvl w:ilvl="0">
      <w:lvlJc w:val="left"/>
      <w:lvlText w:val="§"/>
      <w:numFmt w:val="bullet"/>
      <w:start w:val="1"/>
    </w:lvl>
    <w:lvl w:ilvl="1">
      <w:lvlJc w:val="left"/>
      <w:lvlText w:val="(%2)"/>
      <w:numFmt w:val="lowerLetter"/>
      <w:start w:val="5"/>
    </w:lvl>
  </w:abstractNum>
  <w:abstractNum w:abstractNumId="173">
    <w:nsid w:val="545EE5D3"/>
    <w:multiLevelType w:val="hybridMultilevel"/>
    <w:lvl w:ilvl="0">
      <w:lvlJc w:val="left"/>
      <w:lvlText w:val="%1."/>
      <w:numFmt w:val="decimal"/>
      <w:start w:val="3"/>
    </w:lvl>
  </w:abstractNum>
  <w:abstractNum w:abstractNumId="174">
    <w:nsid w:val="4A66051"/>
    <w:multiLevelType w:val="hybridMultilevel"/>
    <w:lvl w:ilvl="0">
      <w:lvlJc w:val="left"/>
      <w:lvlText w:val="%1."/>
      <w:numFmt w:val="decimal"/>
      <w:start w:val="4"/>
    </w:lvl>
    <w:lvl w:ilvl="1">
      <w:lvlJc w:val="left"/>
      <w:lvlText w:val="(%2)"/>
      <w:numFmt w:val="lowerLetter"/>
      <w:start w:val="1"/>
    </w:lvl>
  </w:abstractNum>
  <w:abstractNum w:abstractNumId="175">
    <w:nsid w:val="20F4BDAD"/>
    <w:multiLevelType w:val="hybridMultilevel"/>
    <w:lvl w:ilvl="0">
      <w:lvlJc w:val="left"/>
      <w:lvlText w:val="%1."/>
      <w:numFmt w:val="decimal"/>
      <w:start w:val="5"/>
    </w:lvl>
    <w:lvl w:ilvl="1">
      <w:lvlJc w:val="left"/>
      <w:lvlText w:val="%2."/>
      <w:numFmt w:val="decimal"/>
      <w:start w:val="9"/>
    </w:lvl>
  </w:abstractNum>
  <w:abstractNum w:abstractNumId="176">
    <w:nsid w:val="639DEFAC"/>
    <w:multiLevelType w:val="hybridMultilevel"/>
    <w:lvl w:ilvl="0">
      <w:lvlJc w:val="left"/>
      <w:lvlText w:val="%1."/>
      <w:numFmt w:val="decimal"/>
      <w:start w:val="1"/>
    </w:lvl>
    <w:lvl w:ilvl="1">
      <w:lvlJc w:val="left"/>
      <w:lvlText w:val="(%2)"/>
      <w:numFmt w:val="lowerLetter"/>
      <w:start w:val="1"/>
    </w:lvl>
  </w:abstractNum>
  <w:abstractNum w:abstractNumId="177">
    <w:nsid w:val="501F9786"/>
    <w:multiLevelType w:val="hybridMultilevel"/>
    <w:lvl w:ilvl="0">
      <w:lvlJc w:val="left"/>
      <w:lvlText w:val="%1"/>
      <w:numFmt w:val="decimal"/>
      <w:start w:val="1"/>
    </w:lvl>
    <w:lvl w:ilvl="1">
      <w:lvlJc w:val="left"/>
      <w:lvlText w:val="(%2)"/>
      <w:numFmt w:val="lowerLetter"/>
      <w:start w:val="4"/>
    </w:lvl>
  </w:abstractNum>
  <w:abstractNum w:abstractNumId="178">
    <w:nsid w:val="6B057295"/>
    <w:multiLevelType w:val="hybridMultilevel"/>
    <w:lvl w:ilvl="0">
      <w:lvlJc w:val="left"/>
      <w:lvlText w:val="%1."/>
      <w:numFmt w:val="decimal"/>
      <w:start w:val="2"/>
    </w:lvl>
    <w:lvl w:ilvl="1">
      <w:lvlJc w:val="left"/>
      <w:lvlText w:val="(%2)"/>
      <w:numFmt w:val="lowerLetter"/>
      <w:start w:val="1"/>
    </w:lvl>
  </w:abstractNum>
  <w:abstractNum w:abstractNumId="179">
    <w:nsid w:val="2771AC80"/>
    <w:multiLevelType w:val="hybridMultilevel"/>
    <w:lvl w:ilvl="0">
      <w:lvlJc w:val="left"/>
      <w:lvlText w:val="(%1)"/>
      <w:numFmt w:val="lowerLetter"/>
      <w:start w:val="5"/>
    </w:lvl>
  </w:abstractNum>
  <w:abstractNum w:abstractNumId="180">
    <w:nsid w:val="1C4A08EC"/>
    <w:multiLevelType w:val="hybridMultilevel"/>
    <w:lvl w:ilvl="0">
      <w:lvlJc w:val="left"/>
      <w:lvlText w:val="%1."/>
      <w:numFmt w:val="decimal"/>
      <w:start w:val="3"/>
    </w:lvl>
  </w:abstractNum>
  <w:abstractNum w:abstractNumId="181">
    <w:nsid w:val="1958BD17"/>
    <w:multiLevelType w:val="hybridMultilevel"/>
    <w:lvl w:ilvl="0">
      <w:lvlJc w:val="left"/>
      <w:lvlText w:val="(%1)"/>
      <w:numFmt w:val="lowerLetter"/>
      <w:start w:val="1"/>
    </w:lvl>
    <w:lvl w:ilvl="1">
      <w:lvlJc w:val="left"/>
      <w:lvlText w:val="(%2)"/>
      <w:numFmt w:val="lowerRoman"/>
      <w:start w:val="1"/>
    </w:lvl>
  </w:abstractNum>
  <w:abstractNum w:abstractNumId="182">
    <w:nsid w:val="4E647FE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83">
    <w:nsid w:val="E0BB88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84">
    <w:nsid w:val="565976F1"/>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185">
    <w:nsid w:val="64212B8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6">
    <w:nsid w:val="5C17530C"/>
    <w:multiLevelType w:val="hybridMultilevel"/>
    <w:lvl w:ilvl="0">
      <w:lvlJc w:val="left"/>
      <w:lvlText w:val="%1"/>
      <w:numFmt w:val="lowerLetter"/>
      <w:start w:val="1"/>
    </w:lvl>
    <w:lvl w:ilvl="1">
      <w:lvlJc w:val="left"/>
      <w:lvlText w:val="(%2)"/>
      <w:numFmt w:val="lowerRoman"/>
      <w:start w:val="4"/>
    </w:lvl>
  </w:abstractNum>
  <w:abstractNum w:abstractNumId="187">
    <w:nsid w:val="19A52566"/>
    <w:multiLevelType w:val="hybridMultilevel"/>
    <w:lvl w:ilvl="0">
      <w:lvlJc w:val="left"/>
      <w:lvlText w:val="(%1)"/>
      <w:numFmt w:val="lowerLetter"/>
      <w:start w:val="3"/>
    </w:lvl>
    <w:lvl w:ilvl="1">
      <w:lvlJc w:val="left"/>
      <w:lvlText w:val="(%2)"/>
      <w:numFmt w:val="lowerRoman"/>
      <w:start w:val="1"/>
    </w:lvl>
  </w:abstractNum>
  <w:abstractNum w:abstractNumId="188">
    <w:nsid w:val="335A1D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9">
    <w:nsid w:val="28677B7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0">
    <w:nsid w:val="378D97C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1">
    <w:nsid w:val="1D91467C"/>
    <w:multiLevelType w:val="hybridMultilevel"/>
    <w:lvl w:ilvl="0">
      <w:lvlJc w:val="left"/>
      <w:lvlText w:val="(%1)"/>
      <w:numFmt w:val="lowerLetter"/>
      <w:start w:val="2"/>
    </w:lvl>
  </w:abstractNum>
  <w:abstractNum w:abstractNumId="192">
    <w:nsid w:val="316032BB"/>
    <w:multiLevelType w:val="hybridMultilevel"/>
    <w:lvl w:ilvl="0">
      <w:lvlJc w:val="left"/>
      <w:lvlText w:val="%1."/>
      <w:numFmt w:val="decimal"/>
      <w:start w:val="6"/>
    </w:lvl>
  </w:abstractNum>
  <w:abstractNum w:abstractNumId="193">
    <w:nsid w:val="44344C2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94">
    <w:nsid w:val="13CDFCFC"/>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95">
    <w:nsid w:val="471745E4"/>
    <w:multiLevelType w:val="hybridMultilevel"/>
    <w:lvl w:ilvl="0">
      <w:lvlJc w:val="left"/>
      <w:lvlText w:val="(%1)"/>
      <w:numFmt w:val="lowerRoman"/>
      <w:start w:val="2"/>
    </w:lvl>
  </w:abstractNum>
  <w:abstractNum w:abstractNumId="196">
    <w:nsid w:val="1DDBC66"/>
    <w:multiLevelType w:val="hybridMultilevel"/>
    <w:lvl w:ilvl="0">
      <w:lvlJc w:val="left"/>
      <w:lvlText w:val="(%1)"/>
      <w:numFmt w:val="lowerLetter"/>
      <w:start w:val="2"/>
    </w:lvl>
  </w:abstractNum>
  <w:abstractNum w:abstractNumId="197">
    <w:nsid w:val="30AADFDA"/>
    <w:multiLevelType w:val="hybridMultilevel"/>
    <w:lvl w:ilvl="0">
      <w:lvlJc w:val="left"/>
      <w:lvlText w:val="%1"/>
      <w:numFmt w:val="decimal"/>
      <w:start w:val="1"/>
    </w:lvl>
    <w:lvl w:ilvl="1">
      <w:lvlJc w:val="left"/>
      <w:lvlText w:val="(%2)"/>
      <w:numFmt w:val="lowerLetter"/>
      <w:start w:val="6"/>
    </w:lvl>
  </w:abstractNum>
  <w:abstractNum w:abstractNumId="198">
    <w:nsid w:val="30EADA61"/>
    <w:multiLevelType w:val="hybridMultilevel"/>
    <w:lvl w:ilvl="0">
      <w:lvlJc w:val="left"/>
      <w:lvlText w:val="(%1)"/>
      <w:numFmt w:val="decimal"/>
      <w:start w:val="60"/>
    </w:lvl>
    <w:lvl w:ilvl="1">
      <w:lvlJc w:val="left"/>
      <w:lvlText w:val="%2"/>
      <w:numFmt w:val="lowerLetter"/>
      <w:start w:val="1"/>
    </w:lvl>
  </w:abstractNum>
  <w:abstractNum w:abstractNumId="199">
    <w:nsid w:val="27179C0B"/>
    <w:multiLevelType w:val="hybridMultilevel"/>
    <w:lvl w:ilvl="0">
      <w:lvlJc w:val="left"/>
      <w:lvlText w:val="%1."/>
      <w:numFmt w:val="decimal"/>
      <w:start w:val="8"/>
    </w:lvl>
    <w:lvl w:ilvl="1">
      <w:lvlJc w:val="left"/>
      <w:lvlText w:val="(%2)"/>
      <w:numFmt w:val="lowerLetter"/>
      <w:start w:val="1"/>
    </w:lvl>
  </w:abstractNum>
  <w:abstractNum w:abstractNumId="200">
    <w:nsid w:val="5E636063"/>
    <w:multiLevelType w:val="hybridMultilevel"/>
    <w:lvl w:ilvl="0">
      <w:lvlJc w:val="left"/>
      <w:lvlText w:val="(%1)"/>
      <w:numFmt w:val="lowerLetter"/>
      <w:start w:val="2"/>
    </w:lvl>
  </w:abstractNum>
  <w:abstractNum w:abstractNumId="201">
    <w:nsid w:val="215641A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02">
    <w:nsid w:val="53280662"/>
    <w:multiLevelType w:val="hybridMultilevel"/>
    <w:lvl w:ilvl="0">
      <w:lvlJc w:val="left"/>
      <w:lvlText w:val="(%1)"/>
      <w:numFmt w:val="lowerLetter"/>
      <w:start w:val="7"/>
    </w:lvl>
  </w:abstractNum>
  <w:abstractNum w:abstractNumId="203">
    <w:nsid w:val="46B24DBC"/>
    <w:multiLevelType w:val="hybridMultilevel"/>
    <w:lvl w:ilvl="0">
      <w:lvlJc w:val="left"/>
      <w:lvlText w:val="(%1)"/>
      <w:numFmt w:val="lowerLetter"/>
      <w:start w:val="11"/>
    </w:lvl>
    <w:lvl w:ilvl="1">
      <w:lvlJc w:val="left"/>
      <w:lvlText w:val="(%2)"/>
      <w:numFmt w:val="lowerRoman"/>
      <w:start w:val="1"/>
    </w:lvl>
  </w:abstractNum>
  <w:abstractNum w:abstractNumId="204">
    <w:nsid w:val="75B52783"/>
    <w:multiLevelType w:val="hybridMultilevel"/>
    <w:lvl w:ilvl="0">
      <w:lvlJc w:val="left"/>
      <w:lvlText w:val="%1"/>
      <w:numFmt w:val="decimal"/>
      <w:start w:val="1"/>
    </w:lvl>
    <w:lvl w:ilvl="1">
      <w:lvlJc w:val="left"/>
      <w:lvlText w:val="(%2)"/>
      <w:numFmt w:val="lowerLetter"/>
      <w:start w:val="12"/>
    </w:lvl>
  </w:abstractNum>
  <w:abstractNum w:abstractNumId="205">
    <w:nsid w:val="57CE66B4"/>
    <w:multiLevelType w:val="hybridMultilevel"/>
    <w:lvl w:ilvl="0">
      <w:lvlJc w:val="left"/>
      <w:lvlText w:val="%1."/>
      <w:numFmt w:val="decimal"/>
      <w:start w:val="10"/>
    </w:lvl>
    <w:lvl w:ilvl="1">
      <w:lvlJc w:val="left"/>
      <w:lvlText w:val="%2"/>
      <w:numFmt w:val="lowerLetter"/>
      <w:start w:val="1"/>
    </w:lvl>
  </w:abstractNum>
  <w:abstractNum w:abstractNumId="206">
    <w:nsid w:val="67A70B69"/>
    <w:multiLevelType w:val="hybridMultilevel"/>
    <w:lvl w:ilvl="0">
      <w:lvlJc w:val="left"/>
      <w:lvlText w:val="%1."/>
      <w:numFmt w:val="decimal"/>
      <w:start w:val="1"/>
    </w:lvl>
  </w:abstractNum>
  <w:abstractNum w:abstractNumId="207">
    <w:nsid w:val="5953172F"/>
    <w:multiLevelType w:val="hybridMultilevel"/>
    <w:lvl w:ilvl="0">
      <w:lvlJc w:val="left"/>
      <w:lvlText w:val="(%1)"/>
      <w:numFmt w:val="lowerLetter"/>
      <w:start w:val="1"/>
    </w:lvl>
  </w:abstractNum>
  <w:abstractNum w:abstractNumId="208">
    <w:nsid w:val="27EDFE3A"/>
    <w:multiLevelType w:val="hybridMultilevel"/>
    <w:lvl w:ilvl="0">
      <w:lvlJc w:val="left"/>
      <w:lvlText w:val="%1."/>
      <w:numFmt w:val="decimal"/>
      <w:start w:val="3"/>
    </w:lvl>
  </w:abstractNum>
  <w:abstractNum w:abstractNumId="209">
    <w:nsid w:val="52AC7DFF"/>
    <w:multiLevelType w:val="hybridMultilevel"/>
    <w:lvl w:ilvl="0">
      <w:lvlJc w:val="left"/>
      <w:lvlText w:val="%1."/>
      <w:numFmt w:val="decimal"/>
      <w:start w:val="4"/>
    </w:lvl>
    <w:lvl w:ilvl="1">
      <w:lvlJc w:val="left"/>
      <w:lvlText w:val="%2."/>
      <w:numFmt w:val="decimal"/>
      <w:start w:val="9"/>
    </w:lvl>
  </w:abstractNum>
  <w:abstractNum w:abstractNumId="210">
    <w:nsid w:val="C4C3AF"/>
    <w:multiLevelType w:val="hybridMultilevel"/>
    <w:lvl w:ilvl="0">
      <w:lvlJc w:val="left"/>
      <w:lvlText w:val="%1."/>
      <w:numFmt w:val="decimal"/>
      <w:start w:val="1"/>
    </w:lvl>
    <w:lvl w:ilvl="1">
      <w:lvlJc w:val="left"/>
      <w:lvlText w:val="(%2)"/>
      <w:numFmt w:val="lowerLetter"/>
      <w:start w:val="1"/>
    </w:lvl>
  </w:abstractNum>
  <w:abstractNum w:abstractNumId="211">
    <w:nsid w:val="44380727"/>
    <w:multiLevelType w:val="hybridMultilevel"/>
    <w:lvl w:ilvl="0">
      <w:lvlJc w:val="left"/>
      <w:lvlText w:val="%1"/>
      <w:numFmt w:val="decimal"/>
      <w:start w:val="1"/>
    </w:lvl>
    <w:lvl w:ilvl="1">
      <w:lvlJc w:val="left"/>
      <w:lvlText w:val="(%2)"/>
      <w:numFmt w:val="lowerLetter"/>
      <w:start w:val="4"/>
    </w:lvl>
  </w:abstractNum>
  <w:abstractNum w:abstractNumId="212">
    <w:nsid w:val="6C053B16"/>
    <w:multiLevelType w:val="hybridMultilevel"/>
    <w:lvl w:ilvl="0">
      <w:lvlJc w:val="left"/>
      <w:lvlText w:val="%1."/>
      <w:numFmt w:val="decimal"/>
      <w:start w:val="2"/>
    </w:lvl>
    <w:lvl w:ilvl="1">
      <w:lvlJc w:val="left"/>
      <w:lvlText w:val="(%2)"/>
      <w:numFmt w:val="lowerLetter"/>
      <w:start w:val="1"/>
    </w:lvl>
  </w:abstractNum>
  <w:abstractNum w:abstractNumId="213">
    <w:nsid w:val="4F294393"/>
    <w:multiLevelType w:val="hybridMultilevel"/>
    <w:lvl w:ilvl="0">
      <w:lvlJc w:val="left"/>
      <w:lvlText w:val="(%1)"/>
      <w:numFmt w:val="lowerLetter"/>
      <w:start w:val="5"/>
    </w:lvl>
  </w:abstractNum>
  <w:abstractNum w:abstractNumId="214">
    <w:nsid w:val="5243BFAC"/>
    <w:multiLevelType w:val="hybridMultilevel"/>
    <w:lvl w:ilvl="0">
      <w:lvlJc w:val="left"/>
      <w:lvlText w:val="%1."/>
      <w:numFmt w:val="decimal"/>
      <w:start w:val="3"/>
    </w:lvl>
  </w:abstractNum>
  <w:abstractNum w:abstractNumId="215">
    <w:nsid w:val="425EB207"/>
    <w:multiLevelType w:val="hybridMultilevel"/>
    <w:lvl w:ilvl="0">
      <w:lvlJc w:val="left"/>
      <w:lvlText w:val="(%1)"/>
      <w:numFmt w:val="lowerLetter"/>
      <w:start w:val="1"/>
    </w:lvl>
    <w:lvl w:ilvl="1">
      <w:lvlJc w:val="left"/>
      <w:lvlText w:val="(%2)"/>
      <w:numFmt w:val="lowerRoman"/>
      <w:start w:val="1"/>
    </w:lvl>
  </w:abstractNum>
  <w:abstractNum w:abstractNumId="216">
    <w:nsid w:val="334A6F1F"/>
    <w:multiLevelType w:val="hybridMultilevel"/>
    <w:lvl w:ilvl="0">
      <w:lvlJc w:val="left"/>
      <w:lvlText w:val="%1"/>
      <w:numFmt w:val="lowerLetter"/>
      <w:start w:val="1"/>
    </w:lvl>
    <w:lvl w:ilvl="1">
      <w:lvlJc w:val="left"/>
      <w:lvlText w:val="(%2)"/>
      <w:numFmt w:val="lowerLetter"/>
      <w:start w:val="2"/>
    </w:lvl>
  </w:abstractNum>
  <w:abstractNum w:abstractNumId="217">
    <w:nsid w:val="2E5B12B8"/>
    <w:multiLevelType w:val="hybridMultilevel"/>
    <w:lvl w:ilvl="0">
      <w:lvlJc w:val="left"/>
      <w:lvlText w:val="(%1)"/>
      <w:numFmt w:val="lowerLetter"/>
      <w:start w:val="9"/>
    </w:lvl>
    <w:lvl w:ilvl="1">
      <w:lvlJc w:val="left"/>
      <w:lvlText w:val="(%2)"/>
      <w:numFmt w:val="lowerLetter"/>
      <w:start w:val="4"/>
    </w:lvl>
  </w:abstractNum>
  <w:abstractNum w:abstractNumId="218">
    <w:nsid w:val="5C03D76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9">
    <w:nsid w:val="66A48D11"/>
    <w:multiLevelType w:val="hybridMultilevel"/>
    <w:lvl w:ilvl="0">
      <w:lvlJc w:val="left"/>
      <w:lvlText w:val="%1"/>
      <w:numFmt w:val="lowerLetter"/>
      <w:start w:val="1"/>
    </w:lvl>
    <w:lvl w:ilvl="1">
      <w:lvlJc w:val="left"/>
      <w:lvlText w:val="(%2)"/>
      <w:numFmt w:val="lowerRoman"/>
      <w:start w:val="4"/>
    </w:lvl>
  </w:abstractNum>
  <w:abstractNum w:abstractNumId="220">
    <w:nsid w:val="56C28E34"/>
    <w:multiLevelType w:val="hybridMultilevel"/>
    <w:lvl w:ilvl="0">
      <w:lvlJc w:val="left"/>
      <w:lvlText w:val="(%1)"/>
      <w:numFmt w:val="lowerLetter"/>
      <w:start w:val="3"/>
    </w:lvl>
    <w:lvl w:ilvl="1">
      <w:lvlJc w:val="left"/>
      <w:lvlText w:val="(%2)"/>
      <w:numFmt w:val="lowerRoman"/>
      <w:start w:val="1"/>
    </w:lvl>
  </w:abstractNum>
  <w:abstractNum w:abstractNumId="221">
    <w:nsid w:val="13916F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2">
    <w:nsid w:val="435D38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23">
    <w:nsid w:val="822C0E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4">
    <w:nsid w:val="57C5BB4F"/>
    <w:multiLevelType w:val="hybridMultilevel"/>
    <w:lvl w:ilvl="0">
      <w:lvlJc w:val="left"/>
      <w:lvlText w:val="(%1)"/>
      <w:numFmt w:val="lowerLetter"/>
      <w:start w:val="2"/>
    </w:lvl>
  </w:abstractNum>
  <w:abstractNum w:abstractNumId="225">
    <w:nsid w:val="1803D089"/>
    <w:multiLevelType w:val="hybridMultilevel"/>
    <w:lvl w:ilvl="0">
      <w:lvlJc w:val="left"/>
      <w:lvlText w:val="%1."/>
      <w:numFmt w:val="decimal"/>
      <w:start w:val="6"/>
    </w:lvl>
  </w:abstractNum>
  <w:abstractNum w:abstractNumId="226">
    <w:nsid w:val="4F3A06D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27">
    <w:nsid w:val="59A377B6"/>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28">
    <w:nsid w:val="48AEB063"/>
    <w:multiLevelType w:val="hybridMultilevel"/>
    <w:lvl w:ilvl="0">
      <w:lvlJc w:val="left"/>
      <w:lvlText w:val="(%1)"/>
      <w:numFmt w:val="lowerRoman"/>
      <w:start w:val="2"/>
    </w:lvl>
  </w:abstractNum>
  <w:abstractNum w:abstractNumId="229">
    <w:nsid w:val="24E135"/>
    <w:multiLevelType w:val="hybridMultilevel"/>
    <w:lvl w:ilvl="0">
      <w:lvlJc w:val="left"/>
      <w:lvlText w:val="(%1)"/>
      <w:numFmt w:val="lowerLetter"/>
      <w:start w:val="2"/>
    </w:lvl>
  </w:abstractNum>
  <w:abstractNum w:abstractNumId="230">
    <w:nsid w:val="BB13C1"/>
    <w:multiLevelType w:val="hybridMultilevel"/>
    <w:lvl w:ilvl="0">
      <w:lvlJc w:val="left"/>
      <w:lvlText w:val="%1"/>
      <w:numFmt w:val="decimal"/>
      <w:start w:val="1"/>
    </w:lvl>
    <w:lvl w:ilvl="1">
      <w:lvlJc w:val="left"/>
      <w:lvlText w:val="(%2)"/>
      <w:numFmt w:val="lowerLetter"/>
      <w:start w:val="6"/>
    </w:lvl>
  </w:abstractNum>
  <w:abstractNum w:abstractNumId="231">
    <w:nsid w:val="271210C7"/>
    <w:multiLevelType w:val="hybridMultilevel"/>
    <w:lvl w:ilvl="0">
      <w:lvlJc w:val="left"/>
      <w:lvlText w:val="%1."/>
      <w:numFmt w:val="decimal"/>
      <w:start w:val="8"/>
    </w:lvl>
    <w:lvl w:ilvl="1">
      <w:lvlJc w:val="left"/>
      <w:lvlText w:val="(%2)"/>
      <w:numFmt w:val="lowerLetter"/>
      <w:start w:val="1"/>
    </w:lvl>
  </w:abstractNum>
  <w:abstractNum w:abstractNumId="232">
    <w:nsid w:val="217B22E4"/>
    <w:multiLevelType w:val="hybridMultilevel"/>
    <w:lvl w:ilvl="0">
      <w:lvlJc w:val="left"/>
      <w:lvlText w:val="%1"/>
      <w:numFmt w:val="decimal"/>
      <w:start w:val="1"/>
    </w:lvl>
    <w:lvl w:ilvl="1">
      <w:lvlJc w:val="left"/>
      <w:lvlText w:val="(%2)"/>
      <w:numFmt w:val="lowerLetter"/>
      <w:start w:val="2"/>
    </w:lvl>
  </w:abstractNum>
  <w:abstractNum w:abstractNumId="233">
    <w:nsid w:val="53E31A24"/>
    <w:multiLevelType w:val="hybridMultilevel"/>
    <w:lvl w:ilvl="0">
      <w:lvlJc w:val="left"/>
      <w:lvlText w:val="%1."/>
      <w:numFmt w:val="decimal"/>
      <w:start w:val="9"/>
    </w:lvl>
    <w:lvl w:ilvl="1">
      <w:lvlJc w:val="left"/>
      <w:lvlText w:val="(%2)"/>
      <w:numFmt w:val="lowerLetter"/>
      <w:start w:val="1"/>
    </w:lvl>
  </w:abstractNum>
  <w:abstractNum w:abstractNumId="234">
    <w:nsid w:val="6DC45E83"/>
    <w:multiLevelType w:val="hybridMultilevel"/>
    <w:lvl w:ilvl="0">
      <w:lvlJc w:val="left"/>
      <w:lvlText w:val="%1"/>
      <w:numFmt w:val="lowerLetter"/>
      <w:start w:val="1"/>
    </w:lvl>
    <w:lvl w:ilvl="1">
      <w:lvlJc w:val="left"/>
      <w:lvlText w:val="(%2)"/>
      <w:numFmt w:val="lowerRoman"/>
      <w:start w:val="1"/>
    </w:lvl>
  </w:abstractNum>
  <w:abstractNum w:abstractNumId="235">
    <w:nsid w:val="17304A67"/>
    <w:multiLevelType w:val="hybridMultilevel"/>
    <w:lvl w:ilvl="0">
      <w:lvlJc w:val="left"/>
      <w:lvlText w:val="(%1)"/>
      <w:numFmt w:val="lowerLetter"/>
      <w:start w:val="4"/>
    </w:lvl>
    <w:lvl w:ilvl="1">
      <w:lvlJc w:val="left"/>
      <w:lvlText w:val="%2"/>
      <w:numFmt w:val="lowerRoman"/>
      <w:start w:val="1"/>
    </w:lvl>
  </w:abstractNum>
  <w:abstractNum w:abstractNumId="236">
    <w:nsid w:val="2BB180D8"/>
    <w:multiLevelType w:val="hybridMultilevel"/>
    <w:lvl w:ilvl="0">
      <w:lvlJc w:val="left"/>
      <w:lvlText w:val="(%1)"/>
      <w:numFmt w:val="lowerLetter"/>
      <w:start w:val="9"/>
    </w:lvl>
    <w:lvl w:ilvl="1">
      <w:lvlJc w:val="left"/>
      <w:lvlText w:val="(%2)"/>
      <w:numFmt w:val="lowerRoman"/>
      <w:start w:val="1"/>
    </w:lvl>
  </w:abstractNum>
  <w:abstractNum w:abstractNumId="237">
    <w:nsid w:val="556B69ED"/>
    <w:multiLevelType w:val="hybridMultilevel"/>
    <w:lvl w:ilvl="0">
      <w:lvlJc w:val="left"/>
      <w:lvlText w:val="%1"/>
      <w:numFmt w:val="lowerLetter"/>
      <w:start w:val="1"/>
    </w:lvl>
    <w:lvl w:ilvl="1">
      <w:lvlJc w:val="left"/>
      <w:lvlText w:val="(%2)"/>
      <w:numFmt w:val="lowerRoman"/>
      <w:start w:val="4"/>
    </w:lvl>
  </w:abstractNum>
  <w:abstractNum w:abstractNumId="238">
    <w:nsid w:val="70836196"/>
    <w:multiLevelType w:val="hybridMultilevel"/>
    <w:lvl w:ilvl="0">
      <w:lvlJc w:val="left"/>
      <w:lvlText w:val="(%1)"/>
      <w:numFmt w:val="lowerLetter"/>
      <w:start w:val="12"/>
    </w:lvl>
    <w:lvl w:ilvl="1">
      <w:lvlJc w:val="left"/>
      <w:lvlText w:val="%2"/>
      <w:numFmt w:val="lowerRoman"/>
      <w:start w:val="1"/>
    </w:lvl>
  </w:abstractNum>
  <w:abstractNum w:abstractNumId="239">
    <w:nsid w:val="539F7F12"/>
    <w:multiLevelType w:val="hybridMultilevel"/>
    <w:lvl w:ilvl="0">
      <w:lvlJc w:val="left"/>
      <w:lvlText w:val="%1."/>
      <w:numFmt w:val="decimal"/>
      <w:start w:val="10"/>
    </w:lvl>
  </w:abstractNum>
  <w:abstractNum w:abstractNumId="240">
    <w:nsid w:val="2817E7EC"/>
    <w:multiLevelType w:val="hybridMultilevel"/>
    <w:lvl w:ilvl="0">
      <w:lvlJc w:val="left"/>
      <w:lvlText w:val="%1."/>
      <w:numFmt w:val="decimal"/>
      <w:start w:val="1"/>
    </w:lvl>
  </w:abstractNum>
  <w:abstractNum w:abstractNumId="241">
    <w:nsid w:val="71482545"/>
    <w:multiLevelType w:val="hybridMultilevel"/>
    <w:lvl w:ilvl="0">
      <w:lvlJc w:val="left"/>
      <w:lvlText w:val="(%1)"/>
      <w:numFmt w:val="lowerLetter"/>
      <w:start w:val="1"/>
    </w:lvl>
  </w:abstractNum>
  <w:abstractNum w:abstractNumId="242">
    <w:nsid w:val="17D78639"/>
    <w:multiLevelType w:val="hybridMultilevel"/>
    <w:lvl w:ilvl="0">
      <w:lvlJc w:val="left"/>
      <w:lvlText w:val="%1."/>
      <w:numFmt w:val="decimal"/>
      <w:start w:val="3"/>
    </w:lvl>
  </w:abstractNum>
  <w:abstractNum w:abstractNumId="243">
    <w:nsid w:val="141D2302"/>
    <w:multiLevelType w:val="hybridMultilevel"/>
    <w:lvl w:ilvl="0">
      <w:lvlJc w:val="left"/>
      <w:lvlText w:val="%1."/>
      <w:numFmt w:val="decimal"/>
      <w:start w:val="4"/>
    </w:lvl>
    <w:lvl w:ilvl="1">
      <w:lvlJc w:val="left"/>
      <w:lvlText w:val="%2."/>
      <w:numFmt w:val="decimal"/>
      <w:start w:val="9"/>
    </w:lvl>
  </w:abstractNum>
  <w:abstractNum w:abstractNumId="244">
    <w:nsid w:val="407168D8"/>
    <w:multiLevelType w:val="hybridMultilevel"/>
    <w:lvl w:ilvl="0">
      <w:lvlJc w:val="left"/>
      <w:lvlText w:val="•"/>
      <w:numFmt w:val="bullet"/>
      <w:start w:val="1"/>
    </w:lvl>
  </w:abstractNum>
  <w:abstractNum w:abstractNumId="245">
    <w:nsid w:val="6A1B45E5"/>
    <w:multiLevelType w:val="hybridMultilevel"/>
    <w:lvl w:ilvl="0">
      <w:lvlJc w:val="left"/>
      <w:lvlText w:val="•"/>
      <w:numFmt w:val="bullet"/>
      <w:start w:val="1"/>
    </w:lvl>
  </w:abstractNum>
  <w:abstractNum w:abstractNumId="246">
    <w:nsid w:val="567BD50A"/>
    <w:multiLevelType w:val="hybridMultilevel"/>
    <w:lvl w:ilvl="0">
      <w:lvlJc w:val="left"/>
      <w:lvlText w:val="•"/>
      <w:numFmt w:val="bullet"/>
      <w:start w:val="1"/>
    </w:lvl>
  </w:abstractNum>
  <w:abstractNum w:abstractNumId="247">
    <w:nsid w:val="73BBD7F8"/>
    <w:multiLevelType w:val="hybridMultilevel"/>
    <w:lvl w:ilvl="0">
      <w:lvlJc w:val="left"/>
      <w:lvlText w:val="•"/>
      <w:numFmt w:val="bullet"/>
      <w:start w:val="1"/>
    </w:lvl>
    <w:lvl w:ilvl="1">
      <w:lvlJc w:val="left"/>
      <w:lvlText w:val="•"/>
      <w:numFmt w:val="bullet"/>
      <w:start w:val="1"/>
    </w:lvl>
  </w:abstractNum>
  <w:abstractNum w:abstractNumId="248">
    <w:nsid w:val="1876589D"/>
    <w:multiLevelType w:val="hybridMultilevel"/>
    <w:lvl w:ilvl="0">
      <w:lvlJc w:val="left"/>
      <w:lvlText w:val="•"/>
      <w:numFmt w:val="bullet"/>
      <w:start w:val="1"/>
    </w:lvl>
  </w:abstractNum>
  <w:abstractNum w:abstractNumId="249">
    <w:nsid w:val="327FAC77"/>
    <w:multiLevelType w:val="hybridMultilevel"/>
    <w:lvl w:ilvl="0">
      <w:lvlJc w:val="left"/>
      <w:lvlText w:val="•"/>
      <w:numFmt w:val="bullet"/>
      <w:start w:val="1"/>
    </w:lvl>
    <w:lvl w:ilvl="1">
      <w:lvlJc w:val="left"/>
      <w:lvlText w:val="o"/>
      <w:numFmt w:val="bullet"/>
      <w:start w:val="1"/>
    </w:lvl>
  </w:abstractNum>
  <w:abstractNum w:abstractNumId="250">
    <w:nsid w:val="5A606509"/>
    <w:multiLevelType w:val="hybridMultilevel"/>
    <w:lvl w:ilvl="0">
      <w:lvlJc w:val="left"/>
      <w:lvlText w:val="•"/>
      <w:numFmt w:val="bullet"/>
      <w:start w:val="1"/>
    </w:lvl>
    <w:lvl w:ilvl="1">
      <w:lvlJc w:val="left"/>
      <w:lvlText w:val="•"/>
      <w:numFmt w:val="bullet"/>
      <w:start w:val="1"/>
    </w:lvl>
  </w:abstractNum>
  <w:abstractNum w:abstractNumId="251">
    <w:nsid w:val="6F38E6D1"/>
    <w:multiLevelType w:val="hybridMultilevel"/>
    <w:lvl w:ilvl="0">
      <w:lvlJc w:val="left"/>
      <w:lvlText w:val="%1."/>
      <w:numFmt w:val="decimal"/>
      <w:start w:val="1"/>
    </w:lvl>
    <w:lvl w:ilvl="1">
      <w:lvlJc w:val="left"/>
      <w:lvlText w:val="%2."/>
      <w:numFmt w:val="lowerLetter"/>
      <w:start w:val="1"/>
    </w:lvl>
  </w:abstractNum>
  <w:abstractNum w:abstractNumId="252">
    <w:nsid w:val="46111BA5"/>
    <w:multiLevelType w:val="hybridMultilevel"/>
    <w:lvl w:ilvl="0">
      <w:lvlJc w:val="left"/>
      <w:lvlText w:val="%1."/>
      <w:numFmt w:val="decimal"/>
      <w:start w:val="1"/>
    </w:lvl>
    <w:lvl w:ilvl="1">
      <w:lvlJc w:val="left"/>
      <w:lvlText w:val="%2."/>
      <w:numFmt w:val="lowerLetter"/>
      <w:start w:val="1"/>
    </w:lvl>
  </w:abstractNum>
  <w:abstractNum w:abstractNumId="253">
    <w:nsid w:val="5E963896"/>
    <w:multiLevelType w:val="hybridMultilevel"/>
    <w:lvl w:ilvl="0">
      <w:lvlJc w:val="left"/>
      <w:lvlText w:val="(%1)"/>
      <w:numFmt w:val="decimal"/>
      <w:start w:val="1"/>
    </w:lvl>
  </w:abstractNum>
  <w:abstractNum w:abstractNumId="254">
    <w:nsid w:val="775BA7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62"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460" Type="http://schemas.openxmlformats.org/officeDocument/2006/relationships/image" Target="media/image438.png"/><Relationship Id="rId461" Type="http://schemas.openxmlformats.org/officeDocument/2006/relationships/image" Target="media/image439.png"/><Relationship Id="rId462" Type="http://schemas.openxmlformats.org/officeDocument/2006/relationships/image" Target="media/image440.png"/><Relationship Id="rId463" Type="http://schemas.openxmlformats.org/officeDocument/2006/relationships/image" Target="media/image441.png"/><Relationship Id="rId464" Type="http://schemas.openxmlformats.org/officeDocument/2006/relationships/image" Target="media/image442.png"/><Relationship Id="rId465" Type="http://schemas.openxmlformats.org/officeDocument/2006/relationships/image" Target="media/image443.png"/><Relationship Id="rId466" Type="http://schemas.openxmlformats.org/officeDocument/2006/relationships/image" Target="media/image444.png"/><Relationship Id="rId467"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png"/><Relationship Id="rId470" Type="http://schemas.openxmlformats.org/officeDocument/2006/relationships/image" Target="media/image448.png"/><Relationship Id="rId471" Type="http://schemas.openxmlformats.org/officeDocument/2006/relationships/image" Target="media/image449.png"/><Relationship Id="rId472" Type="http://schemas.openxmlformats.org/officeDocument/2006/relationships/image" Target="media/image450.png"/><Relationship Id="rId473" Type="http://schemas.openxmlformats.org/officeDocument/2006/relationships/image" Target="media/image451.png"/><Relationship Id="rId474" Type="http://schemas.openxmlformats.org/officeDocument/2006/relationships/image" Target="media/image452.png"/><Relationship Id="rId475" Type="http://schemas.openxmlformats.org/officeDocument/2006/relationships/image" Target="media/image453.png"/><Relationship Id="rId476" Type="http://schemas.openxmlformats.org/officeDocument/2006/relationships/image" Target="media/image454.png"/><Relationship Id="rId477" Type="http://schemas.openxmlformats.org/officeDocument/2006/relationships/image" Target="media/image455.png"/><Relationship Id="rId478"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6" Type="http://schemas.openxmlformats.org/officeDocument/2006/relationships/image" Target="media/image464.png"/><Relationship Id="rId487" Type="http://schemas.openxmlformats.org/officeDocument/2006/relationships/image" Target="media/image465.png"/><Relationship Id="rId488" Type="http://schemas.openxmlformats.org/officeDocument/2006/relationships/image" Target="media/image466.png"/><Relationship Id="rId489"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4" Type="http://schemas.openxmlformats.org/officeDocument/2006/relationships/image" Target="media/image472.png"/><Relationship Id="rId495" Type="http://schemas.openxmlformats.org/officeDocument/2006/relationships/image" Target="media/image473.png"/><Relationship Id="rId496" Type="http://schemas.openxmlformats.org/officeDocument/2006/relationships/image" Target="media/image474.png"/><Relationship Id="rId497" Type="http://schemas.openxmlformats.org/officeDocument/2006/relationships/image" Target="media/image475.png"/><Relationship Id="rId498" Type="http://schemas.openxmlformats.org/officeDocument/2006/relationships/image" Target="media/image476.png"/><Relationship Id="rId499" Type="http://schemas.openxmlformats.org/officeDocument/2006/relationships/image" Target="media/image477.png"/><Relationship Id="rId500" Type="http://schemas.openxmlformats.org/officeDocument/2006/relationships/image" Target="media/image478.png"/><Relationship Id="rId501" Type="http://schemas.openxmlformats.org/officeDocument/2006/relationships/image" Target="media/image479.png"/><Relationship Id="rId502" Type="http://schemas.openxmlformats.org/officeDocument/2006/relationships/image" Target="media/image480.png"/><Relationship Id="rId503" Type="http://schemas.openxmlformats.org/officeDocument/2006/relationships/image" Target="media/image481.png"/><Relationship Id="rId504" Type="http://schemas.openxmlformats.org/officeDocument/2006/relationships/image" Target="media/image482.png"/><Relationship Id="rId505" Type="http://schemas.openxmlformats.org/officeDocument/2006/relationships/image" Target="media/image483.png"/><Relationship Id="rId506" Type="http://schemas.openxmlformats.org/officeDocument/2006/relationships/image" Target="media/image484.png"/><Relationship Id="rId507"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519" Type="http://schemas.openxmlformats.org/officeDocument/2006/relationships/image" Target="media/image497.png"/><Relationship Id="rId520"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348" Type="http://schemas.openxmlformats.org/officeDocument/2006/relationships/hyperlink" Target="https://www.sec.gov/Archives/edgar/data/1991792/000119312524009621/d551455dex33.htm" TargetMode="External"/><Relationship Id="rId349" Type="http://schemas.openxmlformats.org/officeDocument/2006/relationships/hyperlink" Target="https://www.sec.gov/Archives/edgar/data/1991792/000119312524000766/d551455dex34.htm" TargetMode="External"/><Relationship Id="rId350" Type="http://schemas.openxmlformats.org/officeDocument/2006/relationships/hyperlink" Target="https://www.sec.gov/Archives/edgar/data/1991792/000119312524009621/d551455dex41.htm" TargetMode="External"/><Relationship Id="rId351" Type="http://schemas.openxmlformats.org/officeDocument/2006/relationships/hyperlink" Target="https://www.sec.gov/Archives/edgar/data/1991792/000119312524009621/d551455dex42.htm" TargetMode="External"/><Relationship Id="rId352" Type="http://schemas.openxmlformats.org/officeDocument/2006/relationships/hyperlink" Target="https://www.sec.gov/Archives/edgar/data/1991792/000095017024036143/ck0001991792-ex4_3.htm" TargetMode="External"/><Relationship Id="rId353" Type="http://schemas.openxmlformats.org/officeDocument/2006/relationships/hyperlink" Target="https://www.sec.gov/Archives/edgar/data/1991792/000119312524016881/d746958dex101.htm" TargetMode="External"/><Relationship Id="rId354" Type="http://schemas.openxmlformats.org/officeDocument/2006/relationships/hyperlink" Target="https://www.sec.gov/Archives/edgar/data/1991792/000119312524016881/d746958dex102.htm" TargetMode="External"/><Relationship Id="rId355" Type="http://schemas.openxmlformats.org/officeDocument/2006/relationships/hyperlink" Target="https://www.sec.gov/Archives/edgar/data/1991792/000119312524016881/d746958dex103.htm" TargetMode="External"/><Relationship Id="rId356" Type="http://schemas.openxmlformats.org/officeDocument/2006/relationships/hyperlink" Target="https://www.sec.gov/Archives/edgar/data/1991792/000119312524016881/d746958dex104.htm" TargetMode="External"/><Relationship Id="rId357" Type="http://schemas.openxmlformats.org/officeDocument/2006/relationships/hyperlink" Target="https://www.sec.gov/Archives/edgar/data/1991792/000119312524000766/d551455dex106.htm" TargetMode="External"/><Relationship Id="rId358" Type="http://schemas.openxmlformats.org/officeDocument/2006/relationships/hyperlink" Target="https://www.sec.gov/Archives/edgar/data/1991792/000119312524000766/d551455dex107.htm" TargetMode="External"/><Relationship Id="rId359" Type="http://schemas.openxmlformats.org/officeDocument/2006/relationships/hyperlink" Target="https://www.sec.gov/Archives/edgar/data/1991792/000119312524000766/d551455dex108.htm" TargetMode="External"/><Relationship Id="rId360" Type="http://schemas.openxmlformats.org/officeDocument/2006/relationships/hyperlink" Target="https://www.sec.gov/Archives/edgar/data/1991792/000119312524000766/d551455dex109.htm" TargetMode="External"/><Relationship Id="rId361" Type="http://schemas.openxmlformats.org/officeDocument/2006/relationships/hyperlink" Target="https://www.sec.gov/Archives/edgar/data/1991792/000119312524000766/d551455dex1011.htm" TargetMode="External"/><Relationship Id="rId363" Type="http://schemas.openxmlformats.org/officeDocument/2006/relationships/hyperlink" Target="https://www.sec.gov/Archives/edgar/data/1991792/000119312524000766/d551455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2025-03-28T08:07:16Z</dcterms:created>
  <dcterms:modified xsi:type="dcterms:W3CDTF">2025-03-28T08:07:16Z</dcterms:modified>
</cp:coreProperties>
</file>