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001-41925</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49"/>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400 Spectrum Center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2040</w:t>
            </w:r>
          </w:p>
        </w:tc>
        <w:tc>
          <w:tcPr>
            <w:tcW w:w="28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178"/>
        </w:trPr>
        <w:tc>
          <w:tcPr>
            <w:tcW w:w="2780" w:type="dxa"/>
            <w:vAlign w:val="bottom"/>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CGON</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jc w:val="both"/>
        <w:ind w:left="960" w:hanging="971"/>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of Principal Financial and Accounting Officer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November 10, 2025, Robert Lapetina, interim principal financial and accounting officer of CG Oncology,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delivered to the Company a notice of resignation from his position as interim principal financial and accounting officer of the Company. Mr. Lapetina’s resignation is effective November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Appointment of Interim Principal Financial and Accounting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14, 2025, the Company appointed Jim DeTore as principal financial and accounting officer of the Company and entered into a Consulting Agreement (the “</w:t>
      </w:r>
      <w:r>
        <w:rPr>
          <w:rFonts w:ascii="Times New Roman" w:cs="Times New Roman" w:eastAsia="Times New Roman" w:hAnsi="Times New Roman"/>
          <w:sz w:val="18"/>
          <w:szCs w:val="18"/>
          <w:b w:val="1"/>
          <w:bCs w:val="1"/>
          <w:i w:val="1"/>
          <w:iCs w:val="1"/>
          <w:color w:val="auto"/>
        </w:rPr>
        <w:t>Consulting Agreement</w:t>
      </w:r>
      <w:r>
        <w:rPr>
          <w:rFonts w:ascii="Times New Roman" w:cs="Times New Roman" w:eastAsia="Times New Roman" w:hAnsi="Times New Roman"/>
          <w:sz w:val="18"/>
          <w:szCs w:val="18"/>
          <w:color w:val="auto"/>
        </w:rPr>
        <w:t>”) with Monomoy Advisors, LLC for the provision of such principal financial and accounting officer services by Mr. DeTore. Mr. DeTore’s appointment to principal financial and accounting officer of the Company will be effective beginning November 17, 2025. Under the terms of the Consulting Agreement, the Company will pay Monomoy Advisors, LLC $32,000 for the month of November 2025 (prorated to reflect a partial month of services) and a rate of $64,000 for each month of services thereafter. The initial term of the engagement of Mr. DeTore’s services under the Consulting Agreement will be a minimum of three months with the option to extend for an additional three-month period. The Company and Monomoy may terminate the Consulting Agreement (i) in connection with any material breach of the Consulting Agreement by the other party, which material breach is not cured within thirty (30) days of receipt of written notice, or (ii) for any reason upon sixty (60) days prior written notice to the other party.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DeTore, age 61, will join the Company on November 17, 2025, as interim principal financial and accounting officer, responsible for the Company’s financial and accounting functions. Prior to joining the Company, from June 2021 to June 2025, Mr. DeTore was Chief Financial Officer at Neurogastrx, Inc. Prior to serving at Neurogastrx, from March 2017 to May 2021, Mr. DeTore was an independent consultant providing chief financial officer services to a variety of early and mid-stage biotechnology and pharmaceutical companies, and from August 2016 to February 2017, Mr. DeTore was with Proteostasis Therapeutics, serving as Chief Financial Officer. In addition, from November 2014 to February 2016, Mr. DeTore served as Chief Financial Officer at Bluebird Bio, Inc. Mr. DeTore holds a Bachelor of Science degree and a Master of Business Administration degree from Northeastern University.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DeTore is eligible to enter into the Company’s standard form of indemnification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DeTore and any director or executive officer of the Company, and Mr. DeTore is not a party to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1884680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1000" w:top="374"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980" w:right="980" w:firstLine="39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5640" w:type="dxa"/>
            <w:vAlign w:val="bottom"/>
            <w:gridSpan w:val="3"/>
          </w:tcPr>
          <w:p>
            <w:pPr>
              <w:ind w:left="2020"/>
              <w:spacing w:after="0"/>
              <w:rPr>
                <w:sz w:val="20"/>
                <w:szCs w:val="20"/>
                <w:color w:val="auto"/>
              </w:rPr>
            </w:pPr>
            <w:r>
              <w:rPr>
                <w:rFonts w:ascii="Times New Roman" w:cs="Times New Roman" w:eastAsia="Times New Roman" w:hAnsi="Times New Roman"/>
                <w:sz w:val="16"/>
                <w:szCs w:val="16"/>
                <w:b w:val="1"/>
                <w:bCs w:val="1"/>
                <w:color w:val="auto"/>
              </w:rPr>
              <w:t>CG Oncology, Inc.</w:t>
            </w:r>
          </w:p>
        </w:tc>
      </w:tr>
      <w:tr>
        <w:trPr>
          <w:trHeight w:val="397"/>
        </w:trPr>
        <w:tc>
          <w:tcPr>
            <w:tcW w:w="508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Date: November 14, 2025</w:t>
            </w:r>
          </w:p>
        </w:tc>
        <w:tc>
          <w:tcPr>
            <w:tcW w:w="5640" w:type="dxa"/>
            <w:vAlign w:val="bottom"/>
            <w:gridSpan w:val="3"/>
          </w:tcPr>
          <w:p>
            <w:pPr>
              <w:ind w:left="2020"/>
              <w:spacing w:after="0"/>
              <w:rPr>
                <w:sz w:val="20"/>
                <w:szCs w:val="20"/>
                <w:color w:val="auto"/>
              </w:rPr>
            </w:pPr>
            <w:r>
              <w:rPr>
                <w:rFonts w:ascii="Times New Roman" w:cs="Times New Roman" w:eastAsia="Times New Roman" w:hAnsi="Times New Roman"/>
                <w:sz w:val="16"/>
                <w:szCs w:val="16"/>
                <w:color w:val="auto"/>
              </w:rPr>
              <w:t>By: /s/ Josh Patterson</w:t>
            </w:r>
          </w:p>
        </w:tc>
      </w:tr>
      <w:tr>
        <w:trPr>
          <w:trHeight w:val="20"/>
        </w:trPr>
        <w:tc>
          <w:tcPr>
            <w:tcW w:w="5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5640" w:type="dxa"/>
            <w:vAlign w:val="bottom"/>
            <w:gridSpan w:val="3"/>
          </w:tcPr>
          <w:p>
            <w:pPr>
              <w:ind w:left="2020"/>
              <w:spacing w:after="0"/>
              <w:rPr>
                <w:sz w:val="20"/>
                <w:szCs w:val="20"/>
                <w:color w:val="auto"/>
              </w:rPr>
            </w:pPr>
            <w:r>
              <w:rPr>
                <w:rFonts w:ascii="Times New Roman" w:cs="Times New Roman" w:eastAsia="Times New Roman" w:hAnsi="Times New Roman"/>
                <w:sz w:val="16"/>
                <w:szCs w:val="16"/>
                <w:color w:val="auto"/>
              </w:rPr>
              <w:t>Name: Josh Patterson</w:t>
            </w:r>
          </w:p>
        </w:tc>
      </w:tr>
      <w:tr>
        <w:trPr>
          <w:trHeight w:val="208"/>
        </w:trPr>
        <w:tc>
          <w:tcPr>
            <w:tcW w:w="5080" w:type="dxa"/>
            <w:vAlign w:val="bottom"/>
          </w:tcPr>
          <w:p>
            <w:pPr>
              <w:spacing w:after="0"/>
              <w:rPr>
                <w:sz w:val="18"/>
                <w:szCs w:val="18"/>
                <w:color w:val="auto"/>
              </w:rPr>
            </w:pPr>
          </w:p>
        </w:tc>
        <w:tc>
          <w:tcPr>
            <w:tcW w:w="5640" w:type="dxa"/>
            <w:vAlign w:val="bottom"/>
            <w:gridSpan w:val="3"/>
          </w:tcPr>
          <w:p>
            <w:pPr>
              <w:ind w:left="2020"/>
              <w:spacing w:after="0"/>
              <w:rPr>
                <w:sz w:val="20"/>
                <w:szCs w:val="20"/>
                <w:color w:val="auto"/>
              </w:rPr>
            </w:pPr>
            <w:r>
              <w:rPr>
                <w:rFonts w:ascii="Times New Roman" w:cs="Times New Roman" w:eastAsia="Times New Roman" w:hAnsi="Times New Roman"/>
                <w:sz w:val="16"/>
                <w:szCs w:val="16"/>
                <w:color w:val="auto"/>
              </w:rPr>
              <w:t>Title: General Counsel and Chief</w:t>
            </w:r>
          </w:p>
        </w:tc>
      </w:tr>
      <w:tr>
        <w:trPr>
          <w:trHeight w:val="210"/>
        </w:trPr>
        <w:tc>
          <w:tcPr>
            <w:tcW w:w="5080" w:type="dxa"/>
            <w:vAlign w:val="bottom"/>
          </w:tcPr>
          <w:p>
            <w:pPr>
              <w:spacing w:after="0"/>
              <w:rPr>
                <w:sz w:val="18"/>
                <w:szCs w:val="18"/>
                <w:color w:val="auto"/>
              </w:rPr>
            </w:pPr>
          </w:p>
        </w:tc>
        <w:tc>
          <w:tcPr>
            <w:tcW w:w="5640" w:type="dxa"/>
            <w:vAlign w:val="bottom"/>
            <w:gridSpan w:val="3"/>
          </w:tcPr>
          <w:p>
            <w:pPr>
              <w:ind w:left="2020"/>
              <w:spacing w:after="0"/>
              <w:rPr>
                <w:sz w:val="20"/>
                <w:szCs w:val="20"/>
                <w:color w:val="auto"/>
              </w:rPr>
            </w:pPr>
            <w:r>
              <w:rPr>
                <w:rFonts w:ascii="Times New Roman" w:cs="Times New Roman" w:eastAsia="Times New Roman" w:hAnsi="Times New Roman"/>
                <w:sz w:val="16"/>
                <w:szCs w:val="16"/>
                <w:color w:val="auto"/>
              </w:rPr>
              <w:t>Compliance Officer</w:t>
            </w:r>
          </w:p>
        </w:tc>
      </w:tr>
      <w:tr>
        <w:trPr>
          <w:trHeight w:val="1633"/>
        </w:trPr>
        <w:tc>
          <w:tcPr>
            <w:tcW w:w="50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420" w:right="5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2025-11-14T15:47:58Z</dcterms:created>
  <dcterms:modified xsi:type="dcterms:W3CDTF">2025-11-14T15:47:58Z</dcterms:modified>
</cp:coreProperties>
</file>