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991792-20260630.htm"/>
      <w:bookmarkStart w:id="1" w:name="ksck0001991792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For the transition period from </w:t>
      </w:r>
      <w:r>
        <w:rPr>
          <w:rFonts w:ascii="Times New Roman" w:hAnsi="Times New Roman"/>
          <w:b/>
          <w:color w:val="000000"/>
          <w:sz w:val="18"/>
        </w:rPr>
        <w:t>_____________________</w:t>
      </w:r>
      <w:r>
        <w:rPr>
          <w:rFonts w:ascii="Times New Roman" w:hAnsi="Times New Roman"/>
          <w:color w:val="000000"/>
          <w:sz w:val="20"/>
        </w:rPr>
        <w:t xml:space="preserve"> </w:t>
      </w:r>
      <w:r>
        <w:rPr>
          <w:rFonts w:ascii="Times New Roman" w:hAnsi="Times New Roman"/>
          <w:b/>
          <w:color w:val="000000"/>
          <w:sz w:val="20"/>
        </w:rPr>
        <w:t xml:space="preserve">to </w:t>
      </w:r>
      <w:r>
        <w:rPr>
          <w:rFonts w:ascii="Times New Roman" w:hAnsi="Times New Roman"/>
          <w:b/>
          <w:color w:val="000000"/>
          <w:sz w:val="18"/>
        </w:rPr>
        <w:t>_____________________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001-41925</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CG Oncology,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72" w:type="dxa"/>
        <w:jc w:val="left"/>
        <w:tblInd w:w="0" w:type="dxa"/>
        <w:tblLayout w:type="fixed"/>
        <w:tblCellMar>
          <w:top w:w="28" w:type="dxa"/>
          <w:left w:w="28" w:type="dxa"/>
          <w:bottom w:w="28" w:type="dxa"/>
          <w:right w:w="28" w:type="dxa"/>
        </w:tblCellMar>
      </w:tblPr>
      <w:tblGrid>
        <w:gridCol w:w="3226"/>
        <w:gridCol w:w="1246"/>
      </w:tblGrid>
      <w:tr>
        <w:trPr/>
        <w:tc>
          <w:tcPr>
            <w:tcW w:w="3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37-1611499</w:t>
            </w:r>
          </w:p>
        </w:tc>
      </w:tr>
      <w:tr>
        <w:trPr/>
        <w:tc>
          <w:tcPr>
            <w:tcW w:w="32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22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3000 Pegasus Park Drive, Suite 1640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Texas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75247</w:t>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(949) 409-3700</w:t>
      </w:r>
    </w:p>
    <w:p>
      <w:pPr>
        <w:pStyle w:val="TextBody"/>
        <w:pBdr>
          <w:bottom w:val="single" w:sz="4" w:space="1" w:color="000000"/>
        </w:pBdr>
        <w:bidi w:val="0"/>
        <w:spacing w:before="40" w:after="283"/>
        <w:jc w:val="center"/>
        <w:rPr/>
      </w:pPr>
      <w:r>
        <w:rPr/>
        <w:t> </w:t>
      </w:r>
    </w:p>
    <w:p>
      <w:pPr>
        <w:pStyle w:val="TextBody"/>
        <w:bidi w:val="0"/>
        <w:spacing w:before="6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CGON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80" w:after="283"/>
        <w:jc w:val="both"/>
        <w:rPr>
          <w:rFonts w:ascii="Times New Roman" w:hAnsi="Times New Roman"/>
          <w:sz w:val="20"/>
        </w:rPr>
      </w:pPr>
      <w:r>
        <w:rPr>
          <w:rFonts w:ascii="Times New Roman" w:hAnsi="Times New Roman"/>
          <w:color w:val="000000"/>
          <w:sz w:val="18"/>
        </w:rPr>
        <w:t>As of August 4, 2026, the registrant had 88,640,375</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ondens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stmt_of_operations_and_comp_loss">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referred_stock_and_stockholders_deficit">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condens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notes_to_condensed_financial_statements">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4_controls_and_procedure">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condensed_balance_sheets"/>
      <w:bookmarkEnd w:id="4"/>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74"/>
        <w:gridCol w:w="146"/>
        <w:gridCol w:w="211"/>
        <w:gridCol w:w="931"/>
        <w:gridCol w:w="166"/>
        <w:gridCol w:w="146"/>
        <w:gridCol w:w="228"/>
        <w:gridCol w:w="1011"/>
        <w:gridCol w:w="592"/>
      </w:tblGrid>
      <w:tr>
        <w:trPr/>
        <w:tc>
          <w:tcPr>
            <w:tcW w:w="6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709,665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759,475</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15,596</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10,297</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791,592</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700,000,000 and 700,000,000 shares</w:t>
              <w:br/>
              <w:t>   authorized as of June 30, 2026 and December 31, 2025, respectively; 88,306,390</w:t>
              <w:br/>
              <w:t>   and 80,689,128 shares issued and outstanding as of June 30, 2026 and December 31, 2025,</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1,131,570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(378,976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752,602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791,592</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5" w:name="stmt_of_operations_and_comp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and development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(90,945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88,200,023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76,226,829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86,369,437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76,207,333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preferred_stock_and_stockholders_deficit"/>
      <w:bookmarkEnd w:id="6"/>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45"/>
        <w:gridCol w:w="146"/>
        <w:gridCol w:w="146"/>
        <w:gridCol w:w="916"/>
        <w:gridCol w:w="146"/>
        <w:gridCol w:w="249"/>
        <w:gridCol w:w="442"/>
        <w:gridCol w:w="146"/>
        <w:gridCol w:w="196"/>
        <w:gridCol w:w="826"/>
        <w:gridCol w:w="146"/>
        <w:gridCol w:w="217"/>
        <w:gridCol w:w="834"/>
        <w:gridCol w:w="166"/>
        <w:gridCol w:w="204"/>
        <w:gridCol w:w="867"/>
        <w:gridCol w:w="213"/>
      </w:tblGrid>
      <w:tr>
        <w:trPr/>
        <w:tc>
          <w:tcPr>
            <w:tcW w:w="4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76,154,783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733,377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76,221,289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957,183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704,758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76,231,859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670,358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80,689,128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752,602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 public offering, net of</w:t>
              <w:br/>
              <w: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6,941,407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391,410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88,007,761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1,091,779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14,334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(79,056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88,306,390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1,547,343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1,029,118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283"/>
        <w:jc w:val="center"/>
        <w:rPr>
          <w:rFonts w:ascii="Times New Roman" w:hAnsi="Times New Roman"/>
          <w:i/>
          <w:color w:val="000000"/>
          <w:sz w:val="18"/>
        </w:rPr>
      </w:pPr>
      <w:r>
        <w:rPr>
          <w:rFonts w:ascii="Times New Roman" w:hAnsi="Times New Roman"/>
          <w:i/>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CG ONCOLOGY,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7" w:name="condensed_statements_of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599" w:type="dxa"/>
        <w:jc w:val="left"/>
        <w:tblInd w:w="0" w:type="dxa"/>
        <w:tblLayout w:type="fixed"/>
        <w:tblCellMar>
          <w:top w:w="28" w:type="dxa"/>
          <w:left w:w="28" w:type="dxa"/>
          <w:bottom w:w="28" w:type="dxa"/>
          <w:right w:w="28" w:type="dxa"/>
        </w:tblCellMar>
      </w:tblPr>
      <w:tblGrid>
        <w:gridCol w:w="5436"/>
        <w:gridCol w:w="146"/>
        <w:gridCol w:w="196"/>
        <w:gridCol w:w="751"/>
        <w:gridCol w:w="166"/>
        <w:gridCol w:w="146"/>
        <w:gridCol w:w="196"/>
        <w:gridCol w:w="751"/>
        <w:gridCol w:w="811"/>
      </w:tblGrid>
      <w:tr>
        <w:trPr/>
        <w:tc>
          <w:tcPr>
            <w:tcW w:w="5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(75,878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Unrealized losses (gains)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Non-cash interest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8,303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(57,236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Proceeds from sales and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370,520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(529,852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Issuance of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(185,362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Proceeds from follow-on public offerings,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Proceeds from 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Withholding taxes paid on net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Stock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(242,444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257,068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14,624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paid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right-of-use asset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bookmarkStart w:id="8" w:name="notes_to_condensed_financial_statements"/>
      <w:bookmarkEnd w:id="8"/>
      <w:r>
        <w:rPr>
          <w:rFonts w:ascii="Times New Roman" w:hAnsi="Times New Roman"/>
          <w:b/>
          <w:color w:val="000000"/>
          <w:sz w:val="20"/>
        </w:rPr>
        <w:t>1. Description of Business and 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CG Oncology, Inc. (the Company) is a late-stage clinical biopharmaceutical company focused on developing and commercializing its product candidate, cretostimogene grenadenorepvec, for patients with bladder cancer. The Company is at a clinical stage and does not project to generate significant revenues if and until the U.S. Food and Drug Administration (FDA) approves its product candidate, cretostimogene, and the Company is able to commercialize this product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2025, SafeGuard Healthcare, LLC (SafeGuard), a wholly owned subsidiary of the Company, purchased a $26.8 million convertible note, including accrued interest, from SP Healthcare SPV I, LLC (the SPV). The SPV used the proceeds from the Note to invest and acquire substantially all of the assets of Biovire, Inc. (Biovire), a contract manufacturing organization that produces cretostimogene for the Company. In July 2025, SafeGuard converted the Note (the Conversion Event) and obtained control of both the SPV and Biovire. Refer to Note 15 for additional details on the Conversion Event.</w:t>
      </w:r>
    </w:p>
    <w:p>
      <w:pPr>
        <w:pStyle w:val="TextBody"/>
        <w:bidi w:val="0"/>
        <w:spacing w:before="36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as of June 30, 2026 and for the three and six months ended June 30, 2026 and 2025 have been prepared in accordance with U.S. generally accepted accounting principles (U.S. GAAP) for interim financial information and pursuant to the rules and regulations of the U.S. Securities and Exchange Commission (SEC). Accordingly, they do not include all of the information and notes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Company’s audited financial statements for the year ended December 31, 2025 included in the Company's Annual Report on Form 10-K for the year ended December 31, 2025 (2025 Annual Report), filed with the SEC on February 27, 2026. In the opinion of management, the unaudited condensed consolidated financial statements reflect all adjustments, which include only normal and recurring adjustments, considered necessary for a fair statement of the interim periods.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accordance with U.S.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w:t>
      </w:r>
    </w:p>
    <w:p>
      <w:pPr>
        <w:pStyle w:val="TextBody"/>
        <w:bidi w:val="0"/>
        <w:spacing w:before="360" w:after="283"/>
        <w:jc w:val="both"/>
        <w:rPr>
          <w:rFonts w:ascii="Times New Roman" w:hAnsi="Times New Roman"/>
          <w:sz w:val="20"/>
        </w:rPr>
      </w:pPr>
      <w:r>
        <w:rPr>
          <w:rFonts w:ascii="Times New Roman" w:hAnsi="Times New Roman"/>
          <w:b/>
          <w:i/>
          <w:color w:val="000000"/>
          <w:sz w:val="20"/>
        </w:rPr>
        <w:t>Liquidity and Management’s Plans</w:t>
      </w:r>
      <w:r>
        <w:rPr>
          <w:rFonts w:ascii="Times New Roman" w:hAnsi="Times New Roman"/>
          <w:color w:val="000000"/>
          <w:sz w:val="20"/>
        </w:rPr>
        <w:t xml:space="preserve">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As of June 30, 2026, the Company had approximately $1,028.3 million of cash, cash equivalents and marketable securities and working capital of approximately $1,002.4 million. The Company has a relatively limited operating history, and the revenue and income potential of the Company’s business and market are unproven. The Company has experienced net losses and negative cash flows from operations since its inception and, as of June 30, 2026, the Company had an accumulated deficit of $518.2 million. During the three and six months ended June 30, 2026, the Company incurred a net loss of $79.1 million and $139.3 million, respectively, and had negative cash flows from operations of $103.4 million during the six months ended June 30, 2026. The Company will continue to incur significant costs and expenses related to its ongoing operations until it successfully develops, obtains regulatory approval, and gains market acceptance of a product candidate and achieves a level of revenues adequate to support the Company’s operations. </w:t>
      </w:r>
    </w:p>
    <w:p>
      <w:pPr>
        <w:pStyle w:val="TextBody"/>
        <w:bidi w:val="0"/>
        <w:spacing w:before="36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significant accounting policies are disclosed in the audited financial statements in its 2025 Annual Report.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Accounting standards not listed below were assessed and determined not to be applicable or are expected to have minimal impact on the Company’s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Comprehensive Income - Expense Disaggregation Disclosures</w:t>
      </w:r>
      <w:r>
        <w:rPr>
          <w:rFonts w:ascii="Times New Roman" w:hAnsi="Times New Roman"/>
          <w:color w:val="000000"/>
          <w:sz w:val="20"/>
        </w:rPr>
        <w:t>, which will improve the disclosures about a public business entity's expenses and address requests from investors for more detailed information about the types of expenses in commonly presented expense captions such as cost of sales, selling, general and administrative, and research and development. The amendments are effective for fiscal years beginning after December 15, 2026. Early adoption is permitted for annual financial statements that have not yet been issued or made available. The amendments should be applied on either (1) prospectively to financial statements issued for reporting periods after the effective date or (2) retrospectively to any or all prior periods presented in the financial statements. The Company is currently evaluating the provisions of the amendments and the effect on its future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which clarifies and modernizes the accounting for costs related to internal-use software. The amendments remove all references to project stages and clarify the threshold entities apply to begin capitalizing costs. The amendments are effective for fiscal years beginning after December 15, 2027 and interim reporting periods within those annual reporting periods, with early adoption permitted. The Company is currently evaluating the provisions of the amendments and the effect on its future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 Scope Improvements</w:t>
      </w:r>
      <w:r>
        <w:rPr>
          <w:rFonts w:ascii="Times New Roman" w:hAnsi="Times New Roman"/>
          <w:color w:val="000000"/>
          <w:sz w:val="20"/>
        </w:rPr>
        <w:t>, which clarifies required interim disclosures under Topic 270 by providing a comprehensive list of required interim disclosures, and clarifies the applicability of Topic 270. This update is effective for annual reporting periods beginning after December 15, 2027, and interim reporting periods within annual reporting periods beginning after December 15, 2028, with early adoption permitted. ASU 2025-11 may be adopted on a prospective or retrospective basis. The Company is currently evaluating the impact of this guidance on its future consolidated financial statements.</w:t>
      </w:r>
    </w:p>
    <w:p>
      <w:pPr>
        <w:pStyle w:val="TextBody"/>
        <w:bidi w:val="0"/>
        <w:spacing w:before="360" w:after="283"/>
        <w:jc w:val="both"/>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tables present the financial instruments carried at fair value on a recurring basis as of June 30, 2026 and December 31, 2025, respectively, in accordance with the ASC 820, </w:t>
      </w:r>
      <w:r>
        <w:rPr>
          <w:rFonts w:ascii="Times New Roman" w:hAnsi="Times New Roman"/>
          <w:i/>
          <w:color w:val="000000"/>
          <w:sz w:val="20"/>
        </w:rPr>
        <w:t xml:space="preserve">Fair Value Measurement </w:t>
      </w:r>
      <w:r>
        <w:rPr>
          <w:rFonts w:ascii="Times New Roman" w:hAnsi="Times New Roman"/>
          <w:color w:val="000000"/>
          <w:sz w:val="20"/>
        </w:rPr>
        <w:t xml:space="preserve">(ASC 820) hierarchy (in thousands): </w:t>
      </w:r>
    </w:p>
    <w:p>
      <w:pPr>
        <w:pStyle w:val="TextBody"/>
        <w:bidi w:val="0"/>
        <w:jc w:val="both"/>
        <w:rPr/>
      </w:pPr>
      <w:r>
        <w:rPr/>
        <w:t> </w:t>
      </w:r>
    </w:p>
    <w:tbl>
      <w:tblPr>
        <w:tblW w:w="6875" w:type="dxa"/>
        <w:jc w:val="left"/>
        <w:tblInd w:w="0" w:type="dxa"/>
        <w:tblLayout w:type="fixed"/>
        <w:tblCellMar>
          <w:top w:w="28" w:type="dxa"/>
          <w:left w:w="28" w:type="dxa"/>
          <w:bottom w:w="28" w:type="dxa"/>
          <w:right w:w="28" w:type="dxa"/>
        </w:tblCellMar>
      </w:tblPr>
      <w:tblGrid>
        <w:gridCol w:w="1861"/>
        <w:gridCol w:w="146"/>
        <w:gridCol w:w="211"/>
        <w:gridCol w:w="676"/>
        <w:gridCol w:w="146"/>
        <w:gridCol w:w="146"/>
        <w:gridCol w:w="211"/>
        <w:gridCol w:w="931"/>
        <w:gridCol w:w="146"/>
        <w:gridCol w:w="146"/>
        <w:gridCol w:w="239"/>
        <w:gridCol w:w="391"/>
        <w:gridCol w:w="146"/>
        <w:gridCol w:w="146"/>
        <w:gridCol w:w="211"/>
        <w:gridCol w:w="93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cash equivalents represent deposits in a short-term U.S. Treasury money market fund quoted in an active market, which were classified as a Level 1 fair value measurement, and fixed income securities (U.S. treasury bills) with original maturities of 90 days or less. Marketable securities consist primarily of fixed income securities (U.S. treasury bills and notes) and corporate bonds with original maturities greater than 90 days. All fixed income securities and corporate bonds were classified as a Level 2 fair value measurement.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were no transfers between Level 1 and Level 2 of the fair value hierarchy during the three and six months ended June 30, 2026 and the year ended December 31, 2025.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60" w:after="283"/>
        <w:jc w:val="both"/>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components of property and equipment, net as of June 30, 2026 and December 31, 2025 were as follows (in thousands): </w:t>
      </w:r>
    </w:p>
    <w:tbl>
      <w:tblPr>
        <w:tblW w:w="6265" w:type="dxa"/>
        <w:jc w:val="left"/>
        <w:tblInd w:w="0" w:type="dxa"/>
        <w:tblLayout w:type="fixed"/>
        <w:tblCellMar>
          <w:top w:w="28" w:type="dxa"/>
          <w:left w:w="28" w:type="dxa"/>
          <w:bottom w:w="28" w:type="dxa"/>
          <w:right w:w="28" w:type="dxa"/>
        </w:tblCellMar>
      </w:tblPr>
      <w:tblGrid>
        <w:gridCol w:w="2971"/>
        <w:gridCol w:w="146"/>
        <w:gridCol w:w="267"/>
        <w:gridCol w:w="858"/>
        <w:gridCol w:w="166"/>
        <w:gridCol w:w="146"/>
        <w:gridCol w:w="357"/>
        <w:gridCol w:w="1143"/>
        <w:gridCol w:w="21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expense for the three months ended June 30, 2026 and 2025 was $0.8 million and less than $0.1 million, respectively, and was $1.7 million and $0.1 million for the six months ended June 30, 2026 and 2025, respectively.</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 Goodwill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Conversion Event in July 2025, the Company recognized goodwill of $10.3 million. See Note 15 for additional information on this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annually assesses goodwill for impairment in the fourth quarter of each calendar year and at an interim date if indicators of impairment exist. During the three and six months ended June 30, 2026, no goodwill impairment was recognized.</w:t>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6.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components of accrued expenses and other current liabilities as of June 30, 2026 and December 31, 2025 were as follows (in thousands): </w:t>
      </w:r>
    </w:p>
    <w:p>
      <w:pPr>
        <w:pStyle w:val="TextBody"/>
        <w:bidi w:val="0"/>
        <w:jc w:val="both"/>
        <w:rPr/>
      </w:pPr>
      <w:r>
        <w:rPr/>
        <w:t> </w:t>
      </w:r>
    </w:p>
    <w:tbl>
      <w:tblPr>
        <w:tblW w:w="7515" w:type="dxa"/>
        <w:jc w:val="left"/>
        <w:tblInd w:w="0" w:type="dxa"/>
        <w:tblLayout w:type="fixed"/>
        <w:tblCellMar>
          <w:top w:w="28" w:type="dxa"/>
          <w:left w:w="28" w:type="dxa"/>
          <w:bottom w:w="28" w:type="dxa"/>
          <w:right w:w="28" w:type="dxa"/>
        </w:tblCellMar>
      </w:tblPr>
      <w:tblGrid>
        <w:gridCol w:w="4261"/>
        <w:gridCol w:w="146"/>
        <w:gridCol w:w="267"/>
        <w:gridCol w:w="858"/>
        <w:gridCol w:w="146"/>
        <w:gridCol w:w="146"/>
        <w:gridCol w:w="357"/>
        <w:gridCol w:w="1143"/>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Operating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entered into non-cancellable operating leases with remaining lease terms expiring between 2026 and 2034. Of the four operating leases that have commenced as of June 30, 2026, three are leases in which the Company is the lessee for office space. The remaining operating lease was acquired in connection with the Conversion Event and includes office, manufacturing, and warehouse space. In the fourth quarter of 2025, the Company entered into an additional non-cancelable operating lease for office space with a term of approximately eight years, which, along with rent payments, is expected to commence in the third quarter of 2026. The Company had no finance leases as of June 30, 2026 and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components of lease expense for the periods ended June 30, 2026 and 2025 were as follows (in thousands):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68"/>
        <w:gridCol w:w="146"/>
        <w:gridCol w:w="233"/>
        <w:gridCol w:w="633"/>
        <w:gridCol w:w="300"/>
        <w:gridCol w:w="161"/>
        <w:gridCol w:w="233"/>
        <w:gridCol w:w="516"/>
        <w:gridCol w:w="271"/>
        <w:gridCol w:w="146"/>
        <w:gridCol w:w="222"/>
        <w:gridCol w:w="602"/>
        <w:gridCol w:w="285"/>
        <w:gridCol w:w="153"/>
        <w:gridCol w:w="222"/>
        <w:gridCol w:w="491"/>
        <w:gridCol w:w="323"/>
      </w:tblGrid>
      <w:tr>
        <w:trPr/>
        <w:tc>
          <w:tcPr>
            <w:tcW w:w="5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 included in operating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Maturities of lease liabilities as of June 30, 2026 were as follows (in thousands): </w:t>
      </w:r>
    </w:p>
    <w:p>
      <w:pPr>
        <w:pStyle w:val="TextBody"/>
        <w:bidi w:val="0"/>
        <w:jc w:val="both"/>
        <w:rPr/>
      </w:pPr>
      <w:r>
        <w:rPr/>
        <w:t> </w:t>
      </w:r>
    </w:p>
    <w:tbl>
      <w:tblPr>
        <w:tblW w:w="5195" w:type="dxa"/>
        <w:jc w:val="left"/>
        <w:tblInd w:w="0" w:type="dxa"/>
        <w:tblLayout w:type="fixed"/>
        <w:tblCellMar>
          <w:top w:w="28" w:type="dxa"/>
          <w:left w:w="28" w:type="dxa"/>
          <w:bottom w:w="28" w:type="dxa"/>
          <w:right w:w="28" w:type="dxa"/>
        </w:tblCellMar>
      </w:tblPr>
      <w:tblGrid>
        <w:gridCol w:w="3816"/>
        <w:gridCol w:w="146"/>
        <w:gridCol w:w="211"/>
        <w:gridCol w:w="631"/>
        <w:gridCol w:w="391"/>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amount representing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liability for loss contingencies arising from claims, assessments, litigation, fines, penalties, and other sources is recorded in the unaudited condensed consolidated financial statements if it is determined that it is probable that a loss has been incurred, and that the amount (or range) of the loss can be reasonably estimated.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4, 2024, a complaint was filed against the Company in the Superior Court of the State of Delaware by ANI Pharmaceuticals, Inc. seeking a declaratory judgment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the Company will not owe ANI a future royalty of 5% on commercial sales of cretostimogene, no damages have been awarded to ANI, and there are no further payments due to ANI under the ANI Agreement. On April 10, 2026, the Superior Court heard oral arguments from ANI and the Company on pending post-trial motions submitted by the Company and ANI, which included (i) ANI’s Motion for Judgment as a Matter of Law; (ii) ANI’s Motion to Unseal Trial Exhibits; and (iii) the Company’s Motion for Costs. On July 16, 2026, the Superior Court issued an order denying ANI's motions for a new trial and judgment as a matter of law. The Company will continue to vigorously defend any appeals brought by ANI.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As of June 30, 2026, the Company had not experienced any losses related to these indemnification obligations, and no claims with respect thereto were outstanding.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License and Collaboration Agreements</w:t>
      </w:r>
    </w:p>
    <w:p>
      <w:pPr>
        <w:pStyle w:val="TextBody"/>
        <w:bidi w:val="0"/>
        <w:spacing w:before="120" w:after="283"/>
        <w:jc w:val="both"/>
        <w:rPr>
          <w:rFonts w:ascii="Times New Roman" w:hAnsi="Times New Roman"/>
          <w:sz w:val="20"/>
        </w:rPr>
      </w:pPr>
      <w:r>
        <w:rPr>
          <w:rFonts w:ascii="Times New Roman" w:hAnsi="Times New Roman"/>
          <w:b/>
          <w:i/>
          <w:color w:val="000000"/>
          <w:sz w:val="20"/>
        </w:rPr>
        <w:t>Lepu Biotech Co., Ltd.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2019, the Company entered into a development and license agreement with Lepu Biotech Co., Ltd. (Lepu) for cretostimogene (the Lepu License Agreement). Under the terms of the Lepu License Agreement, the Company granted to Lepu an exclusive license to develop, manufacture and commercialize cretostimogene and/or n-Dodecyl-beta-Maltoside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Lepu paid to the Company a one-time upfront payment of $4.5 million and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assessed the Lepu License Agreement in accordance with ASC 606, </w:t>
      </w:r>
      <w:r>
        <w:rPr>
          <w:rFonts w:ascii="Times New Roman" w:hAnsi="Times New Roman"/>
          <w:i/>
          <w:color w:val="000000"/>
          <w:sz w:val="20"/>
        </w:rPr>
        <w:t>Revenue Recognition</w:t>
      </w:r>
      <w:r>
        <w:rPr>
          <w:rFonts w:ascii="Times New Roman" w:hAnsi="Times New Roman"/>
          <w:color w:val="000000"/>
          <w:sz w:val="20"/>
        </w:rPr>
        <w:t xml:space="preserve">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Future milestone payments are fully constrained as the risk of significant revenue reversal will only be resolved depending on future regulatory approval and sales level outcomes. The Company will re-evaluate the likelihood of achieving future milestones at the end of each reporting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sales-based royalty fee is considered variable consideration and will be recognized as revenue as such sales occur. The sales-based royalty fee qualifies for the royalty constraint exception and does not require an estimate of the future transaction price.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recognized no license and collaboration revenue during the three and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i/>
          <w:color w:val="000000"/>
          <w:sz w:val="20"/>
        </w:rPr>
        <w:t>Kissei Pharmaceutical Co., Ltd.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2020, and amended as of September 2022, the Company entered into a license and collaboration agreement with Kissei Pharmaceutical Co., Ltd.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License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The Company is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Kissei License Agreement will expire on a Licensed Product-by-Licensed Product and country-by-country basis when there is no remaining royalty or milestone payment obligation due to a party with respect to such Licensed Product in such country. Following expiration of the Kissei License Agreement in its entirety, the licenses the Company granted to Kissei will become non-exclusive, fully-paid royalty-free and irrevocable and Kissei will have the right to negotiate directly with the Company's product suppliers for the direct supply of Licensed Product to Kissei. The Kissei License Agreement may be terminated either by Kissei or by the Company in the event of an uncured material breach by the other party or in the event the other party becomes subject to specified bankruptcy, insolvency or similar circumstances. In addition, the Company has the right to terminate the Kissei License Agreement in the event that Kissei commences a legal action challenging the validity, enforceability or scope of any licensed patents under the Kissei License Agreement. Kissei may terminate the Kissei License Agreement at will upon specified written notice. Additionally, Kissei may terminate the Kissei License Agreement for the Company's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the Company's contract manufacturing organizations for the supply of Licensed Product. Upon termination of the Kissei License Agreement for any other reason all rights and licenses granted to Kissei to develop and commercialize the product under the Kissei License Agreement will terminate, subject to certain rights to sell existing inventory of Licensed Products by Kissei and its sublicensees. Upon termination of the Kissei License Agreement for Kissei’s breach, any sublicenses granted by Kissei may, upon the Company’s discretion, continue.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evaluated the Kissei License Agreement to determine whether it is a collaborative arrangement in the scope of ASC 808, </w:t>
      </w:r>
      <w:r>
        <w:rPr>
          <w:rFonts w:ascii="Times New Roman" w:hAnsi="Times New Roman"/>
          <w:i/>
          <w:color w:val="000000"/>
          <w:sz w:val="20"/>
        </w:rPr>
        <w:t>Collaborative Arrangements</w:t>
      </w:r>
      <w:r>
        <w:rPr>
          <w:rFonts w:ascii="Times New Roman" w:hAnsi="Times New Roman"/>
          <w:color w:val="000000"/>
          <w:sz w:val="20"/>
        </w:rPr>
        <w:t xml:space="preserve"> (ASC 808). The Company concluded the Kissei License Agreement is a collaborative agreement under ASC 808, as the Kissei License Agreement involves a joint operating activity, each party is an active participant in the activities related to the Kissei License Agreement, and both parties are exposed to significant risks and rewards dependent upon the commercial success of the activities related to the Kissei License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determined the Kissei License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License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License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a performance obligation at the outset of the arrangement.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recognized less than $0.1 million in license and collaboration revenue for each of the three and six months ended June 30, 2026 and the six months ended June 30, 2025. The Company recognized no license and collaboration revenue for the three months ended June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color w:val="000000"/>
          <w:sz w:val="20"/>
        </w:rPr>
        <w:t>9. Segment Disclosures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operates as a single operating segment. The Company's chief operating decision maker (CODM) is its chief executive officer, who reviews financial information presented on a consolidated basis. The CODM uses consolidated net loss to assess financial performance and allocate resources. The CODM does not review assets in evaluating the results of the single segment and therefore, such information is not presented.</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segment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3435"/>
        <w:gridCol w:w="179"/>
        <w:gridCol w:w="263"/>
        <w:gridCol w:w="923"/>
        <w:gridCol w:w="207"/>
        <w:gridCol w:w="182"/>
        <w:gridCol w:w="263"/>
        <w:gridCol w:w="923"/>
        <w:gridCol w:w="204"/>
        <w:gridCol w:w="179"/>
        <w:gridCol w:w="260"/>
        <w:gridCol w:w="1037"/>
        <w:gridCol w:w="204"/>
        <w:gridCol w:w="179"/>
        <w:gridCol w:w="260"/>
        <w:gridCol w:w="908"/>
        <w:gridCol w:w="599"/>
      </w:tblGrid>
      <w:tr>
        <w:trPr/>
        <w:tc>
          <w:tcPr>
            <w:tcW w:w="343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and development revenue</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Clinical and manufacturing</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90,073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49,436</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3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Other research and development</w:t>
            </w:r>
            <w:r>
              <w:rPr>
                <w:rFonts w:ascii="Times New Roman" w:hAnsi="Times New Roman"/>
                <w:color w:val="000000"/>
                <w:sz w:val="13"/>
              </w:rPr>
              <w:t>(1)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8,314</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58,799</w:t>
            </w:r>
          </w:p>
        </w:tc>
        <w:tc>
          <w:tcPr>
            <w:tcW w:w="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28,976</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17,410</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49,756</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32,198</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operating expenses</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87,558</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48,741</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155,030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90,997</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(86,401</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(152,790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(90,945</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13,532</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(79,056</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(41,426</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(139,258</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(75,878</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606" w:type="dxa"/>
            <w:gridSpan w:val="16"/>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br/>
              <w:t> </w:t>
              <w:br/>
              <w:t>(1) Other research and development consists of indirect costs incurred for the benefit of the research and development efforts, including certain personnel, supply chain, quality assurance, and regulatory affairs.</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10.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up to 700,000,000 shares of common stock at June 30, 2026 and December 31, 2025, of which 88,306,390 and 80,689,128 shares were issued and outstanding at June 30, 2026 and December 31,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Voting, dividend and liquidation rights of the holders of the common stock are subject to and qualified by the rights, powers and preferences of the holders of the preferred stock, of which there are none as of June 30, 2026 and December 31, 2025. </w:t>
      </w:r>
    </w:p>
    <w:p>
      <w:pPr>
        <w:pStyle w:val="TextBody"/>
        <w:bidi w:val="0"/>
        <w:spacing w:before="360" w:after="283"/>
        <w:jc w:val="both"/>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holders of common stock shall be entitled to receive dividends out of funds legally available therefore at such times and in such amounts as the board of directors may determine in its sole discretion.</w:t>
      </w:r>
    </w:p>
    <w:p>
      <w:pPr>
        <w:pStyle w:val="TextBody"/>
        <w:bidi w:val="0"/>
        <w:spacing w:before="360" w:after="283"/>
        <w:jc w:val="both"/>
        <w:rPr>
          <w:rFonts w:ascii="Times New Roman" w:hAnsi="Times New Roman"/>
          <w:sz w:val="20"/>
        </w:rPr>
      </w:pPr>
      <w:r>
        <w:rPr>
          <w:rFonts w:ascii="Times New Roman" w:hAnsi="Times New Roman"/>
          <w:b/>
          <w:i/>
          <w:color w:val="000000"/>
          <w:sz w:val="20"/>
        </w:rPr>
        <w:t>Liquidation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any voluntary or involuntary liquidation, dissolution or winding-up of the Company or deemed liquidation event of the Company, all of the remaining assets of the Company available for distribution to the stockholders shall be distributed among the holders of the common stock, pro rata based on the number of shares held by each such holder.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b/>
          <w:i/>
          <w:color w:val="000000"/>
          <w:sz w:val="20"/>
        </w:rPr>
        <w:t>Reserved Shares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 Company reserved the following shares of common stock for issuance: </w:t>
      </w:r>
    </w:p>
    <w:p>
      <w:pPr>
        <w:pStyle w:val="TextBody"/>
        <w:bidi w:val="0"/>
        <w:jc w:val="both"/>
        <w:rPr/>
      </w:pPr>
      <w:r>
        <w:rPr/>
        <w:t> </w:t>
      </w:r>
    </w:p>
    <w:tbl>
      <w:tblPr>
        <w:tblW w:w="5200" w:type="dxa"/>
        <w:jc w:val="left"/>
        <w:tblInd w:w="0" w:type="dxa"/>
        <w:tblLayout w:type="fixed"/>
        <w:tblCellMar>
          <w:top w:w="28" w:type="dxa"/>
          <w:left w:w="28" w:type="dxa"/>
          <w:bottom w:w="28" w:type="dxa"/>
          <w:right w:w="28" w:type="dxa"/>
        </w:tblCellMar>
      </w:tblPr>
      <w:tblGrid>
        <w:gridCol w:w="3481"/>
        <w:gridCol w:w="146"/>
        <w:gridCol w:w="146"/>
        <w:gridCol w:w="1036"/>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and awards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8,392,256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stock award issuances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6,368,754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ESPP issuances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1,481,534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16,242,544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11.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2015, the Company established the 2015 Plan, under which the Company may grant options and restricted stock to its employees and certain non-employees. As of June 30, 2026, there were 241,618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June 30, 2026, there were 3,041,588 shares of common stock subject to outstanding awards under the 2022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11, 2024, the Company’s board of directors and stockholders approved the 2024 Equity Incentive Plan (the 2024 Plan), which became effective on January 24, 2024. The 2024 Plan replaced the 2022 Plan, as the Company’s board of directors has determined to not make additional grants under the 2022 Plan following its initial public offering. However, the 2015 and 2022 Plans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is (1) 8,246,565 shares, plus (2) any shares subject to outstanding awards under the 2015 and 2022 Plans as of the effective date of the 2024 Plan that become available for issuance under the 2024 Plan thereafter in accordance with its terms. As of June 30, 2026, there were 5,109,050 shares of common stock subject to outstanding awards and 6,368,749 shares of common stock remaining and available for issuance under the 2024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may grant options to purchase authorized but unissued shares of the Company’s common stock. Options granted under the 2015 Plan, 2022 Plan and 2024 Plan include incentive stock options that can be granted only to the Company’s employees and non-statutory stock options that can be granted to the Company’s employees, consultants, advisors and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exercise prices, vesting and other restrictions of the awards granted under the 2015 Plan, 2022 Plan and 2024 Plan are determined by the Board, except that no stock option may be issued with an exercise price less than the fair market value of the common stock at the date of the grant or have a term in excess of ten years. Options granted under the 2015 Plan, 2022 Plan and 2024 Plan are exercisable in whole or in part at any time subsequent to vesting.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six months ended June 30, 2026 (in thousands, except share and per share amounts): </w:t>
      </w:r>
    </w:p>
    <w:p>
      <w:pPr>
        <w:pStyle w:val="TextBody"/>
        <w:bidi w:val="0"/>
        <w:jc w:val="both"/>
        <w:rPr/>
      </w:pPr>
      <w:r>
        <w:rPr/>
        <w:t> </w:t>
      </w:r>
    </w:p>
    <w:tbl>
      <w:tblPr>
        <w:tblW w:w="9028" w:type="dxa"/>
        <w:jc w:val="left"/>
        <w:tblInd w:w="0" w:type="dxa"/>
        <w:tblLayout w:type="fixed"/>
        <w:tblCellMar>
          <w:top w:w="28" w:type="dxa"/>
          <w:left w:w="28" w:type="dxa"/>
          <w:bottom w:w="28" w:type="dxa"/>
          <w:right w:w="28" w:type="dxa"/>
        </w:tblCellMar>
      </w:tblPr>
      <w:tblGrid>
        <w:gridCol w:w="3301"/>
        <w:gridCol w:w="146"/>
        <w:gridCol w:w="243"/>
        <w:gridCol w:w="1377"/>
        <w:gridCol w:w="166"/>
        <w:gridCol w:w="146"/>
        <w:gridCol w:w="220"/>
        <w:gridCol w:w="576"/>
        <w:gridCol w:w="146"/>
        <w:gridCol w:w="146"/>
        <w:gridCol w:w="255"/>
        <w:gridCol w:w="736"/>
        <w:gridCol w:w="146"/>
        <w:gridCol w:w="146"/>
        <w:gridCol w:w="196"/>
        <w:gridCol w:w="691"/>
        <w:gridCol w:w="3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7,958,219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8,205,828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386,627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8,205,828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386,627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4,068,186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stock options and the fair value of the Company's common stock. The aggregate intrinsic value of options exercised during the six months ended June 30, 2026 and 2025 was $38.4 million and $1.1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grant-date fair value of the options granted was $43.06 and $20.79 per share for the six months ended June 30, 2026 and 2025, respectively. The aggregate grant-date fair value of options vested during the six months ended June 30, 2026 and 2025 was $20.7 million and $12.3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provides the assumptions used in determining the fair value of option awards for the three and six months ended June 30, 2026 and 2025: </w:t>
      </w:r>
    </w:p>
    <w:p>
      <w:pPr>
        <w:pStyle w:val="TextBody"/>
        <w:bidi w:val="0"/>
        <w:jc w:val="both"/>
        <w:rPr/>
      </w:pPr>
      <w:r>
        <w:rPr/>
        <w:t> </w:t>
      </w:r>
    </w:p>
    <w:tbl>
      <w:tblPr>
        <w:tblW w:w="8824" w:type="dxa"/>
        <w:jc w:val="left"/>
        <w:tblInd w:w="0" w:type="dxa"/>
        <w:tblLayout w:type="fixed"/>
        <w:tblCellMar>
          <w:top w:w="28" w:type="dxa"/>
          <w:left w:w="28" w:type="dxa"/>
          <w:bottom w:w="28" w:type="dxa"/>
          <w:right w:w="28" w:type="dxa"/>
        </w:tblCellMar>
      </w:tblPr>
      <w:tblGrid>
        <w:gridCol w:w="2131"/>
        <w:gridCol w:w="146"/>
        <w:gridCol w:w="1516"/>
        <w:gridCol w:w="146"/>
        <w:gridCol w:w="1516"/>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63.99% - 69.97%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73.62% - 77.58%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63.99% - 69.97%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73.39% - 77.58%</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3.99% - 4.345%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3.99% - 4.16%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3.725% - 4.345%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3.99% - 4.5%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5.25 - 6.1</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 recorded stock-based compensation expense related to stock options of $14.1 million and $6.4 million for the three months ended June 30, 2026 and 2025, respectively, and $20.1 million and $10.8 million for the six months ended June 30, 2026 and 2025, respectively. As of June 30, 2026, the Company had an aggregate $87.7 million of gross unrecognized stock-based compensation expense related to unvested options to be recognized over a weighted average period of 3.0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sz w:val="20"/>
        </w:rPr>
      </w:pPr>
      <w:r>
        <w:rPr>
          <w:rFonts w:ascii="Times New Roman" w:hAnsi="Times New Roman"/>
          <w:i/>
          <w:color w:val="000000"/>
          <w:sz w:val="20"/>
        </w:rPr>
        <w:t>Performance-Based Restricted Stock Units</w:t>
      </w:r>
      <w:r>
        <w:rPr>
          <w:rFonts w:ascii="Times New Roman" w:hAnsi="Times New Roman"/>
          <w:color w:val="000000"/>
          <w:sz w:val="20"/>
        </w:rPr>
        <w:t xml:space="preserve">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A Performance Stock Unit (PSU) represents one equivalent share of the Company's common stock to be issued after achievement of the performance metrics specified in the grant. The following table summarizes the Company's PSU activity for six months ended June 30, 2026:</w:t>
      </w:r>
    </w:p>
    <w:tbl>
      <w:tblPr>
        <w:tblW w:w="7915" w:type="dxa"/>
        <w:jc w:val="left"/>
        <w:tblInd w:w="0" w:type="dxa"/>
        <w:tblLayout w:type="fixed"/>
        <w:tblCellMar>
          <w:top w:w="28" w:type="dxa"/>
          <w:left w:w="28" w:type="dxa"/>
          <w:bottom w:w="28" w:type="dxa"/>
          <w:right w:w="28" w:type="dxa"/>
        </w:tblCellMar>
      </w:tblPr>
      <w:tblGrid>
        <w:gridCol w:w="2491"/>
        <w:gridCol w:w="146"/>
        <w:gridCol w:w="246"/>
        <w:gridCol w:w="1164"/>
        <w:gridCol w:w="166"/>
        <w:gridCol w:w="146"/>
        <w:gridCol w:w="875"/>
        <w:gridCol w:w="2290"/>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Company estimates the fair value of a PSU based upon the expected achievement of the performance metrics specified in the grant and the closing market price of the Company's common stock on the date of grant. </w:t>
      </w:r>
    </w:p>
    <w:p>
      <w:pPr>
        <w:pStyle w:val="TextBody"/>
        <w:bidi w:val="0"/>
        <w:jc w:val="both"/>
        <w:rPr>
          <w:rFonts w:ascii="Times New Roman" w:hAnsi="Times New Roman"/>
          <w:color w:val="000000"/>
          <w:sz w:val="20"/>
        </w:rPr>
      </w:pPr>
      <w:r>
        <w:rPr>
          <w:rFonts w:ascii="Times New Roman" w:hAnsi="Times New Roman"/>
          <w:color w:val="000000"/>
          <w:sz w:val="20"/>
        </w:rPr>
        <w:t>Stock-based compensation expense associated with these PSUs is recognized if achievement of the underlying performance condition is considered probable of achievement based on the Company’s best estimates. No stock-based compensation expense related to PSUs was recorded during the three and six months ended June 30, 2026 and 2025. As of June 30, 2026, the Company had an aggregate $8.0 million of gross unrecognized stock-based compensation expense related to unvested PSUs to be recognized over a weighted average period of 1.0 years, including the expense attributable to PSUs for which achievement is not considered probable and no current expense is being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Stock-based compensation expense related to stock awards and the 2024 Employee Stock Purchase Plan (see Note 12) recorded in the accompanying statements of operations for the three and six months ended June 30, 2026 and 2025 was as follows (in thousands): </w:t>
      </w:r>
    </w:p>
    <w:p>
      <w:pPr>
        <w:pStyle w:val="TextBody"/>
        <w:bidi w:val="0"/>
        <w:jc w:val="both"/>
        <w:rPr/>
      </w:pPr>
      <w:r>
        <w:rPr/>
        <w:t> </w:t>
      </w:r>
    </w:p>
    <w:tbl>
      <w:tblPr>
        <w:tblW w:w="8264" w:type="dxa"/>
        <w:jc w:val="left"/>
        <w:tblInd w:w="0" w:type="dxa"/>
        <w:tblLayout w:type="fixed"/>
        <w:tblCellMar>
          <w:top w:w="28" w:type="dxa"/>
          <w:left w:w="28" w:type="dxa"/>
          <w:bottom w:w="28" w:type="dxa"/>
          <w:right w:w="28" w:type="dxa"/>
        </w:tblCellMar>
      </w:tblPr>
      <w:tblGrid>
        <w:gridCol w:w="3451"/>
        <w:gridCol w:w="243"/>
        <w:gridCol w:w="781"/>
        <w:gridCol w:w="168"/>
        <w:gridCol w:w="168"/>
        <w:gridCol w:w="243"/>
        <w:gridCol w:w="659"/>
        <w:gridCol w:w="146"/>
        <w:gridCol w:w="146"/>
        <w:gridCol w:w="211"/>
        <w:gridCol w:w="677"/>
        <w:gridCol w:w="146"/>
        <w:gridCol w:w="146"/>
        <w:gridCol w:w="211"/>
        <w:gridCol w:w="67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14,334</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 has not recognized and does not expect to recognize in the near future, any tax benefit related to employee stock-based compensation expense as a result of the full valuation allowance related to its net deferred tax assets.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 Employee Stock Purchase Plan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January 11, 2024, </w:t>
      </w:r>
      <w:r>
        <w:rPr>
          <w:rFonts w:ascii="Times New Roman" w:hAnsi="Times New Roman"/>
          <w:color w:val="242424"/>
          <w:sz w:val="20"/>
        </w:rPr>
        <w:t xml:space="preserve">the Company’s board of directors and stockholders approved the 2024 Employee Stock Purchase Plan (the ESPP), which became effective on January 24, 2024. The number of shares initially available for issuance pursuant to the ESPP is 812,242 shares. The ESPP </w:t>
      </w:r>
      <w:r>
        <w:rPr>
          <w:rFonts w:ascii="Times New Roman" w:hAnsi="Times New Roman"/>
          <w:color w:val="000000"/>
          <w:sz w:val="20"/>
        </w:rPr>
        <w:t>provides for the sale of the Company's common stock to eligible employees at 85% of the fair market value of the Company's common stock at the commencement date of each offering period or the relevant date of purchase, whichever is lower. Payroll deductions are limited to 15% of the employee’s eligible compensation, subject to IRS limits. In addition, employees may not buy more than 100,000 shares during any purchase period or offering period. There were 39,060 and 32,019 shares purchased under the ESPP during the six months ended June 30, 2026 and 2025, respectively, and no shares purchased under the ESPP during the three months ended June 30, 2026 and 2025. As of June 30, 2026, there were approximately 1.5 million shares available for issuance under the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stock-based compensation expense under the ESPP of approximately $0.2 million and $0.6 million for the three months ended June 30, 2026 and 2025, respectively, and $0.7 million and $1.4 million for the six months ended June 30, 2026 and 2025, respectively. As of June 30, 2026, the Company had $1.0 million of gross unrecognized stock-based compensation expense under the ESPP to be recognized over a weighted average period of 1.4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Conversion Event, the Company assumed an unsecured promissory note held by Biovire (the Biovire Note) with an outstanding principal balance of $3.0 million. The Company determined that the carrying amount of the Biovire Note represented its fair value. The Biovire Note is due and payable on February 28, 2028 (Maturity Date) and accrues interest at the lesser of (i) the daily term SOFR rate plus 2.60% and (ii) 25.0%, or the highest rate permitted by applicable law, and is payable monthly. The Company has the ability to repay the Biovire Note in full prior to the Maturity Date without penalty.</w:t>
      </w:r>
    </w:p>
    <w:p>
      <w:pPr>
        <w:pStyle w:val="TextBody"/>
        <w:bidi w:val="0"/>
        <w:spacing w:before="360" w:after="283"/>
        <w:jc w:val="both"/>
        <w:rPr>
          <w:rFonts w:ascii="Times New Roman" w:hAnsi="Times New Roman"/>
          <w:sz w:val="20"/>
        </w:rPr>
      </w:pPr>
      <w:r>
        <w:rPr>
          <w:rFonts w:ascii="Times New Roman" w:hAnsi="Times New Roman"/>
          <w:b/>
          <w:color w:val="000000"/>
          <w:sz w:val="20"/>
        </w:rPr>
        <w:t>14. Net Loss Per Share Attributable to Common Stockholders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and diluted net loss per share was calculated as follows (in thousands, except share and per share amounts):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88,200,023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76,226,829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86,369,437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76,207,333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potentially dilutive securities, which include stock options and awards, have been excluded from the computation of diluted net loss per share as the effect would be to reduce the net loss per share.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excluded the following from the computation of diluted net loss per share attributable to common stockholders at June 30, 2026 and 2025 because including them would have had an anti-dilutive effect: </w:t>
      </w:r>
    </w:p>
    <w:p>
      <w:pPr>
        <w:pStyle w:val="TextBody"/>
        <w:bidi w:val="0"/>
        <w:jc w:val="both"/>
        <w:rPr/>
      </w:pPr>
      <w:r>
        <w:rPr/>
        <w:t> </w:t>
      </w:r>
    </w:p>
    <w:tbl>
      <w:tblPr>
        <w:tblW w:w="6695" w:type="dxa"/>
        <w:jc w:val="left"/>
        <w:tblInd w:w="0" w:type="dxa"/>
        <w:tblLayout w:type="fixed"/>
        <w:tblCellMar>
          <w:top w:w="28" w:type="dxa"/>
          <w:left w:w="28" w:type="dxa"/>
          <w:bottom w:w="28" w:type="dxa"/>
          <w:right w:w="28" w:type="dxa"/>
        </w:tblCellMar>
      </w:tblPr>
      <w:tblGrid>
        <w:gridCol w:w="2266"/>
        <w:gridCol w:w="446"/>
        <w:gridCol w:w="146"/>
        <w:gridCol w:w="931"/>
        <w:gridCol w:w="446"/>
        <w:gridCol w:w="446"/>
        <w:gridCol w:w="146"/>
        <w:gridCol w:w="931"/>
        <w:gridCol w:w="446"/>
        <w:gridCol w:w="491"/>
      </w:tblGrid>
      <w:tr>
        <w:trPr/>
        <w:tc>
          <w:tcPr>
            <w:tcW w:w="22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8,205,828</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8,963,925</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8,205,828</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8,963,925</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 Acquisition of Biovire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20, 2025, the Company obtained control of the SPV through the Conversion Event, resulting in SafeGuard owning 100% of the membership interest of the SPV. As a result of the Conversion Event, the Company also indirectly obtained control of Biovire as the SPV owns 99.96% of the capital stock of Biovire. As a result of this change in control, purchase accounting was applied by the Company and the operations of Biovire are consolidated as of the effective date of the conversion. See footnote 1 for more information on the Note.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Biovire is a contract manufacturer specializing in the fill and finish of novel drugs and medical devices for pharmaceutical and biotech companies. Prior to becoming a majority-owned subsidiary, Biovire was a vendor to the Company and continues to provide clinical supply of cretostimogene used in the Company’s clinical trials. The acquisition provides the Company the ability to supply its requirements of cretostimogene during the remainder of its clinical trials.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Consideration was determined to be the fair value of the note receivable that was exchanged for the majority of shares of the SPV and Biovire. The acquisition was accounted for as a business combination using the acquisition method of accounting, under which the acquired assets, including intangible assets, and assumed liabilities were recognized at their estimated fair values as of July 20, 2025, with the excess of the fair value of consideration transferred over the fair value of the net assets acquired recognized as goodwill. The Company's unaudited condensed consolidated financial statements include the operating results of the SPV and Biovire from the date of acquisition through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purchase price allocation is set forth in the table below and represents the Company’s fair value estimates related to the acquisition as of July 20,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CG ONCOLOGY,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Notes to Condensed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6498" w:type="dxa"/>
        <w:jc w:val="left"/>
        <w:tblInd w:w="0" w:type="dxa"/>
        <w:tblLayout w:type="fixed"/>
        <w:tblCellMar>
          <w:top w:w="28" w:type="dxa"/>
          <w:left w:w="28" w:type="dxa"/>
          <w:bottom w:w="28" w:type="dxa"/>
          <w:right w:w="28" w:type="dxa"/>
        </w:tblCellMar>
      </w:tblPr>
      <w:tblGrid>
        <w:gridCol w:w="4086"/>
        <w:gridCol w:w="146"/>
        <w:gridCol w:w="374"/>
        <w:gridCol w:w="1201"/>
        <w:gridCol w:w="6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identifiable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identifiable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16,547</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10,297</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 of consideration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purchase price was allocated to the tangible assets and identifiable intangible assets acquired and liabilities assumed based on their acquisition date estimated fair values. The carrying amount of accounts receivable and inventory acquired represented their fair value. Property and equipment were assigned a fair value of $16.6 million and will be amortized over a weighted average of 5.5 years. The identifiable intangible assets consist of trade names and trademarks and customer relationships which were each assigned fair values of approximately $0.3 million and will be amortized on a straight-line basis over their estimated useful lives of 10 years. The acquired property and equipment and intangible assets were valued utilizing either the relief from royalty method or the multi-period excess earnings method as deemed most applicable. These approaches require judgment, including those related to projected net cash flows, revenue growth rates, and the weighted average cost of capital used to discount the cash flows.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Goodwill represents the excess of the purchase price over the identifiable tangible and intangible assets acquired in addition to liabilities assumed arising from the business combination. The Company believes the goodwill related to the acquisition was attributable to the expected synergies, value of the assembled workforce, and the collective experience of the management team with regards to its operations, customers, and industry.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16. 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6, 2026, the Company filed Amendment No. 2 to the prospectus with the SEC, to increase the shares of common stock available to be sold pursuant to the terms of the Jefferies Sales Agreement by an additional $500.0 million.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and the unaudited condensed consolidated financial statements included in this Quarterly Report on Form 10-Q (Quarterly Report) is provided as a supplement to, and should be read in conjunction with the financial statements and notes thereto for the year ended December 31, 2025 and the related "Risk Factors" and "Management’s Discussion and Analysis of Financial Condition and Results of Operations" of the Annual Report on Form 10-K for the year ended December 31, 2025 (the 2025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Quarterly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some cases, you can identify forward-looking statements by terms such as “anticipate,” “believe,” “contemplate,” “continue” “could,” “estimate,” “expect,” “intend,” “may,” “plan,” “potential,” “predict,” “project,” “should,” “target” or “will” or the negative of these terms or other similar expressions. These forward-looking statements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 Item 1A, “Risk Factors” of the 2025 Annual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jc w:val="both"/>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late-stage clinical biopharmaceutical company focused on developing and commercializing cretostimogene grenadenorepvec (cretostimogene), an investigational oncolytic immunotherapy with a dual mechanism of action designed both to eliminate cancer cells directly by selective replication and indirectly by activating an anti-tumor immune response, as a potential backbone therapy in a broad range of patients afflicted with bladder cancer. Cretostimogene is currently in clinical development for the treatment of patients with high-risk and intermediate-risk non-muscle invasive bladder cancer (NMIBC), which potentially represents up to 150,000 addressable patients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evaluating the safety and efficacy of cretostimogene monotherapy in BOND-003 Cohort C, our ongoing Phase 3 clinical trial in high-risk Bacillus Calmette-Guérin (BCG)-unresponsive NMIBC with carcinoma in situ (CIS), with or without Ta/T1 disease. Given the limitations of currently approved therapies, the next course of treatment for these patients with BCG-unresponsive tumors is radical cystectomy, which is the complete removal of the bladder. This surgery carries a significant social, functional and emotional burden for patients. As such, there is a significant unmet need for effective bladder-sparing treatments. We reported potentially best-in-disease data in September 2025, and results were subsequently updated and published in The Lancet Oncology in July 2026. These results included a 75.5% complete response (CR) at any time, after receiving cretostimogene as monotherapy, with 12- and 24-month duration of response (DOR) rates of 64.2% and 60.1%, respectively and a favorable safety and tolerability profile. This trial served as the basis for our Biologics License Application (BLA) submission for our initial indication to the U.S. Food and Drug Administration (FDA), which we expect to complete in the fourth quarter of 2026. Cretostimogene has received both Fast Track and Breakthrough Therapy designations from the FDA for the treatment of high-risk BCG-unresponsive NMIBC with CIS with or without Ta or T1 papillary tumors. Additionally, in April 2024, we initiated BOND-003 Cohort P, an exploratory study evaluating cretostimogene monotherapy in high-risk BCG-unresponsive NMIBC with only Ta/T1 disease. Based on internal research derived from the National Cancer Institute Surveillance, Epidemiology, and End Results Program’s (NIH SEER) database, secondary claims data analytics and management assumptions, the high-risk BCG-unresponsive NMIBC segment may represent up to 25,000 addressable patients.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conducting a Phase 3 clinical trial, PIVOT-006, the first randomized registrational trial to evaluate an investigational adjuvant therapy in intermediate-risk NMIBC assessing cretostimogene following transurethral resection of the bladder tumor (TURBT), with enrollment completed in the third quarter of 2025. These patients with intermediate-risk NMIBC are encumbered by frequent tumor recurrence that requires repeat resection of the bladder tumors. Moreover, intravesical BCG is no longer recommended by guidelines for this patient population due to the continuous BCG shortage. We believe cretostimogene, if approved in intermediate-risk NMIBC, has the potential to serve as a first-in-class backbone therapy in this frontline adjuvant setting, for which there are currently no U.S. FDA approved options. Based on internal research derived from NIH SEER database, secondary claims data analytics and management assumptions, the intermediate-risk NMIBC segment may represent up to 50,000 addressable patients.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have multiple ongoing Phase 2 trials designed to generate data in high-risk BCG-exposed and BCG-naïve patients. In October 2024, we initiated CORE-008 Cohort A, a Phase 2 clinical trial in high-risk NMIBC patients who are naïve to BCG treatment, including patients with CIS and with or without Ta/T1 disease and patients with only Ta/T1 disease. Based on internal research derived from NIH SEER database, secondary claims data analytics and management assumptions, the high-risk BCG-naïve NMIBC segment may represent up to 25,000 addressable patients. In March 2025, we expanded CORE-008 evaluating cretostimogene monotherapy in the high-risk BCG-exposed population (Cohort B). In addition, in April 2025, we initiated a third Cohort (Cohort CX), evaluating cretostimogene in combination with gemcitabine in both the high-risk BCG-exposed and BCG-unresponsive population. Notably, cretostimogene’s potential for combination with other therapies was assessed in a Phase 2 CORE-001 clinical trial evaluating cretostimogene in combination with the checkpoint inhibitor (CPI) pembrolizumab in high-risk BCG-unresponsive NMIBC patients. In May 2026, first results from CORE-008 Cohort CX data were presented at the Society of Urologic Oncology (SUO) session at the American Urological Association (AUA) 2026 Annual Meeting. As of the March 13, 2026 cut off, the data included a favorable safety and tolerability profile and an overall high-grade event-free survival (HG-EFS) of 96.0% at 3 months and 89.5% at 6 months, with a a median follow-up of 6.6 months, in the overall intent-to-treat (ITT) population. There were no statistically significant differences in HG-EFS across concurrent and sequential treatment arms. High CR rates at any time were observed in the CIS-containing population with 85.7% and 92.3% in the ITT and Efficacy Evaluable population, respectively. Based on internal research derived from NIH SEER database, secondary claims data analytics and management assumptions, the high-risk BCG-exposed NMIBC segment may represent up to 50,000 addressable patients.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and negative cash flows from operations since our inception. Our net losses were $139.3 million and $75.9 million for the six months ended June 30, 2026 and 2025, respectively. As of June 30, 2026, we had an accumulated deficit of $518.2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primarily funded our operations with proceeds from the sale of shares of our common stock through public offerings and our redeemable convertible preferred stock, as well as through previously outstanding term debt. </w:t>
      </w:r>
    </w:p>
    <w:p>
      <w:pPr>
        <w:pStyle w:val="TextBody"/>
        <w:bidi w:val="0"/>
        <w:spacing w:before="120" w:after="283"/>
        <w:jc w:val="both"/>
        <w:rPr>
          <w:rFonts w:ascii="Times New Roman" w:hAnsi="Times New Roman"/>
          <w:sz w:val="20"/>
        </w:rPr>
      </w:pPr>
      <w:r>
        <w:rPr>
          <w:rFonts w:ascii="Times New Roman" w:hAnsi="Times New Roman"/>
          <w:color w:val="231F20"/>
          <w:sz w:val="20"/>
        </w:rPr>
        <w:t>T</w:t>
      </w:r>
      <w:r>
        <w:rPr>
          <w:rFonts w:ascii="Times New Roman" w:hAnsi="Times New Roman"/>
          <w:color w:val="000000"/>
          <w:sz w:val="20"/>
        </w:rPr>
        <w:t>hrough June 30, 2026, we have received aggregate gross proceeds of approximately $1,532.9 million from the sale of shares of our common stock from our initial public offering, our follow-on offering in December 2024, and our at-the-market facility, and sales of redeemable convertible preferred stock. In addition, through June 30, 2026, we have recognized $26.9 million in license and collaboration revenue pursuant to our license and collaboration agreements. As of June 30, 2026, we had cash, cash equivalents and marketable securities of $1,028.3 million.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In February 2025, the Company's wholly owned subsidiary, SafeGuard Healthcare, LLC (SafeGuard), </w:t>
      </w:r>
      <w:r>
        <w:rPr>
          <w:rFonts w:ascii="Times New Roman" w:hAnsi="Times New Roman"/>
          <w:color w:val="000000"/>
          <w:sz w:val="20"/>
        </w:rPr>
        <w:t xml:space="preserve">purchased a $26.8 million convertible note, including accrued interest, from SP Healthcare SPV I, LLC (the SPV). The SPV used the proceeds from the Note to invest and acquire substantially all of the assets of Biovire, Inc. (Biovire), a contract manufacturing organization that produces cretostimogene for </w:t>
      </w:r>
      <w:r>
        <w:rPr>
          <w:rFonts w:ascii="Times New Roman" w:hAnsi="Times New Roman"/>
          <w:color w:val="231F20"/>
          <w:sz w:val="20"/>
        </w:rPr>
        <w:t>the Company. In July 2025, SafeGuard converted the Note (the Conversion Event) and obtained control of both the SPV and Biovire. As a result of this change in control, the operations of Biovire were consolidated as of the effective date of the conversion.</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We believe, based on our current operating plan, that our existing cash, cash equivalents and marketable securities, will be sufficient to fund our operations for at least the next twelve months from the date of this Quarterly Report. </w:t>
      </w:r>
      <w:r>
        <w:rPr>
          <w:rFonts w:ascii="Times New Roman" w:hAnsi="Times New Roman"/>
          <w:color w:val="000000"/>
          <w:sz w:val="20"/>
        </w:rPr>
        <w:t xml:space="preserve">However, we have based this estimate on assumptions that may prove to be wrong, and our operating plan may change as a result of many factors currently unknown </w:t>
      </w:r>
      <w:r>
        <w:rPr>
          <w:rFonts w:ascii="Times New Roman" w:hAnsi="Times New Roman"/>
          <w:color w:val="231F20"/>
          <w:sz w:val="20"/>
        </w:rPr>
        <w:t>to us. In addition, we could utilize our available capital resources sooner than we expect.</w:t>
      </w:r>
    </w:p>
    <w:p>
      <w:pPr>
        <w:pStyle w:val="TextBody"/>
        <w:bidi w:val="0"/>
        <w:spacing w:before="120" w:after="283"/>
        <w:jc w:val="both"/>
        <w:rPr>
          <w:rFonts w:ascii="Times New Roman" w:hAnsi="Times New Roman"/>
          <w:sz w:val="20"/>
        </w:rPr>
      </w:pPr>
      <w:r>
        <w:rPr>
          <w:rFonts w:ascii="Times New Roman" w:hAnsi="Times New Roman"/>
          <w:color w:val="231F20"/>
          <w:sz w:val="20"/>
        </w:rPr>
        <w:t>We will not generate revenue from product sales of cretostimogene or any future product candidates unless and until we successfully complete clinical development and obtain regulatory approval, which we expect will take a number of years and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For example, we may seek to raise additional capital through our Open Market Sale Agreement</w:t>
      </w:r>
      <w:r>
        <w:rPr>
          <w:rFonts w:ascii="Times New Roman" w:hAnsi="Times New Roman"/>
          <w:color w:val="231F20"/>
          <w:sz w:val="9"/>
        </w:rPr>
        <w:t>SM</w:t>
      </w:r>
      <w:r>
        <w:rPr>
          <w:rFonts w:ascii="Times New Roman" w:hAnsi="Times New Roman"/>
          <w:color w:val="231F20"/>
          <w:sz w:val="20"/>
        </w:rPr>
        <w:t xml:space="preserve"> (Jefferies Sales Agreement) with Jefferies LLC, pursuant to which we may issue and sell up to an additional $500.0 million shares of our common stock.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Other than Biovire, which manufactures and conducts release testing of our cretostimogene drug product, we do not own or operate any manufacturing facilities. We rely, and expect to continue to rely, on Biovire and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License and Collaboration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is a summary of the key terms for certain of our license and collaboration agreements. For a more detailed description of these agreements, see the section titled “Business—License and Collaboration Agreements” in our 2025 Annual Report.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Lepu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2019, we entered into a development and license agreement (the Lepu License Agreement) with Lepu Biotech Co., Ltd. (Lepu), under which we granted an exclusive license to Lepu to develop, manufacture and commercialize cretostimogene and/or DDM to treat and/or prevent cancer in the Lepu Territory. 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During the three and six months ended June 30, 2026 and 2025, we did not recognize any license and collaboration revenue related to the Lepu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Kissei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2020, and as amended September 2022, we entered into a license and collaboration agreement (the Kissei License Agreement) with Kissei Pharmaceutical Co., Ltd.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pay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each of the three and six months ended June 30, 2026 and the six months ended June 30, 2025, less than $0.1 million in license and collaboration revenue was recorded related to the Kissei License Agreement. We did not recognize any license and collaboration revenue related to the Kissei License Agreement during the three months ended June 30,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License and 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June 30, 2026, we have recognized $26.9 million in license and collaboration revenue through our license and collaboration agreements. We have not generated any revenue from the sale of our cretostimogene products, however, and do not expect to generate any revenue from the sale of our cretostimogene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Commercial and Development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Conversion Event, we obtained control of the SPV and its subsidiary, Biovire, a contract manufacturer specializing in the fill and finish of novel drugs and medical devices for pharmaceutical and biotech companies. Our commercial and development revenue consists of Biovire's fill and finish of novel drugs and medical devices.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costs and expenses consist of (i) cost of sales, (ii) research and development expenses and (iii) general and administrative expenses.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sales reflects the direct cost of labor and other overhead, which includes direct manufacturing, production, and packaging materials for commercial and development product sales.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(R&amp;D) expenses consist primarily of external and internal costs incurred in performing clinical and preclinical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R&amp;D expenses consist of:</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costs incurred under agreements with contract research organizations (CROs), contract manufacturers, consultants and other third parties to conduct and support our clinical trials and preclinical studies;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 costs, including R&amp;D personnel-related expenses such as salaries, stock-based compensation and benefits, as well as allocated facilities costs and dues and subscriptions.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trials required for approval;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sites included in the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length of time required to enroll eligible patients;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that participate in the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doses that patients receive;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drop-out or discontinuation rates of patients;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additional safety monitoring requested by regulatory agencies;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duration of patient participation in the trials and follow-up;</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manufacturing cretostimogene and any future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if any, of obtaining third-party drugs for use in our combination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of changes in government regulation and regulatory guidance;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and safety profile of cretostimogene and any future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receipt, and terms of any approvals from applicable regulatory authorities;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establish additional collaboration, license, or other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personnel-related expenses such as salaries, stock-based compensation and benefits, for our personnel in executive, legal, finance and accounting, human resources and other administrative functions. General and administrative expenses also include legal fees relating to patent and corporate matters and professional fees paid for accounting, auditing, consulting and tax services, as well as allocated facilities costs not otherwise included in R&amp;D expenses and other costs such as insurance costs and travel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(expense), net consists primarily of interest income related to interest earned on our invested cash equivalents and marketable securities balances. It also includes other miscellaneous items, such as interest expense and other items not related to our core operations. </w:t>
      </w:r>
    </w:p>
    <w:p>
      <w:pPr>
        <w:pStyle w:val="TextBody"/>
        <w:bidi w:val="0"/>
        <w:spacing w:before="36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(in thousands): </w:t>
      </w:r>
    </w:p>
    <w:p>
      <w:pPr>
        <w:pStyle w:val="TextBody"/>
        <w:bidi w:val="0"/>
        <w:spacing w:before="120" w:after="283"/>
        <w:jc w:val="both"/>
        <w:rPr/>
      </w:pPr>
      <w:r>
        <w:rPr/>
        <w:t> </w:t>
      </w:r>
    </w:p>
    <w:tbl>
      <w:tblPr>
        <w:tblW w:w="7861" w:type="dxa"/>
        <w:jc w:val="left"/>
        <w:tblInd w:w="0" w:type="dxa"/>
        <w:tblLayout w:type="fixed"/>
        <w:tblCellMar>
          <w:top w:w="28" w:type="dxa"/>
          <w:left w:w="28" w:type="dxa"/>
          <w:bottom w:w="28" w:type="dxa"/>
          <w:right w:w="28" w:type="dxa"/>
        </w:tblCellMar>
      </w:tblPr>
      <w:tblGrid>
        <w:gridCol w:w="3456"/>
        <w:gridCol w:w="146"/>
        <w:gridCol w:w="146"/>
        <w:gridCol w:w="216"/>
        <w:gridCol w:w="756"/>
        <w:gridCol w:w="170"/>
        <w:gridCol w:w="149"/>
        <w:gridCol w:w="216"/>
        <w:gridCol w:w="756"/>
        <w:gridCol w:w="166"/>
        <w:gridCol w:w="146"/>
        <w:gridCol w:w="211"/>
        <w:gridCol w:w="736"/>
        <w:gridCol w:w="5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and development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(79,056</w:t>
            </w:r>
          </w:p>
        </w:tc>
        <w:tc>
          <w:tcPr>
            <w:tcW w:w="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Commercial and Development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Commercial and development revenue was $1.1 million for the three months ended June 30, 2026 compared to zero for the three months ended June 30, 2025. As the Conversion Event occurred in July 2025, there was no corresponding commercial and development revenue in the prior period.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License and 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License and collaboration revenue was less than $0.1 million for the three months ended June 30, 2026 compared to zero the three months ended June 30, 2025. All revenue recognized was related to the Kissei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sales was $3.9 million for the three months ended June 30, 2026 compared to zero for the three months ended June 30, 2025. As the Conversion Event occurred in July 2025, there was no corresponding costs in the prior period. </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R&amp;D expenses for the three months ended June 30, 2026 and 2025 (in thousands): </w:t>
      </w:r>
    </w:p>
    <w:p>
      <w:pPr>
        <w:pStyle w:val="TextBody"/>
        <w:bidi w:val="0"/>
        <w:spacing w:before="120" w:after="283"/>
        <w:jc w:val="both"/>
        <w:rPr/>
      </w:pPr>
      <w:r>
        <w:rPr/>
        <w:t> </w:t>
      </w:r>
    </w:p>
    <w:tbl>
      <w:tblPr>
        <w:tblW w:w="7696" w:type="dxa"/>
        <w:jc w:val="left"/>
        <w:tblInd w:w="0" w:type="dxa"/>
        <w:tblLayout w:type="fixed"/>
        <w:tblCellMar>
          <w:top w:w="28" w:type="dxa"/>
          <w:left w:w="28" w:type="dxa"/>
          <w:bottom w:w="28" w:type="dxa"/>
          <w:right w:w="28" w:type="dxa"/>
        </w:tblCellMar>
      </w:tblPr>
      <w:tblGrid>
        <w:gridCol w:w="3696"/>
        <w:gridCol w:w="146"/>
        <w:gridCol w:w="231"/>
        <w:gridCol w:w="741"/>
        <w:gridCol w:w="160"/>
        <w:gridCol w:w="160"/>
        <w:gridCol w:w="231"/>
        <w:gridCol w:w="741"/>
        <w:gridCol w:w="146"/>
        <w:gridCol w:w="146"/>
        <w:gridCol w:w="211"/>
        <w:gridCol w:w="676"/>
        <w:gridCol w:w="41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clinical trial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54,657</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R&amp;D expenses were $54.7 million for the three months ended June 30, 2026 compared to $31.3 million for the three months ended June 30, 2025. The increase of $23.3 million in R&amp;D expenses for the three months ended June 30, 2026 was primarily due to an increase of $21.3 million in external clinical trial expenses related to higher Chemistry, Manufacturing, and Controls (CMC) costs, as well as an increase of $2.7 million in compensation costs due to increased headcount, including a $0.8 million increase in stock-based compensation, partially offset by a decrease in other research and development costs of $0.6 million.</w:t>
      </w:r>
    </w:p>
    <w:p>
      <w:pPr>
        <w:pStyle w:val="TextBody"/>
        <w:bidi w:val="0"/>
        <w:spacing w:before="36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three months ended June 30, 2026 and 2025 (in thousands): </w:t>
      </w:r>
    </w:p>
    <w:p>
      <w:pPr>
        <w:pStyle w:val="TextBody"/>
        <w:bidi w:val="0"/>
        <w:jc w:val="both"/>
        <w:rPr/>
      </w:pPr>
      <w:r>
        <w:rPr/>
        <w:t> </w:t>
      </w:r>
    </w:p>
    <w:tbl>
      <w:tblPr>
        <w:tblW w:w="7721" w:type="dxa"/>
        <w:jc w:val="left"/>
        <w:tblInd w:w="0" w:type="dxa"/>
        <w:tblLayout w:type="fixed"/>
        <w:tblCellMar>
          <w:top w:w="28" w:type="dxa"/>
          <w:left w:w="28" w:type="dxa"/>
          <w:bottom w:w="28" w:type="dxa"/>
          <w:right w:w="28" w:type="dxa"/>
        </w:tblCellMar>
      </w:tblPr>
      <w:tblGrid>
        <w:gridCol w:w="3741"/>
        <w:gridCol w:w="146"/>
        <w:gridCol w:w="231"/>
        <w:gridCol w:w="741"/>
        <w:gridCol w:w="160"/>
        <w:gridCol w:w="160"/>
        <w:gridCol w:w="231"/>
        <w:gridCol w:w="741"/>
        <w:gridCol w:w="146"/>
        <w:gridCol w:w="146"/>
        <w:gridCol w:w="211"/>
        <w:gridCol w:w="676"/>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General and administrative expenses were $29.0 million for the three months ended June 30, 2026 compared to $17.4 million for the three months ended June 30, 2025. The increase of $11.6 million in general and administrative expenses for the three months ended June 30, 2026 was primarily due to an increase in compensation costs of $10.9 million due to increased headcount, including a $6.5 million increase in stock-based compensation, and an increase in other general fees and costs of $2.0 million, partially offset by a decrease in professional and consultant fees of $1.3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was an other income of $7.3 million for each of the three months ended June 30, 2026 and the three months ended June 30, 2025. The other income remained consistent primarily due to an increase in interest income earned related to cash equivalents and marketable securities balances, offset by interest expense in the current period related to debt acquired through SPV and Biovire, with no corresponding interest expense in the prior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(in thousands): </w:t>
      </w:r>
    </w:p>
    <w:p>
      <w:pPr>
        <w:pStyle w:val="TextBody"/>
        <w:bidi w:val="0"/>
        <w:spacing w:before="120" w:after="283"/>
        <w:jc w:val="both"/>
        <w:rPr/>
      </w:pPr>
      <w:r>
        <w:rPr/>
        <w:t> </w:t>
      </w:r>
    </w:p>
    <w:tbl>
      <w:tblPr>
        <w:tblW w:w="7929" w:type="dxa"/>
        <w:jc w:val="left"/>
        <w:tblInd w:w="0" w:type="dxa"/>
        <w:tblLayout w:type="fixed"/>
        <w:tblCellMar>
          <w:top w:w="28" w:type="dxa"/>
          <w:left w:w="28" w:type="dxa"/>
          <w:bottom w:w="28" w:type="dxa"/>
          <w:right w:w="28" w:type="dxa"/>
        </w:tblCellMar>
      </w:tblPr>
      <w:tblGrid>
        <w:gridCol w:w="3456"/>
        <w:gridCol w:w="146"/>
        <w:gridCol w:w="146"/>
        <w:gridCol w:w="211"/>
        <w:gridCol w:w="841"/>
        <w:gridCol w:w="166"/>
        <w:gridCol w:w="146"/>
        <w:gridCol w:w="211"/>
        <w:gridCol w:w="736"/>
        <w:gridCol w:w="166"/>
        <w:gridCol w:w="146"/>
        <w:gridCol w:w="211"/>
        <w:gridCol w:w="736"/>
        <w:gridCol w:w="6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and development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Commercial and Development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Commercial and development revenue was $2.2 million for the six months ended June 30, 2026 compared to zero for the six months ended June 30, 2025. As the Conversion Event occurred in July 2025, there was no corresponding commercial and development revenue in the prior period.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License and 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License and collaboration revenue was less than $0.1 million for each of the six months ended June 30, 2026 and 2025. All revenue recognized during both periods was related to the Kissei License Agreement.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sales was $6.9 million for the six months ended June 30, 2026 compared to zero for the six months ended June 30, 2025. As the Conversion Event occurred in July 2025, there was no corresponding costs in the prior period. </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R&amp;D expenses for the six months ended June 30, 2026 and 2025 (in thousands): </w:t>
      </w:r>
    </w:p>
    <w:p>
      <w:pPr>
        <w:pStyle w:val="TextBody"/>
        <w:bidi w:val="0"/>
        <w:jc w:val="both"/>
        <w:rPr/>
      </w:pPr>
      <w:r>
        <w:rPr/>
        <w:t> </w:t>
      </w:r>
    </w:p>
    <w:tbl>
      <w:tblPr>
        <w:tblW w:w="7500" w:type="dxa"/>
        <w:jc w:val="left"/>
        <w:tblInd w:w="0" w:type="dxa"/>
        <w:tblLayout w:type="fixed"/>
        <w:tblCellMar>
          <w:top w:w="28" w:type="dxa"/>
          <w:left w:w="28" w:type="dxa"/>
          <w:bottom w:w="28" w:type="dxa"/>
          <w:right w:w="28" w:type="dxa"/>
        </w:tblCellMar>
      </w:tblPr>
      <w:tblGrid>
        <w:gridCol w:w="3696"/>
        <w:gridCol w:w="146"/>
        <w:gridCol w:w="211"/>
        <w:gridCol w:w="677"/>
        <w:gridCol w:w="146"/>
        <w:gridCol w:w="146"/>
        <w:gridCol w:w="211"/>
        <w:gridCol w:w="677"/>
        <w:gridCol w:w="146"/>
        <w:gridCol w:w="146"/>
        <w:gridCol w:w="211"/>
        <w:gridCol w:w="676"/>
        <w:gridCol w:w="41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clinical trial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R&amp;D expenses were $98.4 million for the six months ended June 30, 2026 compared to $58.8 million for the six months ended June 30, 2025. The increase of $39.6 million in R&amp;D expenses for the six months ended June 30, 2026 was primarily due to an increase of $35.8 million in external clinical trial expenses related to higher CMC costs, as well as an increase of $4.8 million in compensation costs due to increased headcount, including a $1.7 million increase in stock-based compensation, partially offset by a decrease in other research and development costs of $1.0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six months ended June 30, 2026 and 2025 (in thousands): </w:t>
      </w:r>
    </w:p>
    <w:p>
      <w:pPr>
        <w:pStyle w:val="TextBody"/>
        <w:bidi w:val="0"/>
        <w:jc w:val="both"/>
        <w:rPr/>
      </w:pPr>
      <w:r>
        <w:rPr/>
        <w:t> </w:t>
      </w:r>
    </w:p>
    <w:tbl>
      <w:tblPr>
        <w:tblW w:w="7525" w:type="dxa"/>
        <w:jc w:val="left"/>
        <w:tblInd w:w="0" w:type="dxa"/>
        <w:tblLayout w:type="fixed"/>
        <w:tblCellMar>
          <w:top w:w="28" w:type="dxa"/>
          <w:left w:w="28" w:type="dxa"/>
          <w:bottom w:w="28" w:type="dxa"/>
          <w:right w:w="28" w:type="dxa"/>
        </w:tblCellMar>
      </w:tblPr>
      <w:tblGrid>
        <w:gridCol w:w="3741"/>
        <w:gridCol w:w="146"/>
        <w:gridCol w:w="211"/>
        <w:gridCol w:w="677"/>
        <w:gridCol w:w="146"/>
        <w:gridCol w:w="146"/>
        <w:gridCol w:w="211"/>
        <w:gridCol w:w="677"/>
        <w:gridCol w:w="146"/>
        <w:gridCol w:w="146"/>
        <w:gridCol w:w="211"/>
        <w:gridCol w:w="676"/>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General and administrative expenses were $49.8 million for the six months ended June 30, 2026 compared to $32.2 million for the six months ended June 30, 2025. The increase of $17.6 million in general and administrative expenses for the six months ended June 30, 2026 was primarily due to an increase in compensation costs of $13.6 million due to increased headcount, including a $7.0 million increase in stock-based compensation, an increase in other general fees and costs of $2.7 million, and an increase in professional and consultant fees of $1.2 million, partially offset by a decrease in marketing-related costs of $0.3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for the six months ended June 30, 2026 was an other income, net of $13.5 million compared to $15.1 million for the six months ended June 30, 2025. The $1.5 million decrease was primarily due to a decrease in interest income earned related to cash equivalents and marketable securities balances, as well as interest expense in the current period related to debt acquired through SPV and Biovire, with no corresponding interest expense in the prior period.</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not generated any revenue from product sales of cretostimogene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common stock through public offerings and our redeemable convertible preferred stock, as well as through previously outstanding term debt. Through June 30, 2026, we have received aggregate gross proceeds of $1,532.9 million from the sale of shares of our common stock through our public offerings and our redeemable convertible preferred stock. In addition, through June 30, 2026, we have recognized $26.9 million in license and collaboration revenue through our license and collaboration agreements. As of June 30, 2026, we had cash, cash equivalents and marketable securities of $1,028.3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360" w:after="283"/>
        <w:jc w:val="both"/>
        <w:rPr>
          <w:rFonts w:ascii="Times New Roman" w:hAnsi="Times New Roman"/>
          <w:sz w:val="20"/>
        </w:rPr>
      </w:pPr>
      <w:r>
        <w:rPr>
          <w:rFonts w:ascii="Times New Roman" w:hAnsi="Times New Roman"/>
          <w:color w:val="000000"/>
          <w:sz w:val="20"/>
        </w:rPr>
        <w:t xml:space="preserve">On March 28, 2025, we entered into the Jefferies Sales Agreement with Jefferies LLC, as agent, pursuant to which we may offer and sell, from time to time through Jefferies, shares of our common stock. On the same day, we filed a shelf registration statement on Form S-3ASR with the SEC, which contains a base prospectus, covering an unlimited amount of our common stock, preferred stock, debt securities and warrants to purchase any of such securities, and a sales agreement prospectus, which we subsequently amended on January 13, 2026 and on August 6, 2026, covering the offering, issuance and sale of up to a maximum aggregate offering of $1.05 million of our common stock that may be issued and sold from time to time under the Jefferies Sales Agreement. </w:t>
      </w:r>
      <w:r>
        <w:rPr>
          <w:rFonts w:ascii="Times New Roman" w:hAnsi="Times New Roman"/>
          <w:color w:val="231F20"/>
          <w:sz w:val="20"/>
        </w:rPr>
        <w:t xml:space="preserve">As of June 30, 2026, we have received gross proceeds of $550.0 million and net aggregate proceeds of $538.5 million under the Jefferies Sales Agreement, after deducting discounts and commissions and other offering expenses. </w:t>
      </w:r>
      <w:r>
        <w:rPr>
          <w:rFonts w:ascii="Times New Roman" w:hAnsi="Times New Roman"/>
          <w:color w:val="000000"/>
          <w:sz w:val="20"/>
        </w:rPr>
        <w:t>During the six months ended June 30, 2026, 6,941,407 shares were sold under the Jefferies Sales Agreement, at a weighted-average price of $57.56 per share, and the Company received net proceeds of $391.4 million, after deducting discounts and commissions and other offering expenses.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Effects of Inflation</w:t>
      </w:r>
    </w:p>
    <w:p>
      <w:pPr>
        <w:pStyle w:val="TextBody"/>
        <w:bidi w:val="0"/>
        <w:spacing w:before="360" w:after="283"/>
        <w:jc w:val="both"/>
        <w:rPr>
          <w:rFonts w:ascii="Times New Roman" w:hAnsi="Times New Roman"/>
          <w:color w:val="231F20"/>
          <w:sz w:val="20"/>
        </w:rPr>
      </w:pPr>
      <w:r>
        <w:rPr>
          <w:rFonts w:ascii="Times New Roman" w:hAnsi="Times New Roman"/>
          <w:color w:val="231F20"/>
          <w:sz w:val="20"/>
        </w:rPr>
        <w:t>Inflation could affect us by increasing our cost of labor and R&amp;D costs. We do not believe inflation has had a material effect on our business, financial condition or results of operations, or on our unaudited condensed consolidated financial statements included elsewhere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engage in potential strategic transactions, expand and protect our intellectual property, and incur additional costs associated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obtaining, maintaining, enforcing and protecting our patents and other intellectual property and proprietary rights;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enhance operational systems and hire additional personnel to satisfy our obligations as a public company, including enhanced internal control over financial reporting;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hiring additional personnel and consultants as our business grows, including additional executive officers and clinical development, regulatory, CMC quality and commercial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payment of milestone, royalty or other payments we must make pursuant to our existing and potential future license or collaboration agreements with third parties;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establishing or securing sales and marketing capabilities if cretostimogene or any future product candidate is approved;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achieve sufficient market acceptance, coverage, and adequate reimbursement from third- party payors and adequate market share and revenue for any approved products;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and strategic decision to develop future product candidates other than cretostimogene, and the timing of such development, if any;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willingness to pay out-of-pocket for any approved products in the absence of coverage and/or adequate reimbursement from third-party payors;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establishing and maintaining collaborations, licenses and other similar arrangements;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any products or technologies or businesses that we may in-license or acquire.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upon our current operating plan, we believe that our existing cash, cash equivalents and marketable securities, will be sufficient to fund our operations for at least the next twelve months from the date of this Quarterly Report. However, we have based this estimate on assumptions that may prove to be wrong, and our operating plan may change as a result of many factors currently unknown to us. In addition, we could utilize our available capital resources sooner than we expect.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2026, there have been no material changes outside of the ordinary course of business in the composition to the material contractual obligations or commitments discussed in “Management’s Discussion and Analysis of Financial Condition and Results of Operations – Contractual Obligations and Other Commitments” included in the 2025 Annual Report.</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six months ended June 30, 2026 and 2025 (in thousands): </w:t>
      </w:r>
    </w:p>
    <w:p>
      <w:pPr>
        <w:pStyle w:val="TextBody"/>
        <w:bidi w:val="0"/>
        <w:jc w:val="both"/>
        <w:rPr/>
      </w:pPr>
      <w:r>
        <w:rPr/>
        <w:t> </w:t>
      </w:r>
    </w:p>
    <w:tbl>
      <w:tblPr>
        <w:tblW w:w="7514" w:type="dxa"/>
        <w:jc w:val="left"/>
        <w:tblInd w:w="0" w:type="dxa"/>
        <w:tblLayout w:type="fixed"/>
        <w:tblCellMar>
          <w:top w:w="28" w:type="dxa"/>
          <w:left w:w="28" w:type="dxa"/>
          <w:bottom w:w="28" w:type="dxa"/>
          <w:right w:w="28" w:type="dxa"/>
        </w:tblCellMar>
      </w:tblPr>
      <w:tblGrid>
        <w:gridCol w:w="4741"/>
        <w:gridCol w:w="146"/>
        <w:gridCol w:w="211"/>
        <w:gridCol w:w="841"/>
        <w:gridCol w:w="166"/>
        <w:gridCol w:w="146"/>
        <w:gridCol w:w="211"/>
        <w:gridCol w:w="841"/>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operating activities used $103.4 million of cash, primarily resulting from our net loss of $139.3 million, as well as net cash used by changes in our operating assets and liabilities of $8.6 million, partially offset by non-cash stock-based compensation charges of $20.8 million and other non-cash operating adjustments of $6.5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2025, operating activities used $57.2 million of cash, primarily resulting from our net loss of $75.9 million, accretion of the discount on short-term investments of $2.2 million, partially offset by $12.2 million of non-cash stock-based compensation charges and net cash used in changes in our operating assets and liabilities of $9.1 million.</w:t>
      </w:r>
    </w:p>
    <w:p>
      <w:pPr>
        <w:pStyle w:val="TextBody"/>
        <w:bidi w:val="0"/>
        <w:spacing w:before="36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used in investing activities was $304.4 million, primarily due to $783.4 million of purchases of marketable securities, partially offset by proceeds from sales and maturities of short-term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2025, net cash used in investing activities was $185.4 million, primarily due to purchases of marketable securities offset by proceeds from sales and maturities of short-term investments and the issuance of a note receivable through a convertible promissory note in the principal amount of $26.0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provided by financing activities was $394.9 million, consisting primarily of proceeds of $391.4 million from the sale of our common stock pursuant to the Jefferies Sales Agreement, net of issuance costs, and net proceeds from exercise of options of $3.6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2025, net cash provided by financing activities was $0.2 million, consisting primarily of proceeds from exercise of options of $0.7 million, partially offset by stock issuance costs of $0.5 million.</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unaudited condensed consolidated financial statements are prepared in accordance with U.S. generally accepted accounting principles in the United States. The preparation of our unaudited condensed consolidated financial statements and related disclosures requires us to make estimates and judgments that affect the reported amounts of assets, liabilities, costs and expenses, and the disclosure of contingent assets and liabilities in our unaudited condensed consolidated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those described in “Management’s Discussion and Analysis of Financial Condition and Results of Operations – Critical Accounting Policies and Significant Judgments and Estimates” included in the 2025 Annual Report.</w:t>
      </w:r>
    </w:p>
    <w:p>
      <w:pPr>
        <w:pStyle w:val="TextBody"/>
        <w:bidi w:val="0"/>
        <w:spacing w:before="360" w:after="283"/>
        <w:jc w:val="both"/>
        <w:rPr>
          <w:rFonts w:ascii="Times New Roman" w:hAnsi="Times New Roman"/>
          <w:sz w:val="20"/>
        </w:rPr>
      </w:pPr>
      <w:r>
        <w:rPr>
          <w:rFonts w:ascii="Times New Roman" w:hAnsi="Times New Roman"/>
          <w:b/>
          <w:color w:val="000000"/>
          <w:sz w:val="20"/>
        </w:rPr>
        <w:t>Recently Issued Accounting Standards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description of recently issued accounting standards that may potentially impact our financial position, results of operations and cash flows is included in Note 2 to our unaudited condensed consolidated financial statements included elsewhere in this Quarterly Report. </w:t>
      </w:r>
    </w:p>
    <w:p>
      <w:pPr>
        <w:pStyle w:val="TextBody"/>
        <w:bidi w:val="0"/>
        <w:spacing w:before="360" w:after="283"/>
        <w:jc w:val="both"/>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For the Company’s disclosures about market risk, please see “Part II, Item 7A, Quantitative and Qualitative Disclosures About Market Risk” in our 2025 Annual Report filed with the SEC. There have been no material changes to the Company’s disclosures about market risk in Part II—Item 7A of our 2025 Annual Report.</w:t>
      </w:r>
    </w:p>
    <w:p>
      <w:pPr>
        <w:pStyle w:val="TextBody"/>
        <w:bidi w:val="0"/>
        <w:spacing w:before="360" w:after="283"/>
        <w:jc w:val="both"/>
        <w:rPr>
          <w:rFonts w:ascii="Times New Roman" w:hAnsi="Times New Roman"/>
          <w:b/>
          <w:color w:val="000000"/>
          <w:sz w:val="20"/>
        </w:rPr>
      </w:pPr>
      <w:bookmarkStart w:id="11" w:name="item_4_controls_and_procedure"/>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sz w:val="20"/>
        </w:rPr>
      </w:pPr>
      <w:r>
        <w:rPr>
          <w:rFonts w:ascii="Times New Roman" w:hAnsi="Times New Roman"/>
          <w:b/>
          <w:color w:val="000000"/>
          <w:sz w:val="20"/>
        </w:rPr>
        <w:t>Conclusion Regarding the Effectiveness of Disclosure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principal executive officer and our principal financial officer, conducted an evaluation of the effectiveness of the design and operation of our disclosure controls and procedures as defined in Rules 13a-15(e) and 15d-15(e) under the Exchange Act as of the end of the period covered by this Quarterly Report. Based on such evaluation, our principal executive officer and our principal financial officer have concluded that as of such date, our disclosure controls and procedures were effective at the reasonable assurance level.</w:t>
      </w:r>
    </w:p>
    <w:p>
      <w:pPr>
        <w:pStyle w:val="TextBody"/>
        <w:bidi w:val="0"/>
        <w:spacing w:before="360" w:after="283"/>
        <w:jc w:val="both"/>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three months ended June 30, 2026, that have materially affected, or are reasonably likely to materially affect, our internal control over financial reporting.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Inherent Limitations of Internal Controls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subject to other legal proceedings. Regardless of outcome, litigation can have an adverse impact on us because of defense and settlement costs, diversion of management resources, and other factors. Other than the below, there have been no material developments to the legal proceedings previously disclosed in Part II, Item 1, "Legal Proceedings" in our 2025 Annual Report.</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4, 2024, ANI Pharmaceuticals, Inc. (ANI) filed a complaint against the Company in the Superior Court of the State of Delaware seeking (i) a declaratory judgment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and subject to the outcome of any post-trial motions or appeals brought by ANI, the Company will not owe ANI a future royalty of 5% on commercial sales of cretostimogene, no damages have been awarded to ANI, and there are no further payments due to ANI under the ANI Agreement. On April 10, 2026, the Superior Court heard oral arguments from ANI and the Company on pending post-trial motions submitted by the Company and ANI, which included (i) ANI’s Motion for Judgment as a Matter of Law; (ii) ANI’s Motion to Unseal Trial Exhibits; and (iii) the Company’s Motion for Costs. On July 16, 2026, the Superior Court issued an order denying ANI's motions for a new trial and judgment as a matter of law. The Company will continue to vigorously defend any appeals brought by ANI.</w:t>
      </w:r>
    </w:p>
    <w:p>
      <w:pPr>
        <w:pStyle w:val="TextBody"/>
        <w:bidi w:val="0"/>
        <w:spacing w:before="120" w:after="283"/>
        <w:jc w:val="both"/>
        <w:rPr/>
      </w:pPr>
      <w:r>
        <w:rPr/>
        <w:t> </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material changes to our risk factors previously disclosed in Part I, Item 1A, “Risk Factors” of our 2025 Annual Report, filed with the SEC on February 27, 2026.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January 24, 2024, our registration statement on Form S-1 (File No. 333-276350) was declared effective by the SEC for our initial public offering. At the closing of our initial public offering on January 29, 2024, we sold 23,000,000 shares of common stock, which included the exercise in full by the underwriters of their option to purchase 3,000,000 additional shares, at an initial public offering price of $19.00 per share and received gross proceeds of $437.0 million, which resulted in net proceeds to us of approximately $399.6 million, after deducting underwriting discounts and commissions of approximately $30.6 million and offering-related transaction costs of approximately $6.8 million. As of June 30, 2026, we have used all of the net proceeds from our initial public offering for general corporate purposes, including to fund the research and development of cretostimogene, manufacturing and pre-commercial activities, and to fund a contract manufacturing organization that provides us with clinical supply of cretostimogene. There has been no material change in the planned use of proceeds from that described in the final prospectus for our initial public offering filed with the SEC pursuant to Rule 424(b)(4) under the Securities Act. </w:t>
      </w:r>
    </w:p>
    <w:p>
      <w:pPr>
        <w:pStyle w:val="TextBody"/>
        <w:bidi w:val="0"/>
        <w:spacing w:before="36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sz w:val="20"/>
        </w:rPr>
      </w:pPr>
      <w:bookmarkStart w:id="18" w:name="item_5_othe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our Section 16 officers (as defined in Rule 16a–1(f)) and directors may enter into Rule 10b5-1 or non-Rule 10b5-1 trading arrangements (as each such term is defined in Item 408 of Regulation S-K) for the purchase or sale of our securities. During the three months ended June 30, 2026, none of our officers or directors adopted, modified or terminated any such trading arrangements. </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7"/>
        <w:gridCol w:w="146"/>
        <w:gridCol w:w="5708"/>
        <w:gridCol w:w="146"/>
        <w:gridCol w:w="586"/>
        <w:gridCol w:w="146"/>
        <w:gridCol w:w="626"/>
        <w:gridCol w:w="146"/>
        <w:gridCol w:w="796"/>
        <w:gridCol w:w="146"/>
        <w:gridCol w:w="932"/>
      </w:tblGrid>
      <w:tr>
        <w:trPr/>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7"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0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01/18/24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01/02/24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01/18/24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Investors’ Rights Agreement, dated July 28, 2023, as amended, by and among the Registrant and certain of its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01/18/24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Employment Agreement dated April 13, 2026 between the Registrant and Jim DeTore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04/13/26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8" w:type="dxa"/>
            <w:tcBorders/>
            <w:tcMar>
              <w:top w:w="0" w:type="dxa"/>
              <w:left w:w="0" w:type="dxa"/>
              <w:bottom w:w="0" w:type="dxa"/>
              <w:right w:w="0" w:type="dxa"/>
            </w:tcMar>
            <w:vAlign w:val="center"/>
          </w:tcPr>
          <w:p>
            <w:pPr>
              <w:pStyle w:val="TableContents"/>
              <w:bidi w:val="0"/>
              <w:spacing w:before="0" w:after="283"/>
              <w:jc w:val="left"/>
              <w:rPr/>
            </w:pPr>
            <w:hyperlink w:anchor="ck0001991792-ex10_2.htm">
              <w:r>
                <w:rPr>
                  <w:rStyle w:val="InternetLink"/>
                  <w:rFonts w:ascii="Times New Roman" w:hAnsi="Times New Roman"/>
                  <w:color w:val="0000FF"/>
                  <w:sz w:val="20"/>
                  <w:u w:val="single"/>
                </w:rPr>
                <w:t>Separation Agreement dated May 20, 2026 between the Registrant and Ambaw Bellete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w:anchor="ck0001991792-ex31_1.htm">
              <w:r>
                <w:rPr>
                  <w:rStyle w:val="InternetLink"/>
                  <w:rFonts w:ascii="Times New Roman" w:hAnsi="Times New Roman"/>
                  <w:color w:val="0000FF"/>
                  <w:sz w:val="20"/>
                  <w:u w:val="single"/>
                </w:rPr>
                <w:t>Certification of Chief Executive Officer,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w:anchor="ck0001991792-ex31_2.htm">
              <w:r>
                <w:rPr>
                  <w:rStyle w:val="InternetLink"/>
                  <w:rFonts w:ascii="Times New Roman" w:hAnsi="Times New Roman"/>
                  <w:color w:val="0000FF"/>
                  <w:sz w:val="20"/>
                  <w:u w:val="single"/>
                </w:rPr>
                <w:t>Certification of Principal Financial Officer, as required by Rule 13a-14(a) or Rule 15d-14(a), as adopted pursuant to Section 302 of the Sarbanes-Oxley Act of 2002</w:t>
              </w:r>
            </w:hyperlink>
            <w:hyperlink w:anchor="ck0001991792-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w:anchor="ck0001991792-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pPr>
            <w:hyperlink w:anchor="ck0001991792-ex32_2.htm">
              <w:r>
                <w:rPr>
                  <w:rStyle w:val="InternetLink"/>
                  <w:rFonts w:ascii="Times New Roman" w:hAnsi="Times New Roman"/>
                  <w:color w:val="0000FF"/>
                  <w:sz w:val="20"/>
                  <w:u w:val="single"/>
                </w:rPr>
                <w:t>Certification of Principal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 Indicates management contract or compensatory plan.</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 This certification is not being filed for purposes of Section 18 of the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57" w:type="dxa"/>
        <w:jc w:val="left"/>
        <w:tblInd w:w="0" w:type="dxa"/>
        <w:tblLayout w:type="fixed"/>
        <w:tblCellMar>
          <w:top w:w="28" w:type="dxa"/>
          <w:left w:w="28" w:type="dxa"/>
          <w:bottom w:w="28" w:type="dxa"/>
          <w:right w:w="28" w:type="dxa"/>
        </w:tblCellMar>
      </w:tblPr>
      <w:tblGrid>
        <w:gridCol w:w="1846"/>
        <w:gridCol w:w="109"/>
        <w:gridCol w:w="406"/>
        <w:gridCol w:w="40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CG Oncology,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Arthur Kuan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Arthur Kuan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President and 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1846"/>
        <w:gridCol w:w="109"/>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Jim DeTore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Jim DeTore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u w:val="single"/>
        </w:rPr>
      </w:pPr>
      <w:bookmarkStart w:id="21" w:name="ck0001991792-ex10_2.htm"/>
      <w:bookmarkStart w:id="22" w:name="ksck0001991792ex10_2"/>
      <w:bookmarkEnd w:id="21"/>
      <w:bookmarkEnd w:id="22"/>
      <w:r>
        <w:rPr>
          <w:rFonts w:ascii="Arial" w:hAnsi="Arial"/>
          <w:color w:val="000000"/>
          <w:sz w:val="20"/>
          <w:u w:val="single"/>
        </w:rPr>
        <w:t>Exhibit 10.2</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Separation Agreement and Release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Separation Agreement and Release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made by and between Ambaw Bellete (“</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and CG Oncology,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(collectively referred to as the “</w:t>
      </w:r>
      <w:r>
        <w:rPr>
          <w:rFonts w:ascii="Times New Roman" w:hAnsi="Times New Roman"/>
          <w:b/>
          <w:i/>
          <w:color w:val="000000"/>
          <w:sz w:val="22"/>
        </w:rPr>
        <w:t>Parties</w:t>
      </w:r>
      <w:r>
        <w:rPr>
          <w:rFonts w:ascii="Times New Roman" w:hAnsi="Times New Roman"/>
          <w:color w:val="000000"/>
          <w:sz w:val="20"/>
        </w:rPr>
        <w:t xml:space="preserve">” </w:t>
      </w:r>
      <w:r>
        <w:rPr>
          <w:rFonts w:ascii="Times New Roman" w:hAnsi="Times New Roman"/>
          <w:color w:val="000000"/>
          <w:sz w:val="22"/>
        </w:rPr>
        <w:t>or individually referred to as a “</w:t>
      </w:r>
      <w:r>
        <w:rPr>
          <w:rFonts w:ascii="Times New Roman" w:hAnsi="Times New Roman"/>
          <w:b/>
          <w:i/>
          <w:color w:val="000000"/>
          <w:sz w:val="22"/>
        </w:rPr>
        <w:t>Party</w:t>
      </w:r>
      <w:r>
        <w:rPr>
          <w:rFonts w:ascii="Times New Roman" w:hAnsi="Times New Roman"/>
          <w:color w:val="000000"/>
          <w:sz w:val="20"/>
        </w:rPr>
        <w:t>”</w:t>
      </w:r>
      <w:r>
        <w:rPr>
          <w:rFonts w:ascii="Times New Roman" w:hAnsi="Times New Roman"/>
          <w:color w:val="000000"/>
          <w:sz w:val="22"/>
        </w:rPr>
        <w:t>). Capitalized terms used but not defined in this Agreement shall have the meanings set forth in the Employment Agreement (as defined below).</w:t>
      </w:r>
    </w:p>
    <w:p>
      <w:pPr>
        <w:pStyle w:val="TextBody"/>
        <w:bidi w:val="0"/>
        <w:jc w:val="both"/>
        <w:rPr>
          <w:rFonts w:ascii="Times New Roman" w:hAnsi="Times New Roman"/>
          <w:sz w:val="20"/>
        </w:rPr>
      </w:pPr>
      <w:r>
        <w:rPr>
          <w:rFonts w:ascii="Times New Roman" w:hAnsi="Times New Roman"/>
          <w:color w:val="000000"/>
          <w:sz w:val="22"/>
        </w:rPr>
        <w:t>WHEREAS, the Parties have previously entered into that certain Amended and Restated Employment Agreement, effective as of January 9, 2025 (the “</w:t>
      </w:r>
      <w:r>
        <w:rPr>
          <w:rFonts w:ascii="Times New Roman" w:hAnsi="Times New Roman"/>
          <w:b/>
          <w:i/>
          <w:color w:val="000000"/>
          <w:sz w:val="22"/>
        </w:rPr>
        <w:t>Employment Agreement</w:t>
      </w:r>
      <w:r>
        <w:rPr>
          <w:rFonts w:ascii="Times New Roman" w:hAnsi="Times New Roman"/>
          <w:color w:val="000000"/>
          <w:sz w:val="20"/>
        </w:rPr>
        <w:t>”</w:t>
      </w:r>
      <w:r>
        <w:rPr>
          <w:rFonts w:ascii="Times New Roman" w:hAnsi="Times New Roman"/>
          <w:color w:val="000000"/>
          <w:sz w:val="22"/>
        </w:rPr>
        <w:t>) and that certain Restrictive Covenant Agreement (as defined in the Employment Agreement); and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WHEREAS, in connection with Executive’s termination of employment with the Company or a subsidiary or affiliate of the Company effective June 30, 2026 (the “</w:t>
      </w:r>
      <w:r>
        <w:rPr>
          <w:rFonts w:ascii="Times New Roman" w:hAnsi="Times New Roman"/>
          <w:b/>
          <w:i/>
          <w:color w:val="000000"/>
          <w:sz w:val="22"/>
        </w:rPr>
        <w:t>Termination Date</w:t>
      </w:r>
      <w:r>
        <w:rPr>
          <w:rFonts w:ascii="Times New Roman" w:hAnsi="Times New Roman"/>
          <w:color w:val="000000"/>
          <w:sz w:val="20"/>
        </w:rPr>
        <w:t>”</w:t>
      </w:r>
      <w:r>
        <w:rPr>
          <w:rFonts w:ascii="Times New Roman" w:hAnsi="Times New Roman"/>
          <w:color w:val="000000"/>
          <w:sz w:val="22"/>
        </w:rPr>
        <w:t>),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or liability insurance by the Company or any of its affiliates pursuant to contract or applicable law (collectively, the “</w:t>
      </w:r>
      <w:r>
        <w:rPr>
          <w:rFonts w:ascii="Times New Roman" w:hAnsi="Times New Roman"/>
          <w:b/>
          <w:i/>
          <w:color w:val="000000"/>
          <w:sz w:val="22"/>
        </w:rPr>
        <w:t>Retained Claims</w:t>
      </w:r>
      <w:r>
        <w:rPr>
          <w:rFonts w:ascii="Times New Roman" w:hAnsi="Times New Roman"/>
          <w:color w:val="000000"/>
          <w:sz w:val="20"/>
        </w:rPr>
        <w:t>”</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u w:val="single"/>
        </w:rPr>
        <w:t>Severance Payments and Benefits; Salary and Benefits</w:t>
      </w:r>
      <w:r>
        <w:rPr>
          <w:rFonts w:ascii="Times New Roman" w:hAnsi="Times New Roman"/>
          <w:color w:val="000000"/>
          <w:sz w:val="22"/>
        </w:rPr>
        <w:t xml:space="preserve">. The Company agrees to provide Executive with the severance payments and benefits described in Section 4(b) of the Employment Agreement, with the cash payments payable at the times set forth in, and subject to the terms and conditions of, the Employment Agreement. In addition, to the extent not already paid, and subject to the terms and conditions of the Employment Agreement, the Company shall pay or provide to Executive the Accrued Obligations described in Section 3(c) of the Employment Agreement, subject to and in accordance with the terms thereof.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pPr>
      <w:r>
        <w:rPr>
          <w:rFonts w:ascii="Times New Roman" w:hAnsi="Times New Roman"/>
          <w:color w:val="000000"/>
          <w:sz w:val="22"/>
          <w:u w:val="single"/>
        </w:rPr>
        <w:t>Post-Termination Exercise Period Extension</w:t>
      </w:r>
      <w:r>
        <w:rPr>
          <w:rFonts w:ascii="Times New Roman" w:hAnsi="Times New Roman"/>
          <w:color w:val="000000"/>
          <w:sz w:val="22"/>
        </w:rPr>
        <w:t xml:space="preserve">. The Company shall cause Executive’s outstanding stock option awards to be amended to extend the deadline for Executive to exercise any such awards, to the extent vested and exercisable as of the Termination Date, through the earlier of (i) June 30, 2027, and (ii) the expiration date of such awards. The outstanding stock option awards and portions that are or may become exercisable in accordance with Section 4(b) of the Employment Agreement are set forth on </w:t>
      </w:r>
      <w:r>
        <w:rPr>
          <w:rFonts w:ascii="Times New Roman" w:hAnsi="Times New Roman"/>
          <w:color w:val="000000"/>
          <w:sz w:val="22"/>
          <w:u w:val="single"/>
        </w:rPr>
        <w:t>Schedule I</w:t>
      </w:r>
      <w:r>
        <w:rPr>
          <w:color w:val="000000"/>
        </w:rPr>
        <w:t xml:space="preserve"> </w:t>
      </w:r>
      <w:r>
        <w:rPr>
          <w:rFonts w:ascii="Times New Roman" w:hAnsi="Times New Roman"/>
          <w:color w:val="000000"/>
          <w:sz w:val="22"/>
        </w:rPr>
        <w:t>to this Agreement. Executive acknowledges and agrees that such amendment shall cause any stock options intended to qualify as incentive stock options within the meaning of Section 422 of the Internal Revenue Code of 1986, as amended, to cease to qualify as such and instead be treated as non-qualified stock options.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pPr>
      <w:r>
        <w:rPr>
          <w:rFonts w:ascii="Times New Roman" w:hAnsi="Times New Roman"/>
          <w:color w:val="000000"/>
          <w:sz w:val="22"/>
          <w:u w:val="single"/>
        </w:rPr>
        <w:t>Release of Claims</w:t>
      </w:r>
      <w:r>
        <w:rPr>
          <w:rFonts w:ascii="Times New Roman" w:hAnsi="Times New Roman"/>
          <w:color w:val="000000"/>
          <w:sz w:val="22"/>
        </w:rPr>
        <w:t>. Executive agrees that, other than with respect to the Retained Claims, the foregoing consideration represents settlement in full of all outstanding obligations owed to Executive by the Company, any of its direct or indirect subsidiaries, and any of its or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Times New Roman" w:hAnsi="Times New Roman"/>
          <w:b/>
          <w:i/>
          <w:color w:val="000000"/>
          <w:sz w:val="22"/>
        </w:rPr>
        <w:t>Releasees</w:t>
      </w:r>
      <w:r>
        <w:rPr>
          <w:color w:val="000000"/>
        </w:rPr>
        <w:t>”</w:t>
      </w:r>
      <w:r>
        <w:rPr>
          <w:rFonts w:ascii="Times New Roman" w:hAnsi="Times New Roman"/>
          <w:color w:val="000000"/>
          <w:sz w:val="22"/>
        </w:rPr>
        <w:t xml:space="preserve">) related to Executive’s employment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with the Company or its subsidiaries or termination therefrom.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relating to Executive’s employment with the Company or its subsidiaries or termination therefrom, including, without limitation: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and all claims relating to or arising from Executive’s employment or service relationship with the Company or any of its direct or indirect subsidiaries and the termination of that relationship;</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 New Jersey's Conscientious Employee Protection Act; the New Jersey Soldiers' and Sailors' Civil Relief Act; the Millville Dallas Airmotive Plant Job Loss Notification Act; the New Jersey Family Leave Act; the New Jersey Law Against Discrimination; the New Jersey Security and Financial Empowerment Act; the New Jersey State Wage and Hour Law; the New Jersey Paid Sick Leave Law; and the New Jersey State Wage Payment Law; or any similar state law;</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and all claims for violation of the federal or any state constitution;</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and all claims arising out of any other laws and regulations relating to employment or employment discrimination;</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any claim for any loss, cost, damage, or expense arising out of any dispute over the non-withholding or other tax treatment of any of the proceeds received by Executive as a result of this Agreement;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any and all claims arising out of the wage and hour and wage payments laws and regulations of the state or states in which Executive has provided service to the Company or any of its affiliates;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rFonts w:ascii="Times New Roman" w:hAnsi="Times New Roman"/>
          <w:color w:val="000000"/>
          <w:sz w:val="22"/>
        </w:rPr>
      </w:pPr>
      <w:r>
        <w:rPr>
          <w:rFonts w:ascii="Times New Roman" w:hAnsi="Times New Roman"/>
          <w:color w:val="000000"/>
          <w:sz w:val="22"/>
        </w:rPr>
        <w:t>any and all claims for attorneys’ fees and costs.</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EXECUTIVE ACKNOWLEDGES THAT EXECUTIVE HAS BEEN ADVISED BY LEGAL COUNSEL AND IS FAMILIAR WITH THE PROVISIONS OF CALIFORNIA CIVIL CODE SECTION 1542, WHICH PROVIDES AS FOLLOWS:</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EXECUTIVE, BEING AWARE OF SAID CODE SECTION, HEREBY EXPRESSLY WAIVES ANY RIGHTS EXECUTIVE MAY HAVE THEREUNDER, AS WELL AS UNDER ANY OTHER STATUTES OR COMMON LAW PRINCIPLES OF SIMILAR EFFECT.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for indemnity under the bylaws of the Company, as provided for by New Jersey or Delaware law or under any applicable insurance policy with respect to Executive’s liability as an employee, director or officer of the Company, claims to any benefit entitlements vested as of the date of separation of Executive’s employment, pursuant to written terms of any employee benefit plan of the Company or its affiliates and Executive’s right under applicable law and any Retained Claims. This release further does not release claims for breach of Section 3(c)or Section 4 of the Employment Agreement. This release does not prevent Executive from cooperating with an investigation conducted by any such governmental agencies, including without limitation the National Labor Relations Board (the “</w:t>
      </w:r>
      <w:r>
        <w:rPr>
          <w:rFonts w:ascii="Times New Roman" w:hAnsi="Times New Roman"/>
          <w:b/>
          <w:i/>
          <w:color w:val="000000"/>
          <w:sz w:val="22"/>
        </w:rPr>
        <w:t>NLRB</w:t>
      </w:r>
      <w:r>
        <w:rPr>
          <w:rFonts w:ascii="Times New Roman" w:hAnsi="Times New Roman"/>
          <w:color w:val="000000"/>
          <w:sz w:val="20"/>
        </w:rPr>
        <w:t>”</w:t>
      </w:r>
      <w:r>
        <w:rPr>
          <w:rFonts w:ascii="Times New Roman" w:hAnsi="Times New Roman"/>
          <w:color w:val="000000"/>
          <w:sz w:val="22"/>
        </w:rPr>
        <w:t>). Nothing herein will prevent Executive from participating in an activity permitted by Section 7 of the National Labor Relations Act or from filing an unfair labor practice charge with the NLRB.</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pPr>
      <w:r>
        <w:rPr>
          <w:rFonts w:ascii="Times New Roman" w:hAnsi="Times New Roman"/>
          <w:color w:val="000000"/>
          <w:sz w:val="22"/>
          <w:u w:val="single"/>
        </w:rPr>
        <w:t>Acknowledgment of Waiver of Claims under ADEA</w:t>
      </w:r>
      <w:r>
        <w:rPr>
          <w:rFonts w:ascii="Times New Roman" w:hAnsi="Times New Roman"/>
          <w:color w:val="000000"/>
          <w:sz w:val="22"/>
        </w:rPr>
        <w:t>. Executive understands and acknowledges that Executive is waiving and releasing any rights Executive may have under the Age Discrimination in Employment Act of 1967 (“</w:t>
      </w:r>
      <w:r>
        <w:rPr>
          <w:rFonts w:ascii="Times New Roman" w:hAnsi="Times New Roman"/>
          <w:b/>
          <w:i/>
          <w:color w:val="000000"/>
          <w:sz w:val="22"/>
        </w:rPr>
        <w:t>ADEA</w:t>
      </w:r>
      <w:r>
        <w:rPr>
          <w:color w:val="000000"/>
        </w:rPr>
        <w:t>”</w:t>
      </w:r>
      <w:r>
        <w:rPr>
          <w:rFonts w:ascii="Times New Roman" w:hAnsi="Times New Roman"/>
          <w:color w:val="000000"/>
          <w:sz w:val="22"/>
        </w:rPr>
        <w:t xml:space="preserve">),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twenty-one (21) days within which to consider this Agreement, and the Parties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twenty-one (21) day period identified above, Executive hereby acknowledges that Executive has freely and voluntarily chosen to waive the time period allotted for considering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pPr>
      <w:r>
        <w:rPr>
          <w:rFonts w:ascii="Times New Roman" w:hAnsi="Times New Roman"/>
          <w:color w:val="000000"/>
          <w:sz w:val="22"/>
          <w:u w:val="single"/>
        </w:rPr>
        <w:t>Acknowledgment</w:t>
      </w:r>
      <w:r>
        <w:rPr>
          <w:rFonts w:ascii="Times New Roman" w:hAnsi="Times New Roman"/>
          <w:color w:val="000000"/>
          <w:sz w:val="22"/>
        </w:rPr>
        <w:t>. Executive acknowledges his ongoing obligations under Section 5 of the Employment Agreement. Sections 5(e) and 5(f) of the Employment Agreement are hereby incorporated by reference and will apply to this Agreement as if set forth herein.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pPr>
      <w:r>
        <w:rPr>
          <w:rFonts w:ascii="Times New Roman" w:hAnsi="Times New Roman"/>
          <w:color w:val="000000"/>
          <w:sz w:val="22"/>
          <w:u w:val="single"/>
        </w:rPr>
        <w:t>Severability</w:t>
      </w:r>
      <w:r>
        <w:rPr>
          <w:rFonts w:ascii="Times New Roman" w:hAnsi="Times New Roman"/>
          <w:color w:val="000000"/>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pPr>
      <w:r>
        <w:rPr>
          <w:rFonts w:ascii="Times New Roman" w:hAnsi="Times New Roman"/>
          <w:color w:val="000000"/>
          <w:sz w:val="22"/>
          <w:u w:val="single"/>
        </w:rPr>
        <w:t>No Oral Modification</w:t>
      </w:r>
      <w:r>
        <w:rPr>
          <w:rFonts w:ascii="Times New Roman" w:hAnsi="Times New Roman"/>
          <w:color w:val="000000"/>
          <w:sz w:val="22"/>
        </w:rPr>
        <w:t>. This Agreement may only be amended in a writing signed by Executive and a duly authorized officer of the Company.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pPr>
      <w:r>
        <w:rPr>
          <w:rFonts w:ascii="Times New Roman" w:hAnsi="Times New Roman"/>
          <w:color w:val="000000"/>
          <w:sz w:val="22"/>
          <w:u w:val="single"/>
        </w:rPr>
        <w:t>Governing Law; Dispute Resolution</w:t>
      </w:r>
      <w:r>
        <w:rPr>
          <w:rFonts w:ascii="Times New Roman" w:hAnsi="Times New Roman"/>
          <w:color w:val="000000"/>
          <w:sz w:val="22"/>
        </w:rPr>
        <w:t>. This Agreement shall be subject to the provisions of Sections 9(a), 9(c), and 9(h) of the Employment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pPr>
      <w:r>
        <w:rPr>
          <w:rFonts w:ascii="Times New Roman" w:hAnsi="Times New Roman"/>
          <w:color w:val="000000"/>
          <w:sz w:val="22"/>
          <w:u w:val="single"/>
        </w:rPr>
        <w:t>Effective Date</w:t>
      </w:r>
      <w:r>
        <w:rPr>
          <w:rFonts w:ascii="Times New Roman" w:hAnsi="Times New Roman"/>
          <w:color w:val="000000"/>
          <w:sz w:val="22"/>
        </w:rPr>
        <w:t>. Executive has seven business days after Executive signs this Agreement to revoke it and this Agreement will become effective on the day immediately following the seventh business day after Executive signed this Agreement (the “</w:t>
      </w:r>
      <w:r>
        <w:rPr>
          <w:rFonts w:ascii="Times New Roman" w:hAnsi="Times New Roman"/>
          <w:b/>
          <w:i/>
          <w:color w:val="000000"/>
          <w:sz w:val="22"/>
        </w:rPr>
        <w:t>Effective Date</w:t>
      </w:r>
      <w:r>
        <w:rPr>
          <w:color w:val="000000"/>
        </w:rPr>
        <w:t>”</w:t>
      </w:r>
      <w:r>
        <w:rPr>
          <w:rFonts w:ascii="Times New Roman" w:hAnsi="Times New Roman"/>
          <w:color w:val="000000"/>
          <w:sz w:val="22"/>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jc w:val="both"/>
        <w:rPr/>
      </w:pPr>
      <w:r>
        <w:rPr>
          <w:rFonts w:ascii="Times New Roman" w:hAnsi="Times New Roman"/>
          <w:color w:val="000000"/>
          <w:sz w:val="22"/>
          <w:u w:val="single"/>
        </w:rPr>
        <w:t>Voluntary Execution of Agreement</w:t>
      </w:r>
      <w:r>
        <w:rPr>
          <w:rFonts w:ascii="Times New Roman" w:hAnsi="Times New Roman"/>
          <w:color w:val="000000"/>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[Remainder of Page Intentionally Left Blank – Signatures on Following Page]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IN WITNESS WHEREOF, the Parties have executed this Agreement on the respective dates set forth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EXECUTIVE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Dated: 03-June-2026 </w:t>
      </w:r>
      <w:r>
        <w:rPr>
          <w:rFonts w:ascii="Times New Roman" w:hAnsi="Times New Roman"/>
          <w:i/>
          <w:color w:val="000000"/>
          <w:sz w:val="22"/>
        </w:rPr>
        <w:t>/s/ Ambaw Bellete</w:t>
      </w:r>
    </w:p>
    <w:p>
      <w:pPr>
        <w:pStyle w:val="TextBody"/>
        <w:bidi w:val="0"/>
        <w:jc w:val="both"/>
        <w:rPr>
          <w:rFonts w:ascii="Times New Roman" w:hAnsi="Times New Roman"/>
          <w:color w:val="000000"/>
          <w:sz w:val="22"/>
        </w:rPr>
      </w:pPr>
      <w:r>
        <w:rPr>
          <w:rFonts w:ascii="Times New Roman" w:hAnsi="Times New Roman"/>
          <w:color w:val="000000"/>
          <w:sz w:val="22"/>
        </w:rPr>
        <w:t>Print Name: Ambaw Bellete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CG ONCOLOGY, INC.</w:t>
      </w:r>
    </w:p>
    <w:p>
      <w:pPr>
        <w:pStyle w:val="TextBody"/>
        <w:bidi w:val="0"/>
        <w:jc w:val="both"/>
        <w:rPr>
          <w:rFonts w:ascii="Times New Roman" w:hAnsi="Times New Roman"/>
          <w:color w:val="000000"/>
          <w:sz w:val="22"/>
        </w:rPr>
      </w:pPr>
      <w:r>
        <w:rPr>
          <w:rFonts w:ascii="Times New Roman" w:hAnsi="Times New Roman"/>
          <w:color w:val="000000"/>
          <w:sz w:val="22"/>
        </w:rPr>
        <w:t>Dated: 02-June-2026</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i/>
          <w:color w:val="000000"/>
          <w:sz w:val="22"/>
          <w:u w:val="single"/>
        </w:rPr>
        <w:t xml:space="preserve">/s/ Arthur Kuan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Name: </w:t>
      </w:r>
      <w:r>
        <w:rPr>
          <w:rFonts w:ascii="Times New Roman" w:hAnsi="Times New Roman"/>
          <w:color w:val="000000"/>
          <w:sz w:val="22"/>
          <w:u w:val="single"/>
        </w:rPr>
        <w:t xml:space="preserve">Arthur Kuan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Title: </w:t>
      </w:r>
      <w:r>
        <w:rPr>
          <w:rFonts w:ascii="Times New Roman" w:hAnsi="Times New Roman"/>
          <w:color w:val="000000"/>
          <w:sz w:val="22"/>
          <w:u w:val="single"/>
        </w:rPr>
        <w:t xml:space="preserve">President &amp; CEO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I</w:t>
      </w:r>
    </w:p>
    <w:p>
      <w:pPr>
        <w:pStyle w:val="TextBody"/>
        <w:bidi w:val="0"/>
        <w:jc w:val="center"/>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List of Equity Awards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1"/>
        <w:gridCol w:w="2274"/>
        <w:gridCol w:w="2523"/>
        <w:gridCol w:w="1239"/>
        <w:gridCol w:w="1163"/>
        <w:gridCol w:w="1475"/>
      </w:tblGrid>
      <w:tr>
        <w:trPr/>
        <w:tc>
          <w:tcPr>
            <w:tcW w:w="1531"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rPr/>
        <w:tc>
          <w:tcPr>
            <w:tcW w:w="15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Grant Date</w:t>
            </w:r>
          </w:p>
        </w:tc>
        <w:tc>
          <w:tcPr>
            <w:tcW w:w="227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Vesting Commencement Date</w:t>
            </w:r>
          </w:p>
        </w:tc>
        <w:tc>
          <w:tcPr>
            <w:tcW w:w="252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Options Vested as of December 31, 2027</w:t>
            </w:r>
          </w:p>
        </w:tc>
        <w:tc>
          <w:tcPr>
            <w:tcW w:w="123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Expired Options</w:t>
            </w:r>
          </w:p>
        </w:tc>
        <w:tc>
          <w:tcPr>
            <w:tcW w:w="116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Exercise Price</w:t>
            </w:r>
          </w:p>
        </w:tc>
        <w:tc>
          <w:tcPr>
            <w:tcW w:w="147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Expiration Date</w:t>
            </w:r>
          </w:p>
        </w:tc>
      </w:tr>
      <w:tr>
        <w:trPr/>
        <w:tc>
          <w:tcPr>
            <w:tcW w:w="15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May 26, 2022</w:t>
            </w:r>
          </w:p>
        </w:tc>
        <w:tc>
          <w:tcPr>
            <w:tcW w:w="22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May 26, 2022</w:t>
            </w:r>
          </w:p>
        </w:tc>
        <w:tc>
          <w:tcPr>
            <w:tcW w:w="25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52,438</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w:t>
            </w:r>
          </w:p>
        </w:tc>
        <w:tc>
          <w:tcPr>
            <w:tcW w:w="11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$1.82</w:t>
            </w:r>
          </w:p>
        </w:tc>
        <w:tc>
          <w:tcPr>
            <w:tcW w:w="14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June 30, 2027</w:t>
            </w:r>
          </w:p>
        </w:tc>
      </w:tr>
      <w:tr>
        <w:trPr/>
        <w:tc>
          <w:tcPr>
            <w:tcW w:w="15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June 14, 2023</w:t>
            </w:r>
          </w:p>
        </w:tc>
        <w:tc>
          <w:tcPr>
            <w:tcW w:w="22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June 14, 2023</w:t>
            </w:r>
          </w:p>
        </w:tc>
        <w:tc>
          <w:tcPr>
            <w:tcW w:w="25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491,042</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w:t>
            </w:r>
          </w:p>
        </w:tc>
        <w:tc>
          <w:tcPr>
            <w:tcW w:w="11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$3.72</w:t>
            </w:r>
          </w:p>
        </w:tc>
        <w:tc>
          <w:tcPr>
            <w:tcW w:w="14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June 30, 2027</w:t>
            </w:r>
          </w:p>
        </w:tc>
      </w:tr>
      <w:tr>
        <w:trPr/>
        <w:tc>
          <w:tcPr>
            <w:tcW w:w="15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June 14, 2023</w:t>
            </w:r>
          </w:p>
        </w:tc>
        <w:tc>
          <w:tcPr>
            <w:tcW w:w="22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w:t>
            </w:r>
          </w:p>
        </w:tc>
        <w:tc>
          <w:tcPr>
            <w:tcW w:w="25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63,102(1)</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(1)</w:t>
            </w:r>
          </w:p>
        </w:tc>
        <w:tc>
          <w:tcPr>
            <w:tcW w:w="11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$3.72</w:t>
            </w:r>
          </w:p>
        </w:tc>
        <w:tc>
          <w:tcPr>
            <w:tcW w:w="14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June 30, 2027 (2)</w:t>
            </w:r>
          </w:p>
        </w:tc>
      </w:tr>
      <w:tr>
        <w:trPr/>
        <w:tc>
          <w:tcPr>
            <w:tcW w:w="15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December 13, 2023</w:t>
            </w:r>
          </w:p>
        </w:tc>
        <w:tc>
          <w:tcPr>
            <w:tcW w:w="22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December 13, 2023</w:t>
            </w:r>
          </w:p>
        </w:tc>
        <w:tc>
          <w:tcPr>
            <w:tcW w:w="25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52,438</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w:t>
            </w:r>
          </w:p>
        </w:tc>
        <w:tc>
          <w:tcPr>
            <w:tcW w:w="11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$12.59</w:t>
            </w:r>
          </w:p>
        </w:tc>
        <w:tc>
          <w:tcPr>
            <w:tcW w:w="14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June 30, 2027</w:t>
            </w:r>
          </w:p>
        </w:tc>
      </w:tr>
      <w:tr>
        <w:trPr/>
        <w:tc>
          <w:tcPr>
            <w:tcW w:w="15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October 4, 2024</w:t>
            </w:r>
          </w:p>
        </w:tc>
        <w:tc>
          <w:tcPr>
            <w:tcW w:w="22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October 4, 2024</w:t>
            </w:r>
          </w:p>
        </w:tc>
        <w:tc>
          <w:tcPr>
            <w:tcW w:w="25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138,937</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36,563</w:t>
            </w:r>
          </w:p>
        </w:tc>
        <w:tc>
          <w:tcPr>
            <w:tcW w:w="11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$36.63</w:t>
            </w:r>
          </w:p>
        </w:tc>
        <w:tc>
          <w:tcPr>
            <w:tcW w:w="14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June 30, 2027</w:t>
            </w:r>
          </w:p>
        </w:tc>
      </w:tr>
      <w:tr>
        <w:trPr/>
        <w:tc>
          <w:tcPr>
            <w:tcW w:w="15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April 15, 2025</w:t>
            </w:r>
          </w:p>
        </w:tc>
        <w:tc>
          <w:tcPr>
            <w:tcW w:w="22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April 15, 2025</w:t>
            </w:r>
          </w:p>
        </w:tc>
        <w:tc>
          <w:tcPr>
            <w:tcW w:w="25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189,877</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94,939</w:t>
            </w:r>
          </w:p>
        </w:tc>
        <w:tc>
          <w:tcPr>
            <w:tcW w:w="11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$20.11</w:t>
            </w:r>
          </w:p>
        </w:tc>
        <w:tc>
          <w:tcPr>
            <w:tcW w:w="14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June 30, 2027</w:t>
            </w:r>
          </w:p>
        </w:tc>
      </w:tr>
      <w:tr>
        <w:trPr/>
        <w:tc>
          <w:tcPr>
            <w:tcW w:w="15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April 15, 2026</w:t>
            </w:r>
          </w:p>
        </w:tc>
        <w:tc>
          <w:tcPr>
            <w:tcW w:w="22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April 15, 2026</w:t>
            </w:r>
          </w:p>
        </w:tc>
        <w:tc>
          <w:tcPr>
            <w:tcW w:w="25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44,795</w:t>
            </w:r>
          </w:p>
        </w:tc>
        <w:tc>
          <w:tcPr>
            <w:tcW w:w="12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62,713</w:t>
            </w:r>
          </w:p>
        </w:tc>
        <w:tc>
          <w:tcPr>
            <w:tcW w:w="116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$67.68</w:t>
            </w:r>
          </w:p>
        </w:tc>
        <w:tc>
          <w:tcPr>
            <w:tcW w:w="14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June 30, 2027</w:t>
            </w:r>
          </w:p>
        </w:tc>
      </w:tr>
    </w:tbl>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(1) The options vest as follows: (i) 16,868 shares vest upon the Company achieving commercial organization readiness by December 31, 2026, as determined by the Company’s board of directors, (ii) 29,365 shares vest upon the approval by the FDA of a BLA with respect to cretostimogene, provided such BLA approval occurs on or before December 31, 2026, and (iii) 16,868 shares vest upon the Company’s achievement of the first successful commercial sale by December 31,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 Notwithstanding the Expiration Date, any portion of the shares underlying the option that have not performance vested by December 31, 2026 per the vesting schedule in note (1) above, shall automatically expire effective January 1, 2027. Only that portion of the option that has performance vested by or prior to December 31, 2026, shall remain exercisable until June 30, 2027. With respect to subpart (i) of note (1) above, the Company’s board of directors shall determine the date on which the Company achieved commercial organization readiness. If the date of such achievement is prior to December 31, 2026 but the board of directors does not make such determination until after December 31, 2026, such performance milestone shall be deemed to have been achieved and the applicable portion of the option shall have vested prior to its expiration on December 31, 2026. The Company shall use reasonable efforts to provide Mr. Bellete with email notice of the achievement of any performance milestone within 4 business days of such achievement; </w:t>
      </w:r>
      <w:r>
        <w:rPr>
          <w:rFonts w:ascii="Times New Roman" w:hAnsi="Times New Roman"/>
          <w:i/>
          <w:color w:val="000000"/>
          <w:sz w:val="22"/>
        </w:rPr>
        <w:t>provided that</w:t>
      </w:r>
      <w:r>
        <w:rPr>
          <w:rFonts w:ascii="Times New Roman" w:hAnsi="Times New Roman"/>
          <w:color w:val="000000"/>
          <w:sz w:val="20"/>
        </w:rPr>
        <w:t xml:space="preserve"> </w:t>
      </w:r>
      <w:r>
        <w:rPr>
          <w:rFonts w:ascii="Times New Roman" w:hAnsi="Times New Roman"/>
          <w:color w:val="000000"/>
          <w:sz w:val="22"/>
        </w:rPr>
        <w:t>no notice shall be required if the Company issues a press release or files a Current Report on Form 8-K disclosing information consistent with the achievement of any such milestone.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ck0001991792-ex31_1.htm"/>
      <w:bookmarkStart w:id="24" w:name="ksck0001991792ex31_1"/>
      <w:bookmarkEnd w:id="23"/>
      <w:bookmarkEnd w:id="24"/>
      <w:r>
        <w:rPr>
          <w:rFonts w:ascii="Times New Roman" w:hAnsi="Times New Roman"/>
          <w:b/>
          <w:color w:val="000000"/>
          <w:sz w:val="20"/>
        </w:rPr>
        <w:t>Exhibit 31.1</w:t>
      </w:r>
      <w:r>
        <w:br w:type="page"/>
      </w:r>
    </w:p>
    <w:p>
      <w:pPr>
        <w:pStyle w:val="TextBody"/>
        <w:bidi w:val="0"/>
        <w:jc w:val="center"/>
        <w:rPr>
          <w:rFonts w:ascii="Times New Roman" w:hAnsi="Times New Roman"/>
          <w:sz w:val="20"/>
        </w:rPr>
      </w:pPr>
      <w:bookmarkStart w:id="25" w:name="section1"/>
      <w:bookmarkEnd w:id="25"/>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Arthur Kuan,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CG Oncology,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33" w:type="dxa"/>
        <w:jc w:val="left"/>
        <w:tblInd w:w="0" w:type="dxa"/>
        <w:tblLayout w:type="fixed"/>
        <w:tblCellMar>
          <w:top w:w="28" w:type="dxa"/>
          <w:left w:w="28" w:type="dxa"/>
          <w:bottom w:w="28" w:type="dxa"/>
          <w:right w:w="28" w:type="dxa"/>
        </w:tblCellMar>
      </w:tblPr>
      <w:tblGrid>
        <w:gridCol w:w="1846"/>
        <w:gridCol w:w="631"/>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Arthur Kuan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Arthur Kuan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ck0001991792-ex31_2.htm"/>
      <w:bookmarkStart w:id="27" w:name="ksck0001991792ex31_2"/>
      <w:bookmarkEnd w:id="26"/>
      <w:bookmarkEnd w:id="27"/>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bookmarkStart w:id="28" w:name="section11"/>
      <w:bookmarkEnd w:id="28"/>
      <w:r>
        <w:rPr>
          <w:rFonts w:ascii="Times New Roman" w:hAnsi="Times New Roman"/>
          <w:b/>
          <w:color w:val="000000"/>
          <w:sz w:val="20"/>
        </w:rPr>
        <w:t>CERTIFICATION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Jim DeTore,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CG Oncology,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43" w:type="dxa"/>
        <w:jc w:val="left"/>
        <w:tblInd w:w="0" w:type="dxa"/>
        <w:tblLayout w:type="fixed"/>
        <w:tblCellMar>
          <w:top w:w="28" w:type="dxa"/>
          <w:left w:w="28" w:type="dxa"/>
          <w:bottom w:w="28" w:type="dxa"/>
          <w:right w:w="28" w:type="dxa"/>
        </w:tblCellMar>
      </w:tblPr>
      <w:tblGrid>
        <w:gridCol w:w="1846"/>
        <w:gridCol w:w="631"/>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Jim DeTore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Jim DeTore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ck0001991792-ex32_1.htm"/>
      <w:bookmarkStart w:id="30" w:name="ksck0001991792ex32_1"/>
      <w:bookmarkEnd w:id="29"/>
      <w:bookmarkEnd w:id="3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bookmarkStart w:id="31" w:name="section12"/>
      <w:bookmarkEnd w:id="31"/>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CG Oncology, Inc. (the “Company”) on Form 10-Q for the quarter ended June 30, 2026 as filed with the Securities and Exchange Commission on the date hereof (the “Report”), I certify, pursuant to 18 U.S.C. § 1350, as adopted pursuant to §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794" w:type="dxa"/>
        <w:jc w:val="left"/>
        <w:tblInd w:w="0" w:type="dxa"/>
        <w:tblLayout w:type="fixed"/>
        <w:tblCellMar>
          <w:top w:w="28" w:type="dxa"/>
          <w:left w:w="28" w:type="dxa"/>
          <w:bottom w:w="28" w:type="dxa"/>
          <w:right w:w="28" w:type="dxa"/>
        </w:tblCellMar>
      </w:tblPr>
      <w:tblGrid>
        <w:gridCol w:w="556"/>
        <w:gridCol w:w="1351"/>
        <w:gridCol w:w="631"/>
        <w:gridCol w:w="325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Arthur Kuan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Arthur Kuan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ck0001991792-ex32_2.htm"/>
      <w:bookmarkStart w:id="33" w:name="ksck0001991792ex32_2"/>
      <w:bookmarkEnd w:id="32"/>
      <w:bookmarkEnd w:id="33"/>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bookmarkStart w:id="34" w:name="section13"/>
      <w:bookmarkEnd w:id="34"/>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CG Oncology, Inc. (the “Company”) on Form 10-Q for the quarter ended June 30, 2026 as filed with the Securities and Exchange Commission on the date hereof (the “Report”), I certify, pursuant to 18 U.S.C. § 1350, as adopted pursuant to §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304" w:type="dxa"/>
        <w:jc w:val="left"/>
        <w:tblInd w:w="0" w:type="dxa"/>
        <w:tblLayout w:type="fixed"/>
        <w:tblCellMar>
          <w:top w:w="28" w:type="dxa"/>
          <w:left w:w="28" w:type="dxa"/>
          <w:bottom w:w="28" w:type="dxa"/>
          <w:right w:w="28" w:type="dxa"/>
        </w:tblCellMar>
      </w:tblPr>
      <w:tblGrid>
        <w:gridCol w:w="556"/>
        <w:gridCol w:w="1351"/>
        <w:gridCol w:w="631"/>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Jim DeTore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Jim DeTore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91792/000119312524009621/d551455dex33.htm" TargetMode="External"/><Relationship Id="rId3" Type="http://schemas.openxmlformats.org/officeDocument/2006/relationships/hyperlink" Target="https://www.sec.gov/Archives/edgar/data/1991792/000119312524000766/d551455dex34.htm" TargetMode="External"/><Relationship Id="rId4" Type="http://schemas.openxmlformats.org/officeDocument/2006/relationships/hyperlink" Target="https://www.sec.gov/Archives/edgar/data/1991792/000119312524009621/d551455dex41.htm" TargetMode="External"/><Relationship Id="rId5" Type="http://schemas.openxmlformats.org/officeDocument/2006/relationships/hyperlink" Target="https://www.sec.gov/Archives/edgar/data/1991792/000119312524009621/d551455dex42.htm" TargetMode="External"/><Relationship Id="rId6" Type="http://schemas.openxmlformats.org/officeDocument/2006/relationships/hyperlink" Target="https://www.sec.gov/Archives/edgar/data/1991792/000119312526152044/ck0001991792-ex10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21367</Words>
  <Characters>117958</Characters>
  <CharactersWithSpaces>139802</CharactersWithSpaces>
  <Paragraphs>4358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