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2620" w:right="1600" w:hanging="2599"/>
        <w:spacing w:after="0" w:line="360" w:lineRule="auto"/>
        <w:tabs>
          <w:tab w:leader="none" w:pos="48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b w:val="1"/>
          <w:bCs w:val="1"/>
          <w:color w:val="auto"/>
        </w:rPr>
        <w:t>_____________________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6"/>
          <w:szCs w:val="16"/>
          <w:b w:val="1"/>
          <w:bCs w:val="1"/>
          <w:color w:val="auto"/>
        </w:rPr>
        <w:t>_____________________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001-41925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CG Oncology, Inc.</w:t>
      </w:r>
    </w:p>
    <w:p>
      <w:pPr>
        <w:sectPr>
          <w:pgSz w:w="11900" w:h="16838" w:orient="portrait"/>
          <w:cols w:equalWidth="0" w:num="1">
            <w:col w:w="11240"/>
          </w:cols>
          <w:pgMar w:left="320" w:top="102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37-1611499</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700" w:space="240"/>
            <w:col w:w="3300"/>
          </w:cols>
          <w:pgMar w:left="320" w:top="1024"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b w:val="1"/>
          <w:bCs w:val="1"/>
          <w:color w:val="auto"/>
        </w:rPr>
        <w:t>3000 Pegasus Park Drive, Suite 1640</w:t>
      </w:r>
    </w:p>
    <w:p>
      <w:pPr>
        <w:spacing w:after="0" w:line="31" w:lineRule="exact"/>
        <w:rPr>
          <w:sz w:val="24"/>
          <w:szCs w:val="24"/>
          <w:color w:val="auto"/>
        </w:rPr>
      </w:pPr>
    </w:p>
    <w:p>
      <w:pPr>
        <w:ind w:left="230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Dallas, Texas</w:t>
      </w:r>
      <w:r>
        <w:rPr>
          <w:sz w:val="20"/>
          <w:szCs w:val="20"/>
          <w:color w:val="auto"/>
        </w:rPr>
        <w:tab/>
      </w:r>
      <w:r>
        <w:rPr>
          <w:rFonts w:ascii="Times New Roman" w:cs="Times New Roman" w:eastAsia="Times New Roman" w:hAnsi="Times New Roman"/>
          <w:sz w:val="18"/>
          <w:szCs w:val="18"/>
          <w:b w:val="1"/>
          <w:bCs w:val="1"/>
          <w:color w:val="auto"/>
        </w:rPr>
        <w:t>75247</w:t>
      </w:r>
    </w:p>
    <w:p>
      <w:pPr>
        <w:spacing w:after="0" w:line="5"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CGON</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2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6, 2026, the registrant had 88,202,473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6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534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2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220" w:type="dxa"/>
            <w:vAlign w:val="bottom"/>
            <w:tcBorders>
              <w:left w:val="single" w:sz="8" w:color="0000FF"/>
            </w:tcBorders>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vMerge w:val="continue"/>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2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80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60" w:type="dxa"/>
            <w:vAlign w:val="bottom"/>
          </w:tcPr>
          <w:p>
            <w:pPr>
              <w:spacing w:after="0"/>
              <w:rPr>
                <w:sz w:val="18"/>
                <w:szCs w:val="18"/>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38"/>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0"/>
                <w:szCs w:val="20"/>
                <w:color w:val="auto"/>
              </w:rPr>
            </w:pPr>
          </w:p>
        </w:tc>
        <w:tc>
          <w:tcPr>
            <w:tcW w:w="18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32,490</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1,042,542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709,665</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120" w:type="dxa"/>
            <w:vAlign w:val="bottom"/>
          </w:tcPr>
          <w:p>
            <w:pPr>
              <w:spacing w:after="0"/>
              <w:rPr>
                <w:sz w:val="18"/>
                <w:szCs w:val="18"/>
                <w:color w:val="auto"/>
              </w:rPr>
            </w:pPr>
          </w:p>
        </w:tc>
      </w:tr>
      <w:tr>
        <w:trPr>
          <w:trHeight w:val="209"/>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1,102,143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759,475</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18"/>
                <w:szCs w:val="18"/>
                <w:color w:val="auto"/>
              </w:rPr>
            </w:pPr>
          </w:p>
        </w:tc>
      </w:tr>
      <w:tr>
        <w:trPr>
          <w:trHeight w:val="249"/>
        </w:trPr>
        <w:tc>
          <w:tcPr>
            <w:tcW w:w="71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1,135,262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791,592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7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120" w:type="dxa"/>
            <w:vAlign w:val="bottom"/>
          </w:tcPr>
          <w:p>
            <w:pPr>
              <w:spacing w:after="0"/>
              <w:rPr>
                <w:sz w:val="18"/>
                <w:szCs w:val="18"/>
                <w:color w:val="auto"/>
              </w:rPr>
            </w:pPr>
          </w:p>
        </w:tc>
      </w:tr>
      <w:tr>
        <w:trPr>
          <w:trHeight w:val="210"/>
        </w:trPr>
        <w:tc>
          <w:tcPr>
            <w:tcW w:w="71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43,483</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12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1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700,000,000 and 700,000,000 shares</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authorized as of March 31, 2026 and December 31, 2025, respectively; 88,007,761</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80,689,128 shares issued and outstanding as of March 31, 2026 and December 31,</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20"/>
                <w:szCs w:val="20"/>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1,530,948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1,131,570</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(439,178)</w:t>
            </w: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(378,976)</w:t>
            </w:r>
          </w:p>
        </w:tc>
      </w:tr>
      <w:tr>
        <w:trPr>
          <w:trHeight w:val="210"/>
        </w:trPr>
        <w:tc>
          <w:tcPr>
            <w:tcW w:w="71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1,091,779</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752,602</w:t>
            </w:r>
          </w:p>
        </w:tc>
        <w:tc>
          <w:tcPr>
            <w:tcW w:w="120" w:type="dxa"/>
            <w:vAlign w:val="bottom"/>
            <w:tcBorders>
              <w:top w:val="single" w:sz="8" w:color="CFF0FC"/>
            </w:tcBorders>
          </w:tcPr>
          <w:p>
            <w:pPr>
              <w:spacing w:after="0"/>
              <w:rPr>
                <w:sz w:val="18"/>
                <w:szCs w:val="18"/>
                <w:color w:val="auto"/>
              </w:rPr>
            </w:pPr>
          </w:p>
        </w:tc>
      </w:tr>
      <w:tr>
        <w:trPr>
          <w:trHeight w:val="249"/>
        </w:trPr>
        <w:tc>
          <w:tcPr>
            <w:tcW w:w="71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1,135,262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791,592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-3119755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-3102610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-3119755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-3102610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-2262505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-1705610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-1705610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-316865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8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development revenue</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8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100" w:type="dxa"/>
            <w:vAlign w:val="bottom"/>
          </w:tcPr>
          <w:p>
            <w:pPr>
              <w:spacing w:after="0"/>
              <w:rPr>
                <w:sz w:val="18"/>
                <w:szCs w:val="18"/>
                <w:color w:val="auto"/>
              </w:rPr>
            </w:pPr>
          </w:p>
        </w:tc>
      </w:tr>
      <w:tr>
        <w:trPr>
          <w:trHeight w:val="210"/>
        </w:trPr>
        <w:tc>
          <w:tcPr>
            <w:tcW w:w="63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(42,204)</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00" w:type="dxa"/>
            <w:vAlign w:val="bottom"/>
          </w:tcPr>
          <w:p>
            <w:pPr>
              <w:spacing w:after="0"/>
              <w:rPr>
                <w:sz w:val="18"/>
                <w:szCs w:val="18"/>
                <w:color w:val="auto"/>
              </w:rPr>
            </w:pPr>
          </w:p>
        </w:tc>
      </w:tr>
      <w:tr>
        <w:trPr>
          <w:trHeight w:val="216"/>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r>
      <w:tr>
        <w:trPr>
          <w:trHeight w:val="209"/>
        </w:trPr>
        <w:tc>
          <w:tcPr>
            <w:tcW w:w="63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other income, net</w:t>
            </w:r>
          </w:p>
        </w:tc>
        <w:tc>
          <w:tcPr>
            <w:tcW w:w="11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tcBorders>
              <w:top w:val="single" w:sz="8" w:color="CFF0FC"/>
            </w:tcBorders>
          </w:tcPr>
          <w:p>
            <w:pPr>
              <w:spacing w:after="0"/>
              <w:rPr>
                <w:sz w:val="18"/>
                <w:szCs w:val="18"/>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(60,202)</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(34,452)</w:t>
            </w: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48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50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(0.45)</w:t>
            </w:r>
          </w:p>
        </w:tc>
      </w:tr>
      <w:tr>
        <w:trPr>
          <w:trHeight w:val="20"/>
        </w:trPr>
        <w:tc>
          <w:tcPr>
            <w:tcW w:w="6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3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1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84,518,512</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76,187,621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-2047875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-1199515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-641985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-350520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-333375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0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6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440" w:type="dxa"/>
            <w:vAlign w:val="bottom"/>
          </w:tcPr>
          <w:p>
            <w:pPr>
              <w:spacing w:after="0"/>
              <w:rPr>
                <w:sz w:val="13"/>
                <w:szCs w:val="13"/>
                <w:color w:val="auto"/>
              </w:rPr>
            </w:pPr>
          </w:p>
        </w:tc>
        <w:tc>
          <w:tcPr>
            <w:tcW w:w="14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98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1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76,154,783</w:t>
            </w:r>
          </w:p>
        </w:tc>
        <w:tc>
          <w:tcPr>
            <w:tcW w:w="360" w:type="dxa"/>
            <w:vAlign w:val="bottom"/>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951,350</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(217,981)</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733,377</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66,506</w:t>
            </w:r>
          </w:p>
        </w:tc>
        <w:tc>
          <w:tcPr>
            <w:tcW w:w="3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5,151</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5,151</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(34,452)</w:t>
            </w:r>
          </w:p>
        </w:tc>
        <w:tc>
          <w:tcPr>
            <w:tcW w:w="160" w:type="dxa"/>
            <w:vAlign w:val="bottom"/>
          </w:tcPr>
          <w:p>
            <w:pPr>
              <w:spacing w:after="0"/>
              <w:rPr>
                <w:sz w:val="12"/>
                <w:szCs w:val="12"/>
                <w:color w:val="auto"/>
              </w:rPr>
            </w:pPr>
          </w:p>
        </w:tc>
        <w:tc>
          <w:tcPr>
            <w:tcW w:w="12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(34,452)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1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76,221,289</w:t>
            </w:r>
          </w:p>
        </w:tc>
        <w:tc>
          <w:tcPr>
            <w:tcW w:w="360" w:type="dxa"/>
            <w:vAlign w:val="bottom"/>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957,183</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(252,433)</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704,758</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80,689,128</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1,131,570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(378,976)</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752,602</w:t>
            </w:r>
          </w:p>
        </w:tc>
        <w:tc>
          <w:tcPr>
            <w:tcW w:w="0" w:type="dxa"/>
            <w:vAlign w:val="bottom"/>
          </w:tcPr>
          <w:p>
            <w:pPr>
              <w:spacing w:after="0"/>
              <w:rPr>
                <w:sz w:val="1"/>
                <w:szCs w:val="1"/>
                <w:color w:val="auto"/>
              </w:rPr>
            </w:pPr>
          </w:p>
        </w:tc>
      </w:tr>
      <w:tr>
        <w:trPr>
          <w:trHeight w:val="126"/>
        </w:trPr>
        <w:tc>
          <w:tcPr>
            <w:tcW w:w="44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 public offering, net of</w:t>
            </w:r>
          </w:p>
        </w:tc>
        <w:tc>
          <w:tcPr>
            <w:tcW w:w="11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6,941,407</w:t>
            </w:r>
          </w:p>
        </w:tc>
        <w:tc>
          <w:tcPr>
            <w:tcW w:w="360" w:type="dxa"/>
            <w:vAlign w:val="bottom"/>
            <w:shd w:val="clear" w:color="auto" w:fill="CFF0FC"/>
          </w:tcPr>
          <w:p>
            <w:pPr>
              <w:spacing w:after="0"/>
              <w:rPr>
                <w:sz w:val="10"/>
                <w:szCs w:val="10"/>
                <w:color w:val="auto"/>
              </w:rPr>
            </w:pPr>
          </w:p>
        </w:tc>
        <w:tc>
          <w:tcPr>
            <w:tcW w:w="3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391,409</w:t>
            </w:r>
          </w:p>
        </w:tc>
        <w:tc>
          <w:tcPr>
            <w:tcW w:w="10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391,410</w:t>
            </w:r>
          </w:p>
        </w:tc>
        <w:tc>
          <w:tcPr>
            <w:tcW w:w="0" w:type="dxa"/>
            <w:vAlign w:val="bottom"/>
          </w:tcPr>
          <w:p>
            <w:pPr>
              <w:spacing w:after="0"/>
              <w:rPr>
                <w:sz w:val="1"/>
                <w:szCs w:val="1"/>
                <w:color w:val="auto"/>
              </w:rPr>
            </w:pPr>
          </w:p>
        </w:tc>
      </w:tr>
      <w:tr>
        <w:trPr>
          <w:trHeight w:val="171"/>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costs</w:t>
            </w:r>
          </w:p>
        </w:tc>
        <w:tc>
          <w:tcPr>
            <w:tcW w:w="1100" w:type="dxa"/>
            <w:vAlign w:val="bottom"/>
            <w:gridSpan w:val="2"/>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377,226</w:t>
            </w:r>
          </w:p>
        </w:tc>
        <w:tc>
          <w:tcPr>
            <w:tcW w:w="3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1,495</w:t>
            </w: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6,474</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6,474</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(60,202)</w:t>
            </w:r>
          </w:p>
        </w:tc>
        <w:tc>
          <w:tcPr>
            <w:tcW w:w="160" w:type="dxa"/>
            <w:vAlign w:val="bottom"/>
          </w:tcPr>
          <w:p>
            <w:pPr>
              <w:spacing w:after="0"/>
              <w:rPr>
                <w:sz w:val="12"/>
                <w:szCs w:val="12"/>
                <w:color w:val="auto"/>
              </w:rPr>
            </w:pPr>
          </w:p>
        </w:tc>
        <w:tc>
          <w:tcPr>
            <w:tcW w:w="12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(60,202)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11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88,007,761</w:t>
            </w:r>
          </w:p>
        </w:tc>
        <w:tc>
          <w:tcPr>
            <w:tcW w:w="360" w:type="dxa"/>
            <w:vAlign w:val="bottom"/>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1,530,948</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(439,178)</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1,091,779</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3448050</wp:posOffset>
            </wp:positionH>
            <wp:positionV relativeFrom="paragraph">
              <wp:posOffset>-813435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3448050</wp:posOffset>
            </wp:positionH>
            <wp:positionV relativeFrom="paragraph">
              <wp:posOffset>-796290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-813435</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-796290</wp:posOffset>
            </wp:positionV>
            <wp:extent cx="59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-813435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-796290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-813435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-796290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-813435</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-796290</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3448050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3448050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-24765</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-7620</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-24765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-7620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-24765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5307965</wp:posOffset>
            </wp:positionH>
            <wp:positionV relativeFrom="paragraph">
              <wp:posOffset>-7620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-24765</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-7620</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981" w:right="1019" w:bottom="1440" w:gutter="0" w:footer="0" w:header="0"/>
        </w:sectPr>
      </w:pPr>
    </w:p>
    <w:bookmarkStart w:id="5" w:name="page6"/>
    <w:bookmarkEnd w:id="5"/>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60" w:type="dxa"/>
            <w:vAlign w:val="bottom"/>
          </w:tcPr>
          <w:p>
            <w:pPr>
              <w:spacing w:after="0"/>
              <w:rPr>
                <w:sz w:val="15"/>
                <w:szCs w:val="15"/>
                <w:color w:val="auto"/>
              </w:rPr>
            </w:pPr>
          </w:p>
        </w:tc>
        <w:tc>
          <w:tcPr>
            <w:tcW w:w="304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460" w:type="dxa"/>
            <w:vAlign w:val="bottom"/>
          </w:tcPr>
          <w:p>
            <w:pPr>
              <w:spacing w:after="0"/>
              <w:rPr>
                <w:sz w:val="13"/>
                <w:szCs w:val="13"/>
                <w:color w:val="auto"/>
              </w:rPr>
            </w:pPr>
          </w:p>
        </w:tc>
        <w:tc>
          <w:tcPr>
            <w:tcW w:w="1060" w:type="dxa"/>
            <w:vAlign w:val="bottom"/>
            <w:tcBorders>
              <w:bottom w:val="single" w:sz="8" w:color="auto"/>
            </w:tcBorders>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6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7460" w:type="dxa"/>
            <w:vAlign w:val="bottom"/>
            <w:tcBorders>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Operating Activities</w:t>
            </w:r>
          </w:p>
        </w:tc>
        <w:tc>
          <w:tcPr>
            <w:tcW w:w="10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4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60" w:type="dxa"/>
            <w:vAlign w:val="bottom"/>
          </w:tcPr>
          <w:p>
            <w:pPr>
              <w:jc w:val="right"/>
              <w:ind w:right="94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(60,202)</w:t>
            </w:r>
          </w:p>
        </w:tc>
        <w:tc>
          <w:tcPr>
            <w:tcW w:w="1040" w:type="dxa"/>
            <w:vAlign w:val="bottom"/>
          </w:tcPr>
          <w:p>
            <w:pPr>
              <w:jc w:val="right"/>
              <w:ind w:right="8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(34,452)</w:t>
            </w:r>
          </w:p>
        </w:tc>
      </w:tr>
      <w:tr>
        <w:trPr>
          <w:trHeight w:val="162"/>
        </w:trPr>
        <w:tc>
          <w:tcPr>
            <w:tcW w:w="7460" w:type="dxa"/>
            <w:vAlign w:val="bottom"/>
            <w:tcBorders>
              <w:right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4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0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841</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4"/>
                <w:szCs w:val="14"/>
                <w:color w:val="auto"/>
              </w:rPr>
            </w:pPr>
          </w:p>
        </w:tc>
      </w:tr>
      <w:tr>
        <w:trPr>
          <w:trHeight w:val="162"/>
        </w:trPr>
        <w:tc>
          <w:tcPr>
            <w:tcW w:w="7460" w:type="dxa"/>
            <w:vAlign w:val="bottom"/>
            <w:tcBorders>
              <w:right w:val="single" w:sz="8" w:color="CFF0FC"/>
            </w:tcBorders>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6,474</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5,151</w:t>
            </w:r>
          </w:p>
        </w:tc>
        <w:tc>
          <w:tcPr>
            <w:tcW w:w="100" w:type="dxa"/>
            <w:vAlign w:val="bottom"/>
            <w:shd w:val="clear" w:color="auto" w:fill="CFF0FC"/>
          </w:tcPr>
          <w:p>
            <w:pPr>
              <w:spacing w:after="0"/>
              <w:rPr>
                <w:sz w:val="14"/>
                <w:szCs w:val="14"/>
                <w:color w:val="auto"/>
              </w:rPr>
            </w:pPr>
          </w:p>
        </w:tc>
      </w:tr>
      <w:tr>
        <w:trPr>
          <w:trHeight w:val="162"/>
        </w:trPr>
        <w:tc>
          <w:tcPr>
            <w:tcW w:w="74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Unrealized losses (gains) on short-term investments</w:t>
            </w:r>
          </w:p>
        </w:tc>
        <w:tc>
          <w:tcPr>
            <w:tcW w:w="10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1,664</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(279)</w:t>
            </w:r>
          </w:p>
        </w:tc>
      </w:tr>
      <w:tr>
        <w:trPr>
          <w:trHeight w:val="162"/>
        </w:trPr>
        <w:tc>
          <w:tcPr>
            <w:tcW w:w="7460" w:type="dxa"/>
            <w:vAlign w:val="bottom"/>
            <w:tcBorders>
              <w:right w:val="single" w:sz="8" w:color="CFF0FC"/>
            </w:tcBorders>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Non-cash interest expense (income)</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(176)</w:t>
            </w:r>
          </w:p>
        </w:tc>
      </w:tr>
      <w:tr>
        <w:trPr>
          <w:trHeight w:val="162"/>
        </w:trPr>
        <w:tc>
          <w:tcPr>
            <w:tcW w:w="74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Non-cash lease expense</w:t>
            </w:r>
          </w:p>
        </w:tc>
        <w:tc>
          <w:tcPr>
            <w:tcW w:w="10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w:t>
            </w:r>
          </w:p>
        </w:tc>
      </w:tr>
      <w:tr>
        <w:trPr>
          <w:trHeight w:val="162"/>
        </w:trPr>
        <w:tc>
          <w:tcPr>
            <w:tcW w:w="7460" w:type="dxa"/>
            <w:vAlign w:val="bottom"/>
            <w:tcBorders>
              <w:right w:val="single" w:sz="8" w:color="CFF0FC"/>
            </w:tcBorders>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460" w:type="dxa"/>
            <w:vAlign w:val="bottom"/>
          </w:tcPr>
          <w:p>
            <w:pPr>
              <w:ind w:left="40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6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(8,066)</w:t>
            </w:r>
          </w:p>
        </w:tc>
        <w:tc>
          <w:tcPr>
            <w:tcW w:w="10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(546)</w:t>
            </w:r>
          </w:p>
        </w:tc>
      </w:tr>
      <w:tr>
        <w:trPr>
          <w:trHeight w:val="162"/>
        </w:trPr>
        <w:tc>
          <w:tcPr>
            <w:tcW w:w="7460" w:type="dxa"/>
            <w:vAlign w:val="bottom"/>
            <w:tcBorders>
              <w:right w:val="single" w:sz="8" w:color="CFF0FC"/>
            </w:tcBorders>
            <w:shd w:val="clear" w:color="auto" w:fill="CFF0FC"/>
          </w:tcPr>
          <w:p>
            <w:pPr>
              <w:ind w:left="40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10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(587)</w:t>
            </w:r>
          </w:p>
        </w:tc>
        <w:tc>
          <w:tcPr>
            <w:tcW w:w="10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460" w:type="dxa"/>
            <w:vAlign w:val="bottom"/>
          </w:tcPr>
          <w:p>
            <w:pPr>
              <w:ind w:left="40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10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460" w:type="dxa"/>
            <w:vAlign w:val="bottom"/>
            <w:tcBorders>
              <w:right w:val="single" w:sz="8" w:color="CFF0FC"/>
            </w:tcBorders>
            <w:shd w:val="clear" w:color="auto" w:fill="CFF0FC"/>
          </w:tcPr>
          <w:p>
            <w:pPr>
              <w:ind w:left="40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10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(998)</w:t>
            </w:r>
          </w:p>
        </w:tc>
        <w:tc>
          <w:tcPr>
            <w:tcW w:w="10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(35)</w:t>
            </w:r>
          </w:p>
        </w:tc>
      </w:tr>
      <w:tr>
        <w:trPr>
          <w:trHeight w:val="162"/>
        </w:trPr>
        <w:tc>
          <w:tcPr>
            <w:tcW w:w="7460" w:type="dxa"/>
            <w:vAlign w:val="bottom"/>
          </w:tcPr>
          <w:p>
            <w:pPr>
              <w:ind w:left="40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10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2,522</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214</w:t>
            </w:r>
          </w:p>
        </w:tc>
        <w:tc>
          <w:tcPr>
            <w:tcW w:w="100" w:type="dxa"/>
            <w:vAlign w:val="bottom"/>
          </w:tcPr>
          <w:p>
            <w:pPr>
              <w:spacing w:after="0"/>
              <w:rPr>
                <w:sz w:val="14"/>
                <w:szCs w:val="14"/>
                <w:color w:val="auto"/>
              </w:rPr>
            </w:pPr>
          </w:p>
        </w:tc>
      </w:tr>
      <w:tr>
        <w:trPr>
          <w:trHeight w:val="162"/>
        </w:trPr>
        <w:tc>
          <w:tcPr>
            <w:tcW w:w="7460" w:type="dxa"/>
            <w:vAlign w:val="bottom"/>
            <w:tcBorders>
              <w:right w:val="single" w:sz="8" w:color="CFF0FC"/>
            </w:tcBorders>
            <w:shd w:val="clear" w:color="auto" w:fill="CFF0FC"/>
          </w:tcPr>
          <w:p>
            <w:pPr>
              <w:ind w:left="400"/>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1,607</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836</w:t>
            </w:r>
          </w:p>
        </w:tc>
        <w:tc>
          <w:tcPr>
            <w:tcW w:w="100" w:type="dxa"/>
            <w:vAlign w:val="bottom"/>
            <w:shd w:val="clear" w:color="auto" w:fill="CFF0FC"/>
          </w:tcPr>
          <w:p>
            <w:pPr>
              <w:spacing w:after="0"/>
              <w:rPr>
                <w:sz w:val="14"/>
                <w:szCs w:val="14"/>
                <w:color w:val="auto"/>
              </w:rPr>
            </w:pPr>
          </w:p>
        </w:tc>
      </w:tr>
      <w:tr>
        <w:trPr>
          <w:trHeight w:val="162"/>
        </w:trPr>
        <w:tc>
          <w:tcPr>
            <w:tcW w:w="7460" w:type="dxa"/>
            <w:vAlign w:val="bottom"/>
          </w:tcPr>
          <w:p>
            <w:pPr>
              <w:ind w:left="400"/>
              <w:spacing w:after="0" w:line="162" w:lineRule="exact"/>
              <w:rPr>
                <w:sz w:val="20"/>
                <w:szCs w:val="20"/>
                <w:color w:val="auto"/>
              </w:rPr>
            </w:pPr>
            <w:r>
              <w:rPr>
                <w:rFonts w:ascii="Times New Roman" w:cs="Times New Roman" w:eastAsia="Times New Roman" w:hAnsi="Times New Roman"/>
                <w:sz w:val="15"/>
                <w:szCs w:val="15"/>
                <w:color w:val="auto"/>
              </w:rPr>
              <w:t>Other liabilities</w:t>
            </w:r>
          </w:p>
        </w:tc>
        <w:tc>
          <w:tcPr>
            <w:tcW w:w="106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(329)</w:t>
            </w:r>
          </w:p>
        </w:tc>
        <w:tc>
          <w:tcPr>
            <w:tcW w:w="104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7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460" w:type="dxa"/>
            <w:vAlign w:val="bottom"/>
            <w:tcBorders>
              <w:right w:val="single" w:sz="8" w:color="CFF0FC"/>
            </w:tcBorders>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10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(56,943)</w:t>
            </w:r>
          </w:p>
        </w:tc>
        <w:tc>
          <w:tcPr>
            <w:tcW w:w="10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(29,277)</w:t>
            </w:r>
          </w:p>
        </w:tc>
      </w:tr>
      <w:tr>
        <w:trPr>
          <w:trHeight w:val="155"/>
        </w:trPr>
        <w:tc>
          <w:tcPr>
            <w:tcW w:w="746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Investing Activities</w:t>
            </w:r>
          </w:p>
        </w:tc>
        <w:tc>
          <w:tcPr>
            <w:tcW w:w="10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460" w:type="dxa"/>
            <w:vAlign w:val="bottom"/>
            <w:tcBorders>
              <w:right w:val="single" w:sz="8" w:color="CFF0FC"/>
            </w:tcBorders>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Proceeds from sales and maturities of investments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252,853</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200,139</w:t>
            </w:r>
          </w:p>
        </w:tc>
        <w:tc>
          <w:tcPr>
            <w:tcW w:w="100" w:type="dxa"/>
            <w:vAlign w:val="bottom"/>
            <w:shd w:val="clear" w:color="auto" w:fill="CFF0FC"/>
          </w:tcPr>
          <w:p>
            <w:pPr>
              <w:spacing w:after="0"/>
              <w:rPr>
                <w:sz w:val="14"/>
                <w:szCs w:val="14"/>
                <w:color w:val="auto"/>
              </w:rPr>
            </w:pPr>
          </w:p>
        </w:tc>
      </w:tr>
      <w:tr>
        <w:trPr>
          <w:trHeight w:val="162"/>
        </w:trPr>
        <w:tc>
          <w:tcPr>
            <w:tcW w:w="74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Purchases of investments</w:t>
            </w:r>
          </w:p>
        </w:tc>
        <w:tc>
          <w:tcPr>
            <w:tcW w:w="106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(587,394)</w:t>
            </w:r>
          </w:p>
        </w:tc>
        <w:tc>
          <w:tcPr>
            <w:tcW w:w="10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(361,892)</w:t>
            </w:r>
          </w:p>
        </w:tc>
      </w:tr>
      <w:tr>
        <w:trPr>
          <w:trHeight w:val="162"/>
        </w:trPr>
        <w:tc>
          <w:tcPr>
            <w:tcW w:w="7460" w:type="dxa"/>
            <w:vAlign w:val="bottom"/>
            <w:tcBorders>
              <w:right w:val="single" w:sz="8" w:color="CFF0FC"/>
            </w:tcBorders>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Issuance of note receivable</w:t>
            </w:r>
          </w:p>
        </w:tc>
        <w:tc>
          <w:tcPr>
            <w:tcW w:w="10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(25,000)</w:t>
            </w:r>
          </w:p>
        </w:tc>
      </w:tr>
      <w:tr>
        <w:trPr>
          <w:trHeight w:val="162"/>
        </w:trPr>
        <w:tc>
          <w:tcPr>
            <w:tcW w:w="74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106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(304)</w:t>
            </w:r>
          </w:p>
        </w:tc>
        <w:tc>
          <w:tcPr>
            <w:tcW w:w="10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w:t>
            </w:r>
          </w:p>
        </w:tc>
      </w:tr>
      <w:tr>
        <w:trPr>
          <w:trHeight w:val="20"/>
        </w:trPr>
        <w:tc>
          <w:tcPr>
            <w:tcW w:w="7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460" w:type="dxa"/>
            <w:vAlign w:val="bottom"/>
            <w:tcBorders>
              <w:right w:val="single" w:sz="8" w:color="CFF0FC"/>
            </w:tcBorders>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0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(334,845)</w:t>
            </w:r>
          </w:p>
        </w:tc>
        <w:tc>
          <w:tcPr>
            <w:tcW w:w="10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(186,769)</w:t>
            </w:r>
          </w:p>
        </w:tc>
      </w:tr>
      <w:tr>
        <w:trPr>
          <w:trHeight w:val="156"/>
        </w:trPr>
        <w:tc>
          <w:tcPr>
            <w:tcW w:w="746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Financing Activities</w:t>
            </w:r>
          </w:p>
        </w:tc>
        <w:tc>
          <w:tcPr>
            <w:tcW w:w="10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460" w:type="dxa"/>
            <w:vAlign w:val="bottom"/>
            <w:tcBorders>
              <w:right w:val="single" w:sz="8" w:color="CFF0FC"/>
            </w:tcBorders>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Proceeds from follow-on public offerings, net of issuance costs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391,550</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4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Proceeds from exercise of common stock options</w:t>
            </w:r>
          </w:p>
        </w:tc>
        <w:tc>
          <w:tcPr>
            <w:tcW w:w="10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1,669</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682</w:t>
            </w:r>
          </w:p>
        </w:tc>
        <w:tc>
          <w:tcPr>
            <w:tcW w:w="100" w:type="dxa"/>
            <w:vAlign w:val="bottom"/>
          </w:tcPr>
          <w:p>
            <w:pPr>
              <w:spacing w:after="0"/>
              <w:rPr>
                <w:sz w:val="14"/>
                <w:szCs w:val="14"/>
                <w:color w:val="auto"/>
              </w:rPr>
            </w:pPr>
          </w:p>
        </w:tc>
      </w:tr>
      <w:tr>
        <w:trPr>
          <w:trHeight w:val="162"/>
        </w:trPr>
        <w:tc>
          <w:tcPr>
            <w:tcW w:w="7460" w:type="dxa"/>
            <w:vAlign w:val="bottom"/>
            <w:tcBorders>
              <w:right w:val="single" w:sz="8" w:color="CFF0FC"/>
            </w:tcBorders>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Withholding taxes paid on net exercise of stock options</w:t>
            </w:r>
          </w:p>
        </w:tc>
        <w:tc>
          <w:tcPr>
            <w:tcW w:w="10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(174)</w:t>
            </w:r>
          </w:p>
        </w:tc>
        <w:tc>
          <w:tcPr>
            <w:tcW w:w="10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4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Stock issuance costs</w:t>
            </w:r>
          </w:p>
        </w:tc>
        <w:tc>
          <w:tcPr>
            <w:tcW w:w="106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(47)</w:t>
            </w:r>
          </w:p>
        </w:tc>
        <w:tc>
          <w:tcPr>
            <w:tcW w:w="10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(232)</w:t>
            </w:r>
          </w:p>
        </w:tc>
      </w:tr>
      <w:tr>
        <w:trPr>
          <w:trHeight w:val="155"/>
        </w:trPr>
        <w:tc>
          <w:tcPr>
            <w:tcW w:w="7460" w:type="dxa"/>
            <w:vAlign w:val="bottom"/>
            <w:tcBorders>
              <w:bottom w:val="single" w:sz="8" w:color="CFF0FC"/>
              <w:right w:val="single" w:sz="8" w:color="CFF0FC"/>
            </w:tcBorders>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106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392,998</w:t>
            </w:r>
          </w:p>
        </w:tc>
        <w:tc>
          <w:tcPr>
            <w:tcW w:w="3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450</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4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06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1,210</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(215,596)</w:t>
            </w:r>
          </w:p>
        </w:tc>
      </w:tr>
      <w:tr>
        <w:trPr>
          <w:trHeight w:val="162"/>
        </w:trPr>
        <w:tc>
          <w:tcPr>
            <w:tcW w:w="7460" w:type="dxa"/>
            <w:vAlign w:val="bottom"/>
            <w:tcBorders>
              <w:bottom w:val="single" w:sz="8" w:color="CFF0FC"/>
              <w:right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32,490</w:t>
            </w:r>
          </w:p>
        </w:tc>
        <w:tc>
          <w:tcPr>
            <w:tcW w:w="3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257,068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4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1060" w:type="dxa"/>
            <w:vAlign w:val="bottom"/>
          </w:tcPr>
          <w:p>
            <w:pPr>
              <w:jc w:val="right"/>
              <w:ind w:right="9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33,700</w:t>
            </w:r>
          </w:p>
        </w:tc>
        <w:tc>
          <w:tcPr>
            <w:tcW w:w="320" w:type="dxa"/>
            <w:vAlign w:val="bottom"/>
          </w:tcPr>
          <w:p>
            <w:pPr>
              <w:spacing w:after="0"/>
              <w:rPr>
                <w:sz w:val="13"/>
                <w:szCs w:val="13"/>
                <w:color w:val="auto"/>
              </w:rPr>
            </w:pPr>
          </w:p>
        </w:tc>
        <w:tc>
          <w:tcPr>
            <w:tcW w:w="1040" w:type="dxa"/>
            <w:vAlign w:val="bottom"/>
          </w:tcPr>
          <w:p>
            <w:pPr>
              <w:jc w:val="right"/>
              <w:ind w:right="8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41,472</w:t>
            </w:r>
          </w:p>
        </w:tc>
        <w:tc>
          <w:tcPr>
            <w:tcW w:w="100" w:type="dxa"/>
            <w:vAlign w:val="bottom"/>
          </w:tcPr>
          <w:p>
            <w:pPr>
              <w:spacing w:after="0"/>
              <w:rPr>
                <w:sz w:val="13"/>
                <w:szCs w:val="13"/>
                <w:color w:val="auto"/>
              </w:rPr>
            </w:pPr>
          </w:p>
        </w:tc>
      </w:tr>
      <w:tr>
        <w:trPr>
          <w:trHeight w:val="20"/>
        </w:trPr>
        <w:tc>
          <w:tcPr>
            <w:tcW w:w="7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460" w:type="dxa"/>
            <w:vAlign w:val="bottom"/>
            <w:tcBorders>
              <w:right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4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Cash paid for interest</w:t>
            </w:r>
          </w:p>
        </w:tc>
        <w:tc>
          <w:tcPr>
            <w:tcW w:w="1060" w:type="dxa"/>
            <w:vAlign w:val="bottom"/>
          </w:tcPr>
          <w:p>
            <w:pPr>
              <w:jc w:val="right"/>
              <w:ind w:right="9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w:t>
            </w:r>
          </w:p>
        </w:tc>
        <w:tc>
          <w:tcPr>
            <w:tcW w:w="320" w:type="dxa"/>
            <w:vAlign w:val="bottom"/>
          </w:tcPr>
          <w:p>
            <w:pPr>
              <w:spacing w:after="0"/>
              <w:rPr>
                <w:sz w:val="14"/>
                <w:szCs w:val="14"/>
                <w:color w:val="auto"/>
              </w:rPr>
            </w:pPr>
          </w:p>
        </w:tc>
        <w:tc>
          <w:tcPr>
            <w:tcW w:w="1040" w:type="dxa"/>
            <w:vAlign w:val="bottom"/>
          </w:tcPr>
          <w:p>
            <w:pPr>
              <w:jc w:val="right"/>
              <w:ind w:right="8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7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60" w:type="dxa"/>
            <w:vAlign w:val="bottom"/>
            <w:tcBorders>
              <w:right w:val="single" w:sz="8" w:color="CFF0FC"/>
            </w:tcBorders>
            <w:shd w:val="clear" w:color="auto" w:fill="CFF0FC"/>
          </w:tcPr>
          <w:p>
            <w:pPr>
              <w:ind w:left="140"/>
              <w:spacing w:after="0" w:line="143" w:lineRule="exact"/>
              <w:rPr>
                <w:sz w:val="20"/>
                <w:szCs w:val="20"/>
                <w:color w:val="auto"/>
              </w:rPr>
            </w:pPr>
            <w:r>
              <w:rPr>
                <w:rFonts w:ascii="Times New Roman" w:cs="Times New Roman" w:eastAsia="Times New Roman" w:hAnsi="Times New Roman"/>
                <w:sz w:val="15"/>
                <w:szCs w:val="15"/>
                <w:color w:val="auto"/>
              </w:rPr>
              <w:t>Cash paid for taxes</w:t>
            </w:r>
          </w:p>
        </w:tc>
        <w:tc>
          <w:tcPr>
            <w:tcW w:w="1060" w:type="dxa"/>
            <w:vAlign w:val="bottom"/>
            <w:shd w:val="clear" w:color="auto" w:fill="CFF0FC"/>
          </w:tcPr>
          <w:p>
            <w:pPr>
              <w:jc w:val="right"/>
              <w:ind w:right="94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3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88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FF0FC"/>
          </w:tcPr>
          <w:p>
            <w:pPr>
              <w:jc w:val="right"/>
              <w:ind w:right="120"/>
              <w:spacing w:after="0" w:line="143" w:lineRule="exact"/>
              <w:rPr>
                <w:sz w:val="20"/>
                <w:szCs w:val="20"/>
                <w:color w:val="auto"/>
              </w:rPr>
            </w:pPr>
            <w:r>
              <w:rPr>
                <w:rFonts w:ascii="Times New Roman" w:cs="Times New Roman" w:eastAsia="Times New Roman" w:hAnsi="Times New Roman"/>
                <w:sz w:val="15"/>
                <w:szCs w:val="15"/>
                <w:color w:val="auto"/>
              </w:rPr>
              <w:t>—</w:t>
            </w:r>
          </w:p>
        </w:tc>
      </w:tr>
      <w:tr>
        <w:trPr>
          <w:trHeight w:val="304"/>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10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82"/>
        </w:trPr>
        <w:tc>
          <w:tcPr>
            <w:tcW w:w="7460" w:type="dxa"/>
            <w:vAlign w:val="bottom"/>
            <w:tcBorders>
              <w:right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Stock issuance costs, unpaid and accrued</w:t>
            </w:r>
          </w:p>
        </w:tc>
        <w:tc>
          <w:tcPr>
            <w:tcW w:w="1060" w:type="dxa"/>
            <w:vAlign w:val="bottom"/>
            <w:shd w:val="clear" w:color="auto" w:fill="CFF0FC"/>
          </w:tcPr>
          <w:p>
            <w:pPr>
              <w:jc w:val="right"/>
              <w:ind w:right="9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139</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8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215</w:t>
            </w:r>
          </w:p>
        </w:tc>
        <w:tc>
          <w:tcPr>
            <w:tcW w:w="100" w:type="dxa"/>
            <w:vAlign w:val="bottom"/>
            <w:shd w:val="clear" w:color="auto" w:fill="CFF0FC"/>
          </w:tcPr>
          <w:p>
            <w:pPr>
              <w:spacing w:after="0"/>
              <w:rPr>
                <w:sz w:val="15"/>
                <w:szCs w:val="15"/>
                <w:color w:val="auto"/>
              </w:rPr>
            </w:pPr>
          </w:p>
        </w:tc>
      </w:tr>
      <w:tr>
        <w:trPr>
          <w:trHeight w:val="20"/>
        </w:trPr>
        <w:tc>
          <w:tcPr>
            <w:tcW w:w="74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43"/>
        </w:trPr>
        <w:tc>
          <w:tcPr>
            <w:tcW w:w="7460" w:type="dxa"/>
            <w:vAlign w:val="bottom"/>
          </w:tcPr>
          <w:p>
            <w:pPr>
              <w:ind w:left="140"/>
              <w:spacing w:after="0" w:line="143" w:lineRule="exact"/>
              <w:rPr>
                <w:sz w:val="20"/>
                <w:szCs w:val="20"/>
                <w:color w:val="auto"/>
              </w:rPr>
            </w:pPr>
            <w:r>
              <w:rPr>
                <w:rFonts w:ascii="Times New Roman" w:cs="Times New Roman" w:eastAsia="Times New Roman" w:hAnsi="Times New Roman"/>
                <w:sz w:val="15"/>
                <w:szCs w:val="15"/>
                <w:color w:val="auto"/>
              </w:rPr>
              <w:t>Operating lease right-of-use asset obtained in exchange for lease liabilities</w:t>
            </w:r>
          </w:p>
        </w:tc>
        <w:tc>
          <w:tcPr>
            <w:tcW w:w="106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791</w:t>
            </w:r>
          </w:p>
        </w:tc>
        <w:tc>
          <w:tcPr>
            <w:tcW w:w="320" w:type="dxa"/>
            <w:vAlign w:val="bottom"/>
          </w:tcPr>
          <w:p>
            <w:pPr>
              <w:spacing w:after="0"/>
              <w:rPr>
                <w:sz w:val="12"/>
                <w:szCs w:val="12"/>
                <w:color w:val="auto"/>
              </w:rPr>
            </w:pPr>
          </w:p>
        </w:tc>
        <w:tc>
          <w:tcPr>
            <w:tcW w:w="1040" w:type="dxa"/>
            <w:vAlign w:val="bottom"/>
            <w:tcBorders>
              <w:bottom w:val="single" w:sz="8" w:color="auto"/>
            </w:tcBorders>
          </w:tcPr>
          <w:p>
            <w:pPr>
              <w:jc w:val="right"/>
              <w:ind w:right="88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859</w:t>
            </w:r>
          </w:p>
        </w:tc>
        <w:tc>
          <w:tcPr>
            <w:tcW w:w="100" w:type="dxa"/>
            <w:vAlign w:val="bottom"/>
          </w:tcPr>
          <w:p>
            <w:pPr>
              <w:spacing w:after="0"/>
              <w:rPr>
                <w:sz w:val="12"/>
                <w:szCs w:val="12"/>
                <w:color w:val="auto"/>
              </w:rPr>
            </w:pPr>
          </w:p>
        </w:tc>
      </w:tr>
      <w:tr>
        <w:trPr>
          <w:trHeight w:val="20"/>
        </w:trPr>
        <w:tc>
          <w:tcPr>
            <w:tcW w:w="7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-2545080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-1910715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-1276350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-1062355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-487680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-471170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-153670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-136525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CG Oncology, Inc. (the Company) is a late-stage clinical biopharmaceutical company focused on developing and commercializing its product candidate, cretostimogene grenadenorepvec, for patients with bladder cancer. The Company is at a clinical stage and does not project to generate significant revenues if and until the U.S. Food and Drug Administration (FDA) approves its product candidate, cretostimogene, and the Company is able to commercialize this product candidate.</w:t>
      </w:r>
    </w:p>
    <w:p>
      <w:pPr>
        <w:spacing w:after="0" w:line="2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On March 28, 2025, the Company entered into an Open Market Sale Agreement</w:t>
      </w:r>
      <w:r>
        <w:rPr>
          <w:rFonts w:ascii="Times New Roman" w:cs="Times New Roman" w:eastAsia="Times New Roman" w:hAnsi="Times New Roman"/>
          <w:sz w:val="7"/>
          <w:szCs w:val="7"/>
          <w:color w:val="231F20"/>
        </w:rPr>
        <w:t>SM</w:t>
      </w:r>
      <w:r>
        <w:rPr>
          <w:rFonts w:ascii="Times New Roman" w:cs="Times New Roman" w:eastAsia="Times New Roman" w:hAnsi="Times New Roman"/>
          <w:sz w:val="18"/>
          <w:szCs w:val="18"/>
          <w:color w:val="231F20"/>
        </w:rPr>
        <w:t xml:space="preserve"> (Jefferies Sales Agreement) with Jefferies LLC, as agent, pursuant to which the Company may offer and sell, from time to time through Jefferies, shares of the Company's common stock. As of March 31, 2026, the Company has completed the Jefferies Sales Agreement, having received gross proceeds of $550.0 million and net aggregate proceeds of $538.5 million under the Jefferies Sales Agreement, after deducting discounts and commissions and other offering expenses. </w:t>
      </w:r>
      <w:r>
        <w:rPr>
          <w:rFonts w:ascii="Times New Roman" w:cs="Times New Roman" w:eastAsia="Times New Roman" w:hAnsi="Times New Roman"/>
          <w:sz w:val="18"/>
          <w:szCs w:val="18"/>
          <w:color w:val="000000"/>
        </w:rPr>
        <w:t>During the three months ended 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2026, 6,941,407 shares were sold under the Jefferies Sales Agreement, at a weighted-average price of $57.56 per share, and the Company received net proceeds of $391.4 million, after deducting discounts and commissions and other offering expenses.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2025, SafeGuard Healthcare, LLC (SafeGuard), a wholly owned subsidiary of the Company, purchased a $26.8 million convertible note, including accrued interest, from SP Healthcare SPV I, LLC (the SPV). The SPV used the proceeds from the Note to invest and acquire substantially all of the assets of Biovire, Inc. (Biovire), a contract manufacturing organization that produces cretostimogene for the Company. In July 2025, SafeGuard converted the Note (the Conversion Event) and obtained control of both the SPV and Biovire. Refer to Note 15 for additional details on the Conversion Event.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March 31, 2026 and for the three months ended March 31, 2026 and 2025 have been prepared in accordance with U.S. generally accepted accounting principles (U.S. GAAP) for interim financial information and pursuant to the rules and regulations of the U.S. Securities and Exchange Commission (SEC). Accordingly, they do not include all of the information and notes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Company’s audited financial statements for the year ended December 31, 2025 included in the Company's Annual Report on Form 10-K for the year ended December 31, 2025 (2025 Annual Report), filed with the SEC on February 27, 2026. In the opinion of management, the unaudited condensed consolidated financial statements reflect all adjustments, which include only normal and recurring adjustments, considered necessary for a fair statement of the interim periods.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33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approximately $1,076.2 million of cash, cash equivalents and marketable securities and working capital of approximately $1,066.9 million. The Company has a relatively limited operating history, and the revenue and income potential of the Company’s business and market are unproven. The Company has experienced net losses and negative cash flows from operations since its inception and, as of March 31, 2026, the Company had an accumulated deficit of $439.2 million. During the three months ended March 31, 2026, the Company incurred a net loss of $60.2 million and had negative cash flows from operations of $56.9 million. The Company will continue to incur significant costs and expenses related to its ongoing operations until it successfully develops, obtains regulatory approval, and gains market acceptance of a product candidate and achieves a level of revenues adequate to support the Company’s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in its 2025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Accounting standards not listed below were assessed and determined not to be applicable or are expected to have minimal impact on the Company’s unaudited condensed consolidated financial statements.</w:t>
      </w:r>
    </w:p>
    <w:p>
      <w:pPr>
        <w:spacing w:after="0" w:line="16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Comprehensive Income - Expense Disaggregation Disclosures</w:t>
      </w:r>
      <w:r>
        <w:rPr>
          <w:rFonts w:ascii="Times New Roman" w:cs="Times New Roman" w:eastAsia="Times New Roman" w:hAnsi="Times New Roman"/>
          <w:sz w:val="18"/>
          <w:szCs w:val="18"/>
          <w:color w:val="auto"/>
        </w:rPr>
        <w:t>, which will improve the disclosures about a public business entity's expenses and address requests from investors for more detailed information about the types of expenses in commonly presented expense captions such as cost of sales, selling, general and administrative, and research and development. The amendments are effective for fiscal years beginning after December 15, 2026. Early adoption is permitted for annual financial statements that have not yet been issued or made available. The amendments should be applied on either (1) prospectively to financial statements issued for reporting periods after the effective date or</w:t>
      </w:r>
    </w:p>
    <w:p>
      <w:pPr>
        <w:spacing w:after="0" w:line="1" w:lineRule="exact"/>
        <w:rPr>
          <w:sz w:val="20"/>
          <w:szCs w:val="20"/>
          <w:color w:val="auto"/>
        </w:rPr>
      </w:pPr>
    </w:p>
    <w:p>
      <w:pPr>
        <w:ind w:firstLine="8"/>
        <w:spacing w:after="0" w:line="260"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to any or all prior periods presented in the financial statements. The Company is currently evaluating the provisions of the amendments and the effect on its future consolidated financial statements.</w:t>
      </w:r>
    </w:p>
    <w:p>
      <w:pPr>
        <w:spacing w:after="0" w:line="1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clarifies and modernizes the accounting for costs related to internal-use software.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remove all references to project stages and clarify the threshold entities apply to begin capitalizing costs. The amendments are effective for fiscal years beginning after December 15, 2027 and interim reporting periods within those annual reporting periods, with early adoption permitted. The Company is currently evaluating the provisions of the amendments and the effect on its future consolidated financial statements.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 Scope Improvements</w:t>
      </w:r>
      <w:r>
        <w:rPr>
          <w:rFonts w:ascii="Times New Roman" w:cs="Times New Roman" w:eastAsia="Times New Roman" w:hAnsi="Times New Roman"/>
          <w:sz w:val="18"/>
          <w:szCs w:val="18"/>
          <w:color w:val="auto"/>
        </w:rPr>
        <w:t>, which clarifies required interim disclosures under Topic 270 by providing a comprehensive list of required interim disclosures, and clarifies the applicability of Topic 270. This update is effective for annual reporting periods beginning after December 15, 2027, and interim reporting periods within annual reporting periods beginning after December 15, 2028, with early adoption permitted. ASU 2025-11 may be adopted on a prospective or retrospective basis. The Company is currently evaluating the impact of this guidance on its future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financial instruments carried at fair value on a recurring basis as of March 31, 2026 and December 31, 2025, respectively, in accordance with the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hierarchy (in thousands):</w:t>
      </w:r>
    </w:p>
    <w:p>
      <w:pPr>
        <w:spacing w:after="0" w:line="155"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w:t>
            </w: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5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120" w:type="dxa"/>
            <w:vAlign w:val="bottom"/>
          </w:tcPr>
          <w:p>
            <w:pPr>
              <w:spacing w:after="0"/>
              <w:rPr>
                <w:sz w:val="18"/>
                <w:szCs w:val="18"/>
                <w:color w:val="auto"/>
              </w:rPr>
            </w:pPr>
          </w:p>
        </w:tc>
      </w:tr>
      <w:tr>
        <w:trPr>
          <w:trHeight w:val="216"/>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1,042,542</w:t>
            </w:r>
          </w:p>
        </w:tc>
        <w:tc>
          <w:tcPr>
            <w:tcW w:w="18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1,042,542</w:t>
            </w:r>
          </w:p>
        </w:tc>
        <w:tc>
          <w:tcPr>
            <w:tcW w:w="120" w:type="dxa"/>
            <w:vAlign w:val="bottom"/>
            <w:shd w:val="clear" w:color="auto" w:fill="CFF0FC"/>
          </w:tcPr>
          <w:p>
            <w:pPr>
              <w:spacing w:after="0"/>
              <w:rPr>
                <w:sz w:val="18"/>
                <w:szCs w:val="18"/>
                <w:color w:val="auto"/>
              </w:rPr>
            </w:pPr>
          </w:p>
        </w:tc>
      </w:tr>
      <w:tr>
        <w:trPr>
          <w:trHeight w:val="364"/>
        </w:trPr>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5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18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26,695</w:t>
            </w:r>
          </w:p>
        </w:tc>
        <w:tc>
          <w:tcPr>
            <w:tcW w:w="120" w:type="dxa"/>
            <w:vAlign w:val="bottom"/>
          </w:tcPr>
          <w:p>
            <w:pPr>
              <w:spacing w:after="0"/>
              <w:rPr>
                <w:sz w:val="18"/>
                <w:szCs w:val="18"/>
                <w:color w:val="auto"/>
              </w:rPr>
            </w:pPr>
          </w:p>
        </w:tc>
      </w:tr>
      <w:tr>
        <w:trPr>
          <w:trHeight w:val="216"/>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709,665</w:t>
            </w:r>
          </w:p>
        </w:tc>
        <w:tc>
          <w:tcPr>
            <w:tcW w:w="18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709,665</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cash equivalents represent deposits in a short-term U.S. Treasury money market fund quoted in an active market, which were classified as a Level 1 fair value measurement, and fixed income securities (U.S. treasury bills) with original maturities of 90 days or less. Marketable securities consist primarily of fixed income securities (U.S. treasury bills and notes) and corporate bonds with original maturities greater than 90 days. All fixed income securities and corporate bonds were classified as a Level 2 fair value measurement.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three months ended March 31, 2026 and the year ended December 31, 2025.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property and equipment, net as of March 31, 2026 and December 31, 2025 were as follows (in thousands):</w:t>
      </w:r>
    </w:p>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3"/>
                <w:szCs w:val="13"/>
                <w:color w:val="auto"/>
              </w:rPr>
            </w:pP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0" w:type="dxa"/>
            <w:vAlign w:val="bottom"/>
            <w:gridSpan w:val="2"/>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10,553</w:t>
            </w:r>
          </w:p>
        </w:tc>
        <w:tc>
          <w:tcPr>
            <w:tcW w:w="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8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lab equipment</w:t>
            </w: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8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114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17,368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8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(1,474)</w:t>
            </w:r>
          </w:p>
        </w:tc>
      </w:tr>
      <w:tr>
        <w:trPr>
          <w:trHeight w:val="20"/>
        </w:trPr>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15,074</w:t>
            </w: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80" w:type="dxa"/>
            <w:vAlign w:val="bottom"/>
            <w:shd w:val="clear" w:color="auto" w:fill="CFF0FC"/>
          </w:tcPr>
          <w:p>
            <w:pPr>
              <w:spacing w:after="0"/>
              <w:rPr>
                <w:sz w:val="19"/>
                <w:szCs w:val="19"/>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$0.8 million and less than $0.1 million, respectively.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Conversion Event in July 2025, the Company recognized goodwill of $10.3 million. See Note 15 for additional information on this transaction.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annually assesses goodwill for impairment in the fourth quarter of each calendar year and at an interim date if indicators of impairment exist. During the three months ended March 31, 2026, no goodwill impairment was recognized.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as of March 31, 2026 and December 31, 2025 were as follows (in thousands):</w:t>
      </w:r>
    </w:p>
    <w:p>
      <w:pPr>
        <w:spacing w:after="0" w:line="219" w:lineRule="exact"/>
        <w:rPr>
          <w:sz w:val="20"/>
          <w:szCs w:val="20"/>
          <w:color w:val="auto"/>
        </w:rPr>
      </w:pPr>
    </w:p>
    <w:tbl>
      <w:tblPr>
        <w:tblLayout w:type="fixed"/>
        <w:tblInd w:w="124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r>
      <w:tr>
        <w:trPr>
          <w:trHeight w:val="21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80" w:type="dxa"/>
            <w:vAlign w:val="bottom"/>
            <w:shd w:val="clear" w:color="auto" w:fill="CFF0FC"/>
          </w:tcPr>
          <w:p>
            <w:pPr>
              <w:spacing w:after="0"/>
              <w:rPr>
                <w:sz w:val="18"/>
                <w:szCs w:val="18"/>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80" w:type="dxa"/>
            <w:vAlign w:val="bottom"/>
          </w:tcPr>
          <w:p>
            <w:pPr>
              <w:spacing w:after="0"/>
              <w:rPr>
                <w:sz w:val="18"/>
                <w:szCs w:val="18"/>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shd w:val="clear" w:color="auto" w:fill="CFF0FC"/>
          </w:tcPr>
          <w:p>
            <w:pPr>
              <w:spacing w:after="0"/>
              <w:rPr>
                <w:sz w:val="18"/>
                <w:szCs w:val="18"/>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8"/>
                <w:szCs w:val="18"/>
                <w:color w:val="auto"/>
              </w:rPr>
            </w:pPr>
          </w:p>
        </w:tc>
      </w:tr>
      <w:tr>
        <w:trPr>
          <w:trHeight w:val="216"/>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25,914</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8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-170815</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51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entered into non-cancellable operating leases with remaining lease terms expiring between 2026 and 2034. Of the four operating leases that have commenced as of March 31, 2026, three are leases in which the Company is the lessee for office space. The remaining operating lease was acquired in connection with the Conversion Event and includes office, manufacturing, and warehouse space. In the fourth quarter of 2025, the Company entered into an additional non-cancelable operating lease for office space with a term of approximately eight years, which, along with rent payments, is expected to commence in the third quarter of 2026. The Company had no finance leases as of March 31, 2026 and December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for the periods ended March 31, 2026 and 2025 were as follows (in thousands):</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40" w:type="dxa"/>
            <w:vAlign w:val="bottom"/>
            <w:vMerge w:val="continue"/>
          </w:tcPr>
          <w:p>
            <w:pPr>
              <w:spacing w:after="0"/>
              <w:rPr>
                <w:sz w:val="21"/>
                <w:szCs w:val="21"/>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596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3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596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 obtained in exchange for new operating lease</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5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 included in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cash flows</w:t>
            </w:r>
          </w:p>
        </w:tc>
        <w:tc>
          <w:tcPr>
            <w:tcW w:w="3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414"/>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as of March 31, 2026 were as follows (in thousands):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80" w:type="dxa"/>
            <w:vAlign w:val="bottom"/>
            <w:gridSpan w:val="2"/>
            <w:vMerge w:val="restart"/>
          </w:tcPr>
          <w:p>
            <w:pPr>
              <w:spacing w:after="0"/>
              <w:rPr>
                <w:sz w:val="18"/>
                <w:szCs w:val="18"/>
                <w:color w:val="auto"/>
              </w:rPr>
            </w:pPr>
          </w:p>
        </w:tc>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vMerge w:val="continue"/>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18"/>
                <w:szCs w:val="18"/>
                <w:color w:val="auto"/>
              </w:rPr>
            </w:pPr>
          </w:p>
        </w:tc>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amount representing imputed interest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future minimum lease obligations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80" w:type="dxa"/>
            <w:vAlign w:val="bottom"/>
            <w:tcBorders>
              <w:top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-2536825</wp:posOffset>
            </wp:positionV>
            <wp:extent cx="111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-2519680</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-2536825</wp:posOffset>
            </wp:positionV>
            <wp:extent cx="1117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-2519680</wp:posOffset>
            </wp:positionV>
            <wp:extent cx="1117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-453390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liability for loss contingencies arising from claims, assessments, litigation, fines, penalties, and other sources is recorded in the unaudited condensed consolidated financial statements if it is determined that it is probable that a loss has been incurred, and that the amount (or range) of the loss can be reasonably estimated.</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March 4, 2024, a complaint was filed against the Company in the Superior Court of the State of Delaware by ANI Pharmaceuticals, Inc. seeking a declaratory judgment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the Company will not owe ANI a future royalty of 5% on commercial sales of cretostimogene, no damages have been awarded to ANI, and there are no further payments due to ANI under the ANI Agreement. On April 10, 2026, the Superior Court heard oral arguments from ANI and the Company on pending post-trial motions submitted by the Company and ANI, which included (i) ANI’s Motion for Judgment as a Matter of Law; (ii) ANI’s Motion to Unseal Trial Exhibits; and (iii) CG’s Motion for Costs. As of the filing of this Quarterly Report on Form 10-Q, the Superior Court has not issued a ruling on these post-trial motions. The Company will continue to vigorously defend the post-trial motions and any appeals brought by ANI.</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As of March 31, 2026, the Company had not experienced any losses related to these indemnification obligations, and no claims with respect thereto were outstanding.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2019, the Company entered into a development and license agreement with Lepu Biotech Co., Ltd. (Lepu) for cretostimogene (the Lepu License Agreement). Under the terms of the Lepu License Agreement, the Company granted to Lepu an exclusive license to develop, manufacture and commercialize cretostimogene and/or n-Dodecyl-beta-Maltoside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Lepu paid to the Company a one-time upfront payment of $4.5 million and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the Lepu License Agreement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w:t>
      </w:r>
    </w:p>
    <w:p>
      <w:pPr>
        <w:spacing w:after="0" w:line="18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Future milestone payments are fully constrained as the risk of significant revenue reversal will only be resolved depending on future regulatory approval and sales level outcomes. The Company will re-evaluate the likelihood of achieving future milestones at the end of each reporting period.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sales-based royalty fee is considered variable consideration and will be recognized as revenue as such sales occur. The sales-based royalty fee qualifies for the royalty constraint exception and does not require an estimate of the future transaction price.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recognized no license and collaboration revenue during the three months ended March 31, 2026 and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March 2020, and amended as of September 2022, the Company entered into a license and collaboration agreement with Kissei Pharmaceutical Co., Ltd.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License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w:t>
      </w:r>
    </w:p>
    <w:p>
      <w:pPr>
        <w:spacing w:after="0" w:line="19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The Company is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Kissei License Agreement will expire on a Licensed Product-by-Licensed Product and country-by-country basis when there is no remaining royalty or milestone payment obligation due to a party with respect to such Licensed Product in such country. Following expiration of the Kissei License Agreement in its entirety, the licenses the Company granted to Kissei will become non-exclusive, fully-paid royalty-free and irrevocable and Kissei will have the right to negotiate directly with the Company's product suppliers for the direct supply of Licensed Product to Kissei. The Kissei License Agreement may be terminated either by Kissei or by the Company in the event of an uncured material breach by the other party or in the event the other party becomes subject to specified bankruptcy, insolvency or similar circumstances. In addition, the Company has the right to terminate the Kissei License Agreement in the event that Kissei commences a legal action challenging the validity, enforceability or scope of any licensed patents under the Kissei License Agreement. Kissei may terminate the Kissei License Agreement at will upon specified written notice. Additionally, Kissei may terminate the Kissei License Agreement for the Company's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the Company's contract manufacturing organizations for the supply of Licensed Product. Upon termination of the Kissei License Agreement for any other reason all rights and licenses granted to Kissei to develop and commercialize the product under the Kissei License Agreement will terminate, subject to certain rights to sell existing inventory of Licensed Products by Kissei and its sublicensees. Upon termination of the Kissei License Agreement for Kissei’s breach, any sublicenses granted by Kissei may, upon the Company’s discretion, continue.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 xml:space="preserve">The Company evaluated the Kissei License Agreement to determine whether it is a collaborative arrangement in the scope of ASC 808, </w:t>
      </w: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(ASC 808). The Company concluded the Kissei License Agreement is a collaborative agreement under ASC 808,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Kissei License Agreement involves a joint operating activity, each party is an active participant in the activities related to the Kissei License Agreement, and both parties are exposed to significant risks and rewards dependent upon the commercial success of the activities related to the Kissei License Agreement.</w:t>
      </w:r>
    </w:p>
    <w:p>
      <w:pPr>
        <w:spacing w:after="0" w:line="200" w:lineRule="exact"/>
        <w:rPr>
          <w:sz w:val="20"/>
          <w:szCs w:val="20"/>
          <w:color w:val="auto"/>
        </w:rPr>
      </w:pPr>
    </w:p>
    <w:p>
      <w:pPr>
        <w:spacing w:after="0" w:line="20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determined the Kissei License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License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w:t>
      </w:r>
    </w:p>
    <w:p>
      <w:pPr>
        <w:spacing w:after="0" w:line="18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License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a performance obligation at the outset of the arrangement.</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w:t>
      </w:r>
    </w:p>
    <w:p>
      <w:pPr>
        <w:spacing w:after="0" w:line="18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The Company recognized less than $0.1 million in license and collaboration revenue for each of the three months ended March 31, 2026 and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Disclosures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(CODM) is its chief executive officer, who reviews financial information presented on a consolidated basis. The CODM uses consolidated net income (loss) to assess financial performance and allocate resources. The CODM does not review assets in evaluating the results of the single segment and therefore, such information is not presented.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tbl>
      <w:tblPr>
        <w:tblLayout w:type="fixed"/>
        <w:tblInd w:w="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140"/>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0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development revenue</w:t>
            </w:r>
          </w:p>
        </w:tc>
        <w:tc>
          <w:tcPr>
            <w:tcW w:w="3000" w:type="dxa"/>
            <w:vAlign w:val="bottom"/>
            <w:gridSpan w:val="2"/>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80" w:type="dxa"/>
            <w:vAlign w:val="bottom"/>
          </w:tcPr>
          <w:p>
            <w:pPr>
              <w:spacing w:after="0"/>
              <w:rPr>
                <w:sz w:val="18"/>
                <w:szCs w:val="18"/>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4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4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1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Clinical and manufacturing</w:t>
            </w:r>
          </w:p>
        </w:tc>
        <w:tc>
          <w:tcPr>
            <w:tcW w:w="1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00" w:type="dxa"/>
            <w:vAlign w:val="bottom"/>
          </w:tcPr>
          <w:p>
            <w:pPr>
              <w:spacing w:after="0"/>
              <w:rPr>
                <w:sz w:val="18"/>
                <w:szCs w:val="18"/>
                <w:color w:val="auto"/>
              </w:rPr>
            </w:pPr>
          </w:p>
        </w:tc>
      </w:tr>
      <w:tr>
        <w:trPr>
          <w:trHeight w:val="216"/>
        </w:trPr>
        <w:tc>
          <w:tcPr>
            <w:tcW w:w="4360" w:type="dxa"/>
            <w:vAlign w:val="bottom"/>
            <w:tcBorders>
              <w:bottom w:val="single" w:sz="8" w:color="CFF0FC"/>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(1)</w:t>
            </w:r>
          </w:p>
        </w:tc>
        <w:tc>
          <w:tcPr>
            <w:tcW w:w="14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100" w:type="dxa"/>
            <w:vAlign w:val="bottom"/>
          </w:tcPr>
          <w:p>
            <w:pPr>
              <w:spacing w:after="0"/>
              <w:rPr>
                <w:sz w:val="18"/>
                <w:szCs w:val="18"/>
                <w:color w:val="auto"/>
              </w:rPr>
            </w:pPr>
          </w:p>
        </w:tc>
      </w:tr>
      <w:tr>
        <w:trPr>
          <w:trHeight w:val="216"/>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14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42,256</w:t>
            </w:r>
          </w:p>
        </w:tc>
        <w:tc>
          <w:tcPr>
            <w:tcW w:w="100" w:type="dxa"/>
            <w:vAlign w:val="bottom"/>
          </w:tcPr>
          <w:p>
            <w:pPr>
              <w:spacing w:after="0"/>
              <w:rPr>
                <w:sz w:val="18"/>
                <w:szCs w:val="18"/>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(66,389)</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(42,204)</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tcPr>
          <w:p>
            <w:pPr>
              <w:spacing w:after="0"/>
              <w:rPr>
                <w:sz w:val="18"/>
                <w:szCs w:val="18"/>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(60,202)</w:t>
            </w: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(34,452)</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-1722120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-882015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-599440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Other research and development consists of indirect costs incurred for the benefit of the research and development efforts, including certain personnel, supply chain, quality assurance, and regulatory affairs.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700,000,000 shares of common stock at March 31, 2026 and December 31, 2025, of which 88,007,761 and 80,689,128 shares were issued and outstanding at March 31, 2026 and December 31, 2025,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Voting, dividend and liquidation rights of the holders of the common stock are subject to and qualified by the rights, powers and preferences of the holders of the preferred stock, of which there are none as of March 31, 2026 and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holders of common stock shall be entitled to receive dividends out of funds legally available therefore at such times and in such amounts as the board of directors may determine in its sole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winding-up of the Company or deemed liquidation event of the Company, all of the remaining assets of the Company available for distribution to the stockholders shall be distributed among the holders of the common stock, pro rata based on the number of shares held by each such 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March 31, 2026, the Company reserved the following shares of common stock for issuance:</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Stock options and awards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-119380</wp:posOffset>
            </wp:positionV>
            <wp:extent cx="398589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85895" cy="137160"/>
                    </a:xfrm>
                    <a:prstGeom prst="rect">
                      <a:avLst/>
                    </a:prstGeom>
                    <a:noFill/>
                  </pic:spPr>
                </pic:pic>
              </a:graphicData>
            </a:graphic>
          </wp:anchor>
        </w:drawing>
      </w:r>
    </w:p>
    <w:p>
      <w:pPr>
        <w:spacing w:after="0" w:line="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Reserved for future stock award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5715</wp:posOffset>
            </wp:positionV>
            <wp:extent cx="3985895"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85895" cy="145415"/>
                    </a:xfrm>
                    <a:prstGeom prst="rect">
                      <a:avLst/>
                    </a:prstGeom>
                    <a:noFill/>
                  </pic:spPr>
                </pic:pic>
              </a:graphicData>
            </a:graphic>
          </wp:anchor>
        </w:drawing>
      </w:r>
    </w:p>
    <w:p>
      <w:pPr>
        <w:ind w:left="2480"/>
        <w:spacing w:after="0"/>
        <w:rPr>
          <w:sz w:val="20"/>
          <w:szCs w:val="20"/>
          <w:color w:val="auto"/>
        </w:rPr>
      </w:pPr>
      <w:r>
        <w:rPr>
          <w:rFonts w:ascii="Times New Roman" w:cs="Times New Roman" w:eastAsia="Times New Roman" w:hAnsi="Times New Roman"/>
          <w:sz w:val="18"/>
          <w:szCs w:val="18"/>
          <w:color w:val="auto"/>
        </w:rPr>
        <w:t>Reserved for future ESPP issuances</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-3175</wp:posOffset>
            </wp:positionV>
            <wp:extent cx="12515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7,754,214</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7,309,118</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1,481,534</w:t>
      </w:r>
    </w:p>
    <w:p>
      <w:pPr>
        <w:spacing w:after="0" w:line="9"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7"/>
          <w:szCs w:val="17"/>
          <w:color w:val="auto"/>
        </w:rPr>
        <w:t>16,544,866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21590</wp:posOffset>
            </wp:positionV>
            <wp:extent cx="12515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38735</wp:posOffset>
            </wp:positionV>
            <wp:extent cx="12515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744" w:lineRule="exact"/>
        <w:rPr>
          <w:sz w:val="20"/>
          <w:szCs w:val="20"/>
          <w:color w:val="auto"/>
        </w:rPr>
      </w:pPr>
    </w:p>
    <w:p>
      <w:pPr>
        <w:sectPr>
          <w:pgSz w:w="11900" w:h="16838" w:orient="portrait"/>
          <w:cols w:equalWidth="0" w:num="2">
            <w:col w:w="6660" w:space="720"/>
            <w:col w:w="3860"/>
          </w:cols>
          <w:pgMar w:left="320" w:top="765" w:right="339" w:bottom="1440" w:gutter="0" w:footer="0" w:header="0"/>
          <w:type w:val="continuous"/>
        </w:sect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2015, the Company established the 2015 Plan, under which the Company may grant options and restricted stock to its employees and certain non-employees. As of March 31, 2026, there were 437,361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March 31, 2026, there were 3,096,076 shares of common stock subject to outstanding awards under the 2022 Plan.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11, 2024, the Company’s board of directors and stockholders approved the 2024 Equity Incentive Plan (the 2024 Plan), which became effective on January 24, 2024. The 2024 Plan replaced the 2022 Plan, as the Company’s board of directors has determined to not make additional grants under the 2022 Plan following its initial public offering. However, the 2015 and 2022 Plans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is (1) 8,246,565 shares, plus</w:t>
      </w:r>
    </w:p>
    <w:p>
      <w:pPr>
        <w:spacing w:after="0" w:line="3" w:lineRule="exact"/>
        <w:rPr>
          <w:sz w:val="20"/>
          <w:szCs w:val="20"/>
          <w:color w:val="auto"/>
        </w:rPr>
      </w:pPr>
    </w:p>
    <w:p>
      <w:pPr>
        <w:jc w:val="both"/>
        <w:ind w:right="20" w:firstLine="8"/>
        <w:spacing w:after="0" w:line="255" w:lineRule="auto"/>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subject to outstanding awards under the 2015 and 2022 Plans as of the effective date of the 2024 Plan that become available for issuance under the 2024 Plan thereafter in accordance with its terms. As of March 31, 2026, there were 4,220,777 shares of common stock subject to outstanding awards and 7,309,113 shares of common stock remaining and available for issuance under the 2024 Plan.</w:t>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grant options to purchase authorized but unissued shares of the Company’s common stock. Options granted under the 2015 Plan, 2022 Plan and 2024 Plan include incentive stock options that can be granted only to the Company’s employees and non-statutory stock options that can be granted to the Company’s employees, consultants, advisors and directors.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exercise prices, vesting and other restrictions of the awards granted under the 2015 Plan, 2022 Plan and 2024 Plan are determined by the Board, except that no stock option may be issued with an exercise price less than the fair market value of the common stock at the date of the grant or have a term in excess of ten years. Options granted under the 2015 Plan, 2022 Plan and 2024 Plan are exercisable in whole or in part at any time subsequent to vesting.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three months ended March 31, 2026 (in thousands, except share and per share amounts):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Balance at December 31, 2025</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Granted</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Exercised</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Forfeited/Expired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Balance at March 31, 2026</w:t>
      </w:r>
    </w:p>
    <w:p>
      <w:pPr>
        <w:spacing w:after="0" w:line="59" w:lineRule="exact"/>
        <w:rPr>
          <w:sz w:val="20"/>
          <w:szCs w:val="20"/>
          <w:color w:val="auto"/>
        </w:rPr>
      </w:pPr>
    </w:p>
    <w:p>
      <w:pPr>
        <w:ind w:left="580" w:right="160"/>
        <w:spacing w:after="0" w:line="316" w:lineRule="auto"/>
        <w:rPr>
          <w:sz w:val="20"/>
          <w:szCs w:val="20"/>
          <w:color w:val="auto"/>
        </w:rPr>
      </w:pPr>
      <w:r>
        <w:rPr>
          <w:rFonts w:ascii="Times New Roman" w:cs="Times New Roman" w:eastAsia="Times New Roman" w:hAnsi="Times New Roman"/>
          <w:sz w:val="16"/>
          <w:szCs w:val="16"/>
          <w:color w:val="auto"/>
        </w:rPr>
        <w:t>Vested and expected to vest at March 31, 2026 Exercisable at March 31, 2026</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1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7,958,219</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198,545</w:t>
            </w:r>
          </w:p>
        </w:tc>
        <w:tc>
          <w:tcPr>
            <w:tcW w:w="0" w:type="dxa"/>
            <w:vAlign w:val="bottom"/>
          </w:tcPr>
          <w:p>
            <w:pPr>
              <w:spacing w:after="0"/>
              <w:rPr>
                <w:sz w:val="1"/>
                <w:szCs w:val="1"/>
                <w:color w:val="auto"/>
              </w:rPr>
            </w:pPr>
          </w:p>
        </w:tc>
      </w:tr>
      <w:tr>
        <w:trPr>
          <w:trHeight w:val="216"/>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61.15</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(355,634)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(49,744)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7,588,841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382,892</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7,588,841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2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200" w:type="dxa"/>
            <w:vAlign w:val="bottom"/>
          </w:tcPr>
          <w:p>
            <w:pPr>
              <w:spacing w:after="0"/>
              <w:rPr>
                <w:sz w:val="16"/>
                <w:szCs w:val="16"/>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382,892</w:t>
            </w:r>
          </w:p>
        </w:tc>
        <w:tc>
          <w:tcPr>
            <w:tcW w:w="0" w:type="dxa"/>
            <w:vAlign w:val="bottom"/>
          </w:tcPr>
          <w:p>
            <w:pPr>
              <w:spacing w:after="0"/>
              <w:rPr>
                <w:sz w:val="1"/>
                <w:szCs w:val="1"/>
                <w:color w:val="auto"/>
              </w:rPr>
            </w:pPr>
          </w:p>
        </w:tc>
      </w:tr>
      <w:tr>
        <w:trPr>
          <w:trHeight w:val="216"/>
        </w:trPr>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3,583,396</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-972820</wp:posOffset>
            </wp:positionV>
            <wp:extent cx="641223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-698500</wp:posOffset>
            </wp:positionV>
            <wp:extent cx="641223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-132715</wp:posOffset>
            </wp:positionV>
            <wp:extent cx="641223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-424180</wp:posOffset>
            </wp:positionV>
            <wp:extent cx="641223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3780" w:space="720"/>
            <w:col w:w="6740"/>
          </w:cols>
          <w:pgMar w:left="320" w:top="765" w:right="339" w:bottom="1440" w:gutter="0" w:footer="0" w:header="0"/>
          <w:type w:val="continuous"/>
        </w:sectPr>
      </w:pPr>
    </w:p>
    <w:p>
      <w:pPr>
        <w:spacing w:after="0" w:line="21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stock options and the fair value of the Company's common stock. The aggregate intrinsic value of options exercised during the three months ended March 31, 2026 and 2025 was $19.6 million and $0.9 million, respectively.</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the options granted was $39.90 and $27.30 per share for the three months ended March 31, 2026 and 2025, respectively. The aggregate grant-date fair value of options vested during the three months ended March 31, 2026 and 2025 was $6.8 million and $5.6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assumptions used in determining the fair value of option awards for the three months ended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5960" w:type="dxa"/>
            <w:vAlign w:val="bottom"/>
            <w:tcBorders>
              <w:bottom w:val="single" w:sz="8" w:color="auto"/>
            </w:tcBorders>
            <w:gridSpan w:val="3"/>
          </w:tcPr>
          <w:p>
            <w:pPr>
              <w:ind w:left="1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280" w:type="dxa"/>
            <w:vAlign w:val="bottom"/>
          </w:tcPr>
          <w:p>
            <w:pPr>
              <w:spacing w:after="0"/>
              <w:rPr>
                <w:sz w:val="12"/>
                <w:szCs w:val="12"/>
                <w:color w:val="auto"/>
              </w:rPr>
            </w:pPr>
          </w:p>
        </w:tc>
        <w:tc>
          <w:tcPr>
            <w:tcW w:w="28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Pr>
          <w:p>
            <w:pPr>
              <w:spacing w:after="0"/>
              <w:rPr>
                <w:sz w:val="12"/>
                <w:szCs w:val="12"/>
                <w:color w:val="auto"/>
              </w:rPr>
            </w:pPr>
          </w:p>
        </w:tc>
        <w:tc>
          <w:tcPr>
            <w:tcW w:w="2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68.24% - 69.97%</w:t>
            </w:r>
          </w:p>
        </w:tc>
        <w:tc>
          <w:tcPr>
            <w:tcW w:w="31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73.39% - 74.09%</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3.725% - 3.97%</w:t>
            </w:r>
          </w:p>
        </w:tc>
        <w:tc>
          <w:tcPr>
            <w:tcW w:w="31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4.05% - 4.5%</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310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31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6.0 - 6.1</w:t>
            </w:r>
          </w:p>
        </w:tc>
      </w:tr>
    </w:tbl>
    <w:p>
      <w:pPr>
        <w:spacing w:after="0" w:line="24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of $6.0 million and $4.4 million for the three months ended March 31, 2026 and 2025, respectively. As of March 31, 2026, the Company had an aggregate $57.5 million of gross unrecognized stock-based compensation expense related to unvested options to be recognized over a weighted average period of 2.7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Performance Stock Unit (PSU) represents one equivalent share of the Company's common stock to be issued after achievement of the performance metrics specified in the grant. The following table summarizes the Company's PSU activity for three months ended March 31, 2026:</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1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at December 31, 2025</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166,342</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at March 31, 2026</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165,373</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Expected to vest at March 31, 2026</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165,373</w:t>
            </w:r>
          </w:p>
        </w:tc>
        <w:tc>
          <w:tcPr>
            <w:tcW w:w="1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-158750</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-141605</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-158750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-141605</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a PSU based upon the expected achievement of the performance metrics specified in the grant and the closing market price of the Company's common stock on the date of grant.</w:t>
      </w:r>
    </w:p>
    <w:p>
      <w:pPr>
        <w:spacing w:after="0" w:line="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Stock-based compensation expense associated with these PSUs is recognized if achievement of the underlying performance condition is considered probable of achievement based on the Company’s best estimates. No stock-based compensation expense related to PSUs was recorded during the three months ended March 31, 2026 and 2025. As of March 31, 2026, the Company had an aggregate $6.5 million of gross unrecognized stock-based compensation expense related to unvested PSUs to be recognized over a weighted average period of 1.2 years, including the expense attributable to PSUs for which achievement is not considered probable and no current expense is being recognized.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awards and the 2024 Employee Stock Purchase Plan (see Note 12) recorded in the accompanying statements of operations for the three months ended March 31, 2026 and 2025 was as follows (in thousands):</w:t>
      </w:r>
    </w:p>
    <w:p>
      <w:pPr>
        <w:spacing w:after="0" w:line="155"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324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142"/>
        </w:trPr>
        <w:tc>
          <w:tcPr>
            <w:tcW w:w="3380" w:type="dxa"/>
            <w:vAlign w:val="bottom"/>
          </w:tcPr>
          <w:p>
            <w:pPr>
              <w:spacing w:after="0"/>
              <w:rPr>
                <w:sz w:val="12"/>
                <w:szCs w:val="12"/>
                <w:color w:val="auto"/>
              </w:rPr>
            </w:pPr>
          </w:p>
        </w:tc>
        <w:tc>
          <w:tcPr>
            <w:tcW w:w="1220" w:type="dxa"/>
            <w:vAlign w:val="bottom"/>
            <w:tcBorders>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r>
      <w:tr>
        <w:trPr>
          <w:trHeight w:val="21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jc w:val="right"/>
              <w:ind w:right="106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44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20" w:type="dxa"/>
            <w:vAlign w:val="bottom"/>
            <w:shd w:val="clear" w:color="auto" w:fill="CFF0FC"/>
          </w:tcPr>
          <w:p>
            <w:pPr>
              <w:jc w:val="right"/>
              <w:ind w:right="106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44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-24765</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and does not expect to recognize in the near future, any tax benefit related to employee stock-based compensation expense as a result of the full valuation allowance related to its net deferred tax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January 11, 2024, </w:t>
      </w:r>
      <w:r>
        <w:rPr>
          <w:rFonts w:ascii="Times New Roman" w:cs="Times New Roman" w:eastAsia="Times New Roman" w:hAnsi="Times New Roman"/>
          <w:sz w:val="18"/>
          <w:szCs w:val="18"/>
          <w:color w:val="242424"/>
        </w:rPr>
        <w:t>the Company’s board of directors and stockholders approved the 2024 Employee Stock Purchase Plan (the ESPP),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became effective on January 24, 2024. The number of shares initially available for issuance pursuant to the ESPP is 812,242 shares. The ESPP </w:t>
      </w:r>
      <w:r>
        <w:rPr>
          <w:rFonts w:ascii="Times New Roman" w:cs="Times New Roman" w:eastAsia="Times New Roman" w:hAnsi="Times New Roman"/>
          <w:sz w:val="18"/>
          <w:szCs w:val="18"/>
          <w:color w:val="000000"/>
        </w:rPr>
        <w:t>provides for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the sale of the Company's common stock to eligible employees at 85% of the fair market value of the Company's common stock at the commencement date of each offering period or the relevant date of purchase, whichever is lower. Payroll deductions are limited to 15% of the employee’s eligible compensation, subject to IRS limits. In addition, employees may not buy more than 100,000 shares during any purchase period or offering period. There were 39,060 shares purchased under the ESPP during the three months ended March 31, 2026, and 32,019 shares purchased under the ESPP during the three months ended March 31, 2025. As of March 31, 2026, there were approximately 1.5 million shares available for issuance under the ESPP.</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under the ESPP of approximately $0.5 million and $0.7 million for the three months ended March 31, 2026 and 2025, respectively. As of March 31, 2026, the Company had $1.3 million of gross unrecognized stock-based compensation expense under the ESPP to be recognized over a weighted average period of 1.6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Conversion Event, the Company assumed an unsecured promissory note held by Biovire (the Biovire Note) with an outstanding principal balance of $3.0 million. The Company determined that the carrying amount of the Biovire Note represented its fair value. The Biovire Note is due and payable on February 28, 2028 (Maturity Date) and accrues interest at the lesser of (i) the daily term SOFR rate plus 2.60% and (ii) 25.0%, or the highest rate permitted by applicable law, and is payable monthly. The Company has the ability to repay the Biovire Note in full prior to the Maturity Date without penalty.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 Attributable to Common 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9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(60,202)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(34,452)</w:t>
            </w:r>
          </w:p>
        </w:tc>
      </w:tr>
      <w:tr>
        <w:trPr>
          <w:trHeight w:val="20"/>
        </w:trPr>
        <w:tc>
          <w:tcPr>
            <w:tcW w:w="5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stock outstanding, basic and diluted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84,518,512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76,187,621</w:t>
            </w:r>
          </w:p>
        </w:tc>
        <w:tc>
          <w:tcPr>
            <w:tcW w:w="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598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4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(0.45)</w:t>
            </w: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-25400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stock options and awards, have been excluded from the computation of diluted net loss per share as the effect would be to reduce the net loss per share.</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at March 31, 2026 and 2025 because including them would have had an anti-dilutive effect:</w:t>
      </w:r>
    </w:p>
    <w:p>
      <w:pPr>
        <w:spacing w:after="0" w:line="155" w:lineRule="exact"/>
        <w:rPr>
          <w:sz w:val="20"/>
          <w:szCs w:val="20"/>
          <w:color w:val="auto"/>
        </w:rPr>
      </w:pPr>
    </w:p>
    <w:tbl>
      <w:tblPr>
        <w:tblLayout w:type="fixed"/>
        <w:tblInd w:w="260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4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740" w:type="dxa"/>
            <w:vAlign w:val="bottom"/>
          </w:tcPr>
          <w:p>
            <w:pPr>
              <w:spacing w:after="0"/>
              <w:rPr>
                <w:sz w:val="12"/>
                <w:szCs w:val="12"/>
                <w:color w:val="auto"/>
              </w:rPr>
            </w:pPr>
          </w:p>
        </w:tc>
        <w:tc>
          <w:tcPr>
            <w:tcW w:w="102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r>
      <w:tr>
        <w:trPr>
          <w:trHeight w:val="210"/>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7,588,841</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6,607,154</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09"/>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7,588,841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6,607,154</w:t>
            </w:r>
          </w:p>
        </w:tc>
        <w:tc>
          <w:tcPr>
            <w:tcW w:w="16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-170815</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of Biovire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20, 2025, the Company obtained control of the SPV through the Conversion Event, resulting in SafeGuard owning 100% of the membership interest of the SPV. As a result of the Conversion Event, the Company also indirectly obtained control of Biovire as the SPV owns 99.96% of the capital stock of Biovire. As a result of this change in control, purchase accounting was applied by the Company and the operations of Biovire are consolidated as of the effective date of the conversion. See footnote 1 for more information on the Note.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Biovire is a contract manufacturer specializing in the fill and finish of novel drugs and medical devices for pharmaceutical and biotech companies. Prior to becoming a majority-owned subsidiary, Biovire was a vendor to the Company and continues to provide clinical supply of cretostimogene used in the Company’s clinical trials. The acquisition provides the Company the ability to supply its requirements of cretostimogene during the remainder of its clinical trials.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Consideration was determined to be the fair value of the note receivable that was exchanged for the majority of shares of the SPV and Biovire. The acquisition was accounted for as a business combination using the acquisition method of accounting, under which the acquired assets, including intangible assets, and assumed liabilities were recognized at their estimated fair values as of July 20, 2025, with the excess of the fair value of consideration transferred over the fair value of the net assets acquired recognized as goodwill. The Company's unaudited condensed consolidated financial statements include the operating results of the SPV and Biovire from the date of acquisition through March 31, 2026.</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purchase price allocation is set forth in the table below and represents the Company’s fair value estimates related to the acquisition as of July 20,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Identifiable assets acquired</w:t>
            </w:r>
          </w:p>
        </w:tc>
        <w:tc>
          <w:tcPr>
            <w:tcW w:w="440" w:type="dxa"/>
            <w:vAlign w:val="bottom"/>
          </w:tcPr>
          <w:p>
            <w:pPr>
              <w:spacing w:after="0"/>
              <w:rPr>
                <w:sz w:val="15"/>
                <w:szCs w:val="15"/>
                <w:color w:val="auto"/>
              </w:rPr>
            </w:pPr>
          </w:p>
        </w:tc>
        <w:tc>
          <w:tcPr>
            <w:tcW w:w="24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09"/>
        </w:trPr>
        <w:tc>
          <w:tcPr>
            <w:tcW w:w="3840" w:type="dxa"/>
            <w:vAlign w:val="bottom"/>
            <w:gridSpan w:val="2"/>
            <w:vMerge w:val="continue"/>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shd w:val="clear" w:color="auto" w:fill="CFF0FC"/>
          </w:tcPr>
          <w:p>
            <w:pPr>
              <w:spacing w:after="0"/>
              <w:rPr>
                <w:sz w:val="18"/>
                <w:szCs w:val="18"/>
                <w:color w:val="auto"/>
              </w:rPr>
            </w:pP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tcBorders>
              <w:bottom w:val="single" w:sz="8" w:color="auto"/>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4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44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440" w:type="dxa"/>
            <w:vAlign w:val="bottom"/>
            <w:shd w:val="clear" w:color="auto" w:fill="CFF0FC"/>
          </w:tcPr>
          <w:p>
            <w:pPr>
              <w:spacing w:after="0"/>
              <w:rPr>
                <w:sz w:val="18"/>
                <w:szCs w:val="18"/>
                <w:color w:val="auto"/>
              </w:rPr>
            </w:pP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440" w:type="dxa"/>
            <w:vAlign w:val="bottom"/>
            <w:shd w:val="clear" w:color="auto" w:fill="CFF0FC"/>
          </w:tcPr>
          <w:p>
            <w:pPr>
              <w:spacing w:after="0"/>
              <w:rPr>
                <w:sz w:val="18"/>
                <w:szCs w:val="18"/>
                <w:color w:val="auto"/>
              </w:rPr>
            </w:pP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40" w:type="dxa"/>
            <w:vAlign w:val="bottom"/>
            <w:shd w:val="clear" w:color="auto" w:fill="CFF0FC"/>
          </w:tcPr>
          <w:p>
            <w:pPr>
              <w:spacing w:after="0"/>
              <w:rPr>
                <w:sz w:val="18"/>
                <w:szCs w:val="18"/>
                <w:color w:val="auto"/>
              </w:rPr>
            </w:pP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4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Borders>
              <w:bottom w:val="single" w:sz="8" w:color="auto"/>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consideration paid</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-1559560</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purchase price was allocated to the tangible assets and identifiable intangible assets acquired and liabilities assumed based on their acquisition date estimated fair values. The carrying amount of accounts receivable and inventory acquired represented their fair value. Property and equipment were assigned a fair value of $16.6 million and will be amortized over a weighted average of 5.5 years. The identifiable intangible assets consist of trade names and trademarks and customer relationships which were each assigned fair values of approximately $0.3 million and will be amortized on a straight-line basis over their estimated useful lives of 10 years. The acquired property and equipment and intangible assets were valued utilizing either the relief from royalty method or the multi-period excess earnings method as deemed most applicable. These approaches require judgment, including those related to projected net cash flows, revenue growth rates, and the weighted average cost of capital used to discount the cash flows.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identifiable tangible and intangible assets acquired in addition to liabilities assumed arising from the business combination. The Company believes the goodwill related to the acquisition was attributable to the expected synergies, value of the assembled workforce, and the collective experience of the management team with regards to its operations, customers, and industry.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and the unaudited condensed consolidated financial statements included in this Quarterly Report on Form 10-Q (Quarterly Report) is provided as a supplement to, and should be read in conjunction with the financial statements and notes thereto for the year ended December 31, 2025 and the related "Risk Factors" and "Management’s Discussion and Analysis of Financial Condition and Results of Operations" of the Annual Report on Form 10-K for the year ended December 31, 2025 (the 2025 Annual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or “will” or the negative of these terms or other similar expressions. These forward-looking statements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 Item 1A, “Risk Factors” of the 2025 Annual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cretostimogene grenadenorepvec (cretostimogene), an investigational oncolytic immunotherapy with a dual mechanism of action designed both to eliminate cancer cells directly by selective replication and indirectly by activating an anti-tumor immune response, as a potential backbone therapy in a broad range of patients afflicted with bladder cancer. Cretostimogene is currently in clinical development for the treatment of patients with high-risk and intermediate-risk non-muscle invasive bladder cancer (NMIBC), which potentially represents up to 150,000 addressable patients.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evaluating the safety and efficacy of cretostimogene as a monotherapy in BOND-003 Cohort C, our ongoing Phase 3 clinical trial in high-risk Bacillus Calmette-Guérin (BCG)-unresponsive NMIBC with carcinoma in situ (CIS), with or without Ta/T1 disease. Given the limitations of currently approved therapies, the next course of treatment for these patients with BCG-unresponsive tumors is radical cystectomy, which is the complete removal of the bladder. This surgery carries a significant social, functional and emotional burden for patients. As such, there is a significant unmet need for effective bladder-sparing treatments. We have completed enrollment for this cohort and reported potentially best-in-disease data in September 2025. This trial served as the basis for our Biologics License Application (BLA) submission for our initial indication to the U.S. Food and Drug Administration (FDA), which we initiated in the fourth quarter of 2025 and expect to complete in the fourth quarter of 2026. Cretostimogene has received both Fast Track and Breakthrough Therapy designations from the FDA for the treatment of high-risk BCG-unresponsive NMIBC with CIS with or without Ta or T1 papillary tumors. Additionally, in April 2024, we initiated BOND-003 Cohort P, an exploratory study evaluating cretostimogene monotherapy in high-risk BCG-unresponsive NMIBC with only Ta/T1 disease. Initial data from this Cohort was reported at the 2025 AUA Annual Meeting, with potentially best-in-disease data reported at the Society of Urologic Oncology (SUO) 26th Annual Meeting in December 2025. Based on internal research derived from the National Cancer Institute Surveillance, Epidemiology, and End Results Program’s (NIH SEER) database, secondary claims data analytics and management assumptions, the high-risk BCG-unresponsive NMIBC segment may represent up to 25,000 addressable patients.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also conducting a Phase 3 clinical trial, PIVOT-006, the first randomized registrational trial to evaluate an investigational therapy in intermediate-risk NMIBC assessing adjuvant cretostimogene following transurethral resection of the bladder tumor (TURBT), with enrollment completed in the third quarter of 2025. These patients with intermediate-risk NMIBC are encumbered by frequent tumor recurrence that requires repeat resection of the bladder tumors. Moreover, intravesical BCG is no longer recommended by guidelines for this patient population due to the continuous BCG shortage. We believe cretostimogene, if approved in intermediate-risk NMIBC, has the potential to serve as a first-in-class backbone therapy in this frontline adjuvant setting, for which there are currently no U.S. FDA approved options. Based on internal research derived from NIH SEER database, secondary claims data analytics and management assumptions, the intermediate-risk NMIBC segment may represent up to 50,000 addressable patients.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we have multiple ongoing Phase 2 trials designed to generate data in high-risk BCG-exposed and BCG-naïve patients. In October 2024, we initiated CORE-008 Cohort A, a Phase 2 clinical trial in high-risk NMIBC patients who are naïve to BCG treatment, including patients with CIS and with or without Ta/T1 disease and patients with only Ta/T1 disease. Initial data from this Cohort were reported at the SUO Annual Meeting in December 2025. Based on internal research derived from NIH SEER database, secondary claims data analytics and management assumptions, the high-risk BCG-naïve NMIBC segment may represent up to 25,000 addressable patients. In March 2025, we expanded CORE-008 evaluating cretostimogene as a monotherapy in the high-risk BCG-exposed population (Cohort B). In addition, in April 2025, we initiated a third Cohort (Cohort CX), evaluating cretostimogene in combination with gemcitabine in both the high-risk BCG-exposed and BCG-unresponsive population. Based on internal research derived from NIH SEER database, secondary claims data analytics and management assumptions, the high-risk BCG-exposed NMIBC segment may represent up to 50,000 addressable patients. Notably, cretostimogene’s potential for combination with other therapies was assessed in a Phase 2 CORE-001 clinical trial evaluating cretostimogene in combination with the checkpoint inhibitor (CPI) pembrolizumab in high-risk BCG-unresponsive NMIBC patients.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Our net losses were $60.2 million and $34.5 million for the three months ended March 31, 2026 and 2025, respectively. As of March 31, 2026, we had an accumulated deficit of $439.2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spacing w:after="0" w:line="8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To date, we have primarily funded our operations with proceeds from the sale of shares of our common stock through public offerings and our redeemable convertible preferred stock, as well as through previously outstanding term debt. </w:t>
      </w:r>
      <w:r>
        <w:rPr>
          <w:rFonts w:ascii="Times New Roman" w:cs="Times New Roman" w:eastAsia="Times New Roman" w:hAnsi="Times New Roman"/>
          <w:sz w:val="18"/>
          <w:szCs w:val="18"/>
          <w:color w:val="231F20"/>
        </w:rPr>
        <w:t>In January 2024, we completed our initial public offering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23,000,000 common shares at a price of $19.00 per share, including the exercise in full by the underwriters of their option to purchase an additional 3,000,000 shares of common stock. We received net proceeds of $399.6 million, after deducting discounts, commissions and other offering expenses. In addition, as a result of our initial public offering, our convertible preferred stock converted into common stock concurrently with the initial public offering. In December 2024, we completed a follow-on offering of 8,500,000 common shares at a price of $28.00 per share, including the exercise in full by the underwriters of their option to purchase an additional 1,200,000 shares of common stock. We received net proceeds of $223.1 million, after deducting discounts, commissions and other offering expenses. On March 28, 2025, we entered into an Open Market Sale Agreement</w:t>
      </w:r>
      <w:r>
        <w:rPr>
          <w:rFonts w:ascii="Times New Roman" w:cs="Times New Roman" w:eastAsia="Times New Roman" w:hAnsi="Times New Roman"/>
          <w:sz w:val="7"/>
          <w:szCs w:val="7"/>
          <w:color w:val="231F20"/>
        </w:rPr>
        <w:t>SM</w:t>
      </w:r>
      <w:r>
        <w:rPr>
          <w:rFonts w:ascii="Times New Roman" w:cs="Times New Roman" w:eastAsia="Times New Roman" w:hAnsi="Times New Roman"/>
          <w:sz w:val="18"/>
          <w:szCs w:val="18"/>
          <w:color w:val="231F20"/>
        </w:rPr>
        <w:t xml:space="preserve"> (Jefferies Sales Agreement) with Jefferies LLC, as agent, pursuant to which we may offer and sell, from time to time through Jefferies, shares of our common stock. On the same day, we filed a shelf registration statement on Form S-3ASR with the SEC, which contains a base prospectus, covering an unlimited amount of our common stock, preferred stock, debt securities and warrants to purchase any of such securities, and a sales agreement prospectus, which we subsequently amended on January 13, 2026, covering the offering, issuance and sale of up to a maximum aggregate offering of $550 million of our common stock that may be issued and sold from time to time under the Jefferies Sales Agreement. As of March 31, 2026, we have completed the Jefferies Sales Agreement and have received gross proceeds of $550.0 million and net aggregate proceeds of $538.5 million under the Jefferies Sales Agreement, after deducting discounts and commissions and other offering expenses.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T</w:t>
      </w:r>
      <w:r>
        <w:rPr>
          <w:rFonts w:ascii="Times New Roman" w:cs="Times New Roman" w:eastAsia="Times New Roman" w:hAnsi="Times New Roman"/>
          <w:sz w:val="18"/>
          <w:szCs w:val="18"/>
          <w:color w:val="000000"/>
        </w:rPr>
        <w:t>hrough March 31, 2026, we have received aggregate gross proceeds of approximately $1,532.9 million from the sale of shares of our common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stock from our initial public offering, our follow-on offering in December 2024, and our at-the-market facility, and sales of redeemable convertible preferred stock. In addition, through March 31, 2026, we have recognized $26.9 million in license and collaboration revenue pursuant to our license and collaboration agreements. As of March 31, 2026, we had cash, cash equivalents and marketable securities of $1,076.2 million.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In February 2025, the Company's wholly owned subsidiary, SafeGuard Healthcare, LLC (SafeGuard), </w:t>
      </w:r>
      <w:r>
        <w:rPr>
          <w:rFonts w:ascii="Times New Roman" w:cs="Times New Roman" w:eastAsia="Times New Roman" w:hAnsi="Times New Roman"/>
          <w:sz w:val="18"/>
          <w:szCs w:val="18"/>
          <w:color w:val="000000"/>
        </w:rPr>
        <w:t>purchased a $26.8 million convertible note,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including accrued interest, from SP Healthcare SPV I, LLC (the SPV). The SPV used the proceeds from the Note to invest and acquire substantially all of the assets of Biovire, Inc. (Biovire), a contract manufacturing organization that produces cretostimogene for </w:t>
      </w:r>
      <w:r>
        <w:rPr>
          <w:rFonts w:ascii="Times New Roman" w:cs="Times New Roman" w:eastAsia="Times New Roman" w:hAnsi="Times New Roman"/>
          <w:sz w:val="18"/>
          <w:szCs w:val="18"/>
          <w:color w:val="231F20"/>
        </w:rPr>
        <w:t>the Company. In July 2025, SafeGuard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converted the Note (the Conversion Event) and obtained control of both the SPV and Biovire. As a result of this change in control, the operations of Biovire were consolidated as of the effective date of the conversion.</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We believe, based on our current operating plan, that our existing cash, cash equivalents and marketable securities, will be sufficient to fund our operations for at least the next twelve months from the date of this Quarterly Report. </w:t>
      </w:r>
      <w:r>
        <w:rPr>
          <w:rFonts w:ascii="Times New Roman" w:cs="Times New Roman" w:eastAsia="Times New Roman" w:hAnsi="Times New Roman"/>
          <w:sz w:val="18"/>
          <w:szCs w:val="18"/>
          <w:color w:val="000000"/>
        </w:rPr>
        <w:t>However, we have based this estimate on assumptions that may prove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be wrong, and our operating plan may change as a result of many factors currently unknown </w:t>
      </w:r>
      <w:r>
        <w:rPr>
          <w:rFonts w:ascii="Times New Roman" w:cs="Times New Roman" w:eastAsia="Times New Roman" w:hAnsi="Times New Roman"/>
          <w:sz w:val="18"/>
          <w:szCs w:val="18"/>
          <w:color w:val="231F20"/>
        </w:rPr>
        <w:t>to us. In addition, we could utilize our available capital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resources sooner than we expect.</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will not generate revenue from product sales of cretostimogene or any future product candidates unless and until we successfully complete clinical development and obtain regulatory approval, which we expect will take a number of years and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Other than Biovire, which manufactures and conducts release testing of our cretostimogene drug product, we do not own or operate any manufacturing facilities. We rely, and expect to continue to rely, on Biovire and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Below is a summary of the key terms for certain of our license and collaboration agreements. For a more detailed description of these agreements, see the section titled “Business—License and Collaboration Agreements” in our 2025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March 2019, we entered into a development and license agreement (the Lepu License Agreement) with Lepu Biotech Co., Ltd. (Lepu), under which we granted an exclusive license to Lepu to develop, manufacture and commercialize cretostimogene and/or DDM to treat and/or prevent cancer in the Lepu Territory. 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During the three months ended March 31, 2026 and 2025, we did not recognize any license and collaboration revenue related to the Lepu License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Kissei License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2020, and as amended September 2022, we entered into a license and collaboration agreement (the Kissei License Agreement) with Kissei Pharmaceutical Co., Ltd.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pay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each of the three months ended March 31, 2026 and 2025, less than $0.1 million in license and collaboration revenue was recorded related to the Kissei License Agreement.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March 31, 2026, we have recognized $26.9 million in license and collaboration revenue through our license and collaboration agreements. We have not generated any revenue from the sale of our cretostimogene products, however, and do not expect to generate any revenue from the sale of our cretostimogene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and Development Revenue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Conversion Event, we obtained control of the SPV and its subsidiary, Biovire, a contract manufacturer specializing in the fill and finish of novel drugs and medical devices for pharmaceutical and biotech companies. Our commercial and development revenue consists of Biovire's fill and finish of novel drugs and medical devices.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costs and expenses consist of (i) cost of sales, (ii) research and development expenses and (iii)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sales reflects the direct cost of labor and other overhead, which includes direct manufacturing, production, and packaging materials for commercial and development product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external and internal costs incurred in performing clinical and preclinical development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Our R&amp;D expenses consist of:</w:t>
      </w:r>
    </w:p>
    <w:p>
      <w:pPr>
        <w:spacing w:after="0" w:line="117"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external costs incurred under agreements with contract research organizations (CROs), contract manufacturers, consultants and other third parties to conduct and support our clinical trials and preclinical studies; and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internal costs, including R&amp;D personnel-related expenses such as salaries, stock-based compensation and benefits, as well as allocated facilities costs and dues and subscriptions.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spacing w:after="0" w:line="80" w:lineRule="exact"/>
        <w:rPr>
          <w:sz w:val="20"/>
          <w:szCs w:val="20"/>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potential additional safety monitoring requested by regulatory agencies;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 and timing of manufacturing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extent of changes in government regulation and regulatory guidance;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efficacy and safety profile of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such as salaries, stock-based compensation and benefits, for our personnel in executive, legal, finance and accounting, human resources and other administrative functions. General and administrative expenses also include legal fees relating to patent and corporate matters and professional fees paid for accounting, auditing, consulting and tax services, as well as allocated facilities costs not otherwise included in R&amp;D expenses and other costs such as insurance costs and travel expenses.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related to interest earned on our invested cash equivalents and marketable securities balances. It also includes other miscellaneous items, such as interest expense and other items not related to our core operations. We expect our interest income will increase as we invest the cash received from the net proceeds from our public offerings.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and development revenue</w:t>
            </w:r>
          </w:p>
        </w:tc>
        <w:tc>
          <w:tcPr>
            <w:tcW w:w="2380" w:type="dxa"/>
            <w:vAlign w:val="bottom"/>
            <w:gridSpan w:val="2"/>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80" w:type="dxa"/>
            <w:vAlign w:val="bottom"/>
          </w:tcPr>
          <w:p>
            <w:pPr>
              <w:spacing w:after="0"/>
              <w:rPr>
                <w:sz w:val="18"/>
                <w:szCs w:val="18"/>
                <w:color w:val="auto"/>
              </w:rPr>
            </w:pPr>
          </w:p>
        </w:tc>
        <w:tc>
          <w:tcPr>
            <w:tcW w:w="1040" w:type="dxa"/>
            <w:vAlign w:val="bottom"/>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4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43,730</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3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67,472</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42,256</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(66,389)</w:t>
            </w:r>
          </w:p>
        </w:tc>
        <w:tc>
          <w:tcPr>
            <w:tcW w:w="10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(42,204)</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(24,185)</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FF0FC"/>
            </w:tcBorders>
          </w:tcPr>
          <w:p>
            <w:pPr>
              <w:spacing w:after="0" w:line="20" w:lineRule="exact"/>
              <w:rPr>
                <w:sz w:val="1"/>
                <w:szCs w:val="1"/>
                <w:color w:val="auto"/>
              </w:rPr>
            </w:pPr>
          </w:p>
        </w:tc>
        <w:tc>
          <w:tcPr>
            <w:tcW w:w="134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CFF0FC"/>
            </w:tcBorders>
            <w:shd w:val="clear" w:color="auto" w:fill="000000"/>
          </w:tcPr>
          <w:p>
            <w:pPr>
              <w:spacing w:after="0" w:line="20" w:lineRule="exact"/>
              <w:rPr>
                <w:sz w:val="1"/>
                <w:szCs w:val="1"/>
                <w:color w:val="auto"/>
              </w:rPr>
            </w:pPr>
          </w:p>
        </w:tc>
        <w:tc>
          <w:tcPr>
            <w:tcW w:w="1340" w:type="dxa"/>
            <w:vAlign w:val="bottom"/>
            <w:tcBorders>
              <w:bottom w:val="single" w:sz="8" w:color="CFF0FC"/>
            </w:tcBorders>
            <w:shd w:val="clear" w:color="auto" w:fill="000000"/>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Net loss and comprehensive loss</w:t>
            </w:r>
          </w:p>
        </w:tc>
        <w:tc>
          <w:tcPr>
            <w:tcW w:w="1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(60,202)</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(34,452)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(25,750)</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-1731010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-1731010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-882015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-882015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-325120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-325120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and Development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Commercial and development revenue was $1.1 million for the three months ended March 31, 2026 compared to zero for the three months ended March 31, 2025. As the Conversion Event occurred in July 2025, there was no corresponding commercial and development revenue in the prior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License and collaboration revenue was less than $0.1 million for the three months ended March 31, 2026 and the three months ended March 31, 2025. All revenue recognized during both periods was related to the Kissei License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sales was $3.0 million for the three months ended March 31, 2026 compared to zero for the three months ended March 31, 2025. As the Conversion Event occurred in July 2025, there was no corresponding costs in the prior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three months ended March 31, 2026 and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vMerge w:val="restart"/>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clinical trial expenses</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114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43,730</w:t>
            </w:r>
          </w:p>
        </w:tc>
        <w:tc>
          <w:tcPr>
            <w:tcW w:w="11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R&amp;D expenses were $43.7 million for the three months ended March 31, 2026 compared to $27.5 million for the three months ended March 31, 2025. The increase of $16.3 million in R&amp;D expenses for the three months ended March 31, 2026 was primarily due to an increase of $14.5 million in external clinical trial expenses related to higher Chemistry, Manufacturing, and Controls (CMC) costs, as well as an increase of $2.1 million in compensation costs due to increased headcount, including a $0.9 million increase in stock-based compensation, partially offset by a decrease in other research and development costs of $0.3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2026 and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vMerge w:val="restart"/>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160" w:type="dxa"/>
            <w:vAlign w:val="bottom"/>
            <w:shd w:val="clear" w:color="auto" w:fill="CFF0FC"/>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16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3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160" w:type="dxa"/>
            <w:vAlign w:val="bottom"/>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11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-170815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$20.8 million for the three months ended March 31, 2026 compared to $14.8 million for the three months ended March 31, 2025. The increase of $6.0 million in general and administrative expenses for the three months ended March 31, 2026 was primarily due to an increase in compensation costs of $2.7 million due to increased headcount, including a $0.4 million increase in stock-based compensation, an increase in professional and consultant fees of $2.5 million, and an increase in other general fees and costs of $1.1 million, partially offset by a decrease in marketing-related costs of $0.4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income, net, for the three months ended March 31, 2026 was an other income, net of $6.2 million compared to an other income, net of $7.8 million for the three months ended March 31, 2025. The $1.6 million decrease was driven primarily by a decrease in interest income earned related to cash equivalents and marketable securities balances, as well as interest expense in the current period related to debt acquired through SPV and Biovire, with no corresponding interest expense in the prior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of cretostimogene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common stock through public offerings and our redeemable convertible preferred stock, as well as through previously outstanding term debt. Through March 31, 2026, we have received aggregate gross proceeds of $1,532.9 million from the sale of shares of our common stock through our public offerings and our redeemable convertible preferred stock. In addition, through March 31, 2026, we have recognized $26.9 million in license and collaboration revenue through our license and collaboration agreements. As of March 31, 2026, we had cash, cash equivalents and marketable securities of $1,076.2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33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March 28, 2025, we entered into the Jefferies Sales Agreement with Jefferies LLC, as agent, pursuant to which we may offer and sell, from time to time through Jefferies, shares of our common stock. On the same day, we filed a shelf registration statement on Form S-3ASR with the SEC, which contains a base prospectus, covering an unlimited amount of our common stock, preferred stock, debt securities and warrants to purchase any of such securities, and a sales agreement prospectus, which we subsequently amended on January 13, 2026, covering the offering, issuance and sale of up to a maximum aggregate offering of $550 million of our common stock that may be issued and sold from time to time under the Jefferies Sales Agreement. During the three months ended March 31, 2026, 6,941,407 shares were sold under the Jefferies Sales Agreement, at a weighted-average price of $57.56 per share, and the Company received net proceeds of $391.4 million, after deducting discounts and commissions and other offering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33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Inflation could affect us by increasing our cost of labor and R&amp;D costs. We do not believe inflation has had a material effect on our business, financial condition or results of operations, or on our unaudited condensed consolidated financial statements included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engage in potential strategic transactions, expand and protect our intellectual property, and incur additional costs associated with being a public company.</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67" w:lineRule="exact"/>
        <w:rPr>
          <w:rFonts w:ascii="Times New Roman" w:cs="Times New Roman" w:eastAsia="Times New Roman" w:hAnsi="Times New Roman"/>
          <w:sz w:val="18"/>
          <w:szCs w:val="18"/>
          <w:color w:val="231F20"/>
        </w:rPr>
      </w:pPr>
    </w:p>
    <w:p>
      <w:pPr>
        <w:jc w:val="both"/>
        <w:ind w:left="1020" w:right="20" w:hanging="503"/>
        <w:spacing w:after="0" w:line="312" w:lineRule="auto"/>
        <w:tabs>
          <w:tab w:leader="none" w:pos="1020" w:val="left"/>
        </w:tabs>
        <w:numPr>
          <w:ilvl w:val="0"/>
          <w:numId w:val="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regulatory, CMC quality and commercial personnel;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and payment of milestone, royalty or other payments we must make pursuant to our existing and potential future license or collaboration agreements with third parties;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and timing of establishing or securing sales and marketing capabilities if cretostimogene or any future product candidate is approved;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achieve sufficient market acceptance, coverage, and adequate reimbursement from third- party payors and adequate market share and revenue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and strategic decision to develop future product candidates other than cretostimogene, and the timing of such development, if any;</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costs associated with any products or technologies or businesses that we may in-license or acquire.</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cash equivalents and marketable securities, will be sufficient to fund our operations for at least the next twelve months from the date of this Quarterly Report.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have been no material changes outside of the ordinary course of business in the composition to the material contractual obligations or commitments discussed in “Management’s Discussion and Analysis of Financial Condition and Results of Operations – Contractual Obligations and Other Commitments” included in the 2025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2026 and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(56,943)</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(29,277)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(334,845)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(186,769)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392,998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(215,596)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-1079500</wp:posOffset>
            </wp:positionV>
            <wp:extent cx="43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$56.9 million of cash, primarily resulting from our net loss of $60.2 million, as well as net cash used by changes in our operating assets and liabilities of $5.8 million, partially offset by non-cash stock-based compensation charges of $6.5 million and other non-cash operating adjustments of $2.6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$29.3 million of cash, primarily resulting from our net loss of $34.5 million, accretion of the discount on short-term investments of $0.3 million, partially offset by $5.2 million of non-cash stock-based compensation charges and net cash used in changes in our operating assets and liabilities of $0.5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was $334.8 million, primarily due to $587.4 million of purchases of marketable securities, partially offset by proceeds from sales and maturities of short-term investments.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investing activities was $186.8 million, primarily due to purchases of marketable securities offset by proceeds from sales and maturities of short-term investments and the issuance of a note receivable through a convertible promissory note in the principal amount of $25.0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$393.0 million, consisting primarily of proceeds of $391.4 million from the sale of our common stock pursuant to the Jefferies Sales Agreement, net of issuance costs, and proceeds from exercise of options of $1.7 million.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was $0.5 million, consisting primarily of proceeds from exercise of options of $0.7 million, partially offset by deferred offering costs of $0.2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generally accepted accounting principles in the United States. The preparation of our unaudited condensed consolidated financial statements and related disclosures requires us to make estimates and judgments that affect the reported amounts of assets, liabilities, costs and expenses, and the disclosure of contingent assets and liabilities in our unaudited condensed consolidated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described in “Management’s Discussion and Analysis of Financial Condition and Results of Operations – Critical Accounting Policies and Significant Judgments and Estimates” included in the 2025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standards that may potentially impact our financial position, results of operations and cash flows is included in Note 2 to our unaudited condensed consolidated financial statements included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For the Company’s disclosures about market risk, please see “Part II, Item 7A, Quantitative and Qualitative Disclosures About Market Risk” in our 2025 Annual Report filed with the SEC. There have been no material changes to the Company’s disclosures about market risk in Part II—Item 7A of our 2025 Annual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conducted an evaluation of the effectiveness of the design and operation of our disclosure controls and procedures as defined in Rules 13a-15(e) and 15d-15(e) under the Exchange Act as of the end of the period covered by this Quarterly Report. Based on such evaluation, our principal executive officer and our principal financial officer have concluded that as of such date,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March 31, 2026,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Regardless of outcome, litigation can have an adverse impact on us because of defense and settlement costs, diversion of management resources, and other factors. Other than the below, there have been no material developments to the legal proceedings previously disclosed in Part II, Item 1, "Legal Proceedings" in our 2025 Annual Report.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4, 2024, ANI Pharmaceuticals, Inc. (ANI) filed a complaint against the Company in the Superior Court of the State of Delaware seeking</w:t>
      </w:r>
    </w:p>
    <w:p>
      <w:pPr>
        <w:spacing w:after="0" w:line="27" w:lineRule="exact"/>
        <w:rPr>
          <w:sz w:val="20"/>
          <w:szCs w:val="20"/>
          <w:color w:val="auto"/>
        </w:rPr>
      </w:pPr>
    </w:p>
    <w:p>
      <w:pPr>
        <w:jc w:val="both"/>
        <w:ind w:firstLine="8"/>
        <w:spacing w:after="0" w:line="251" w:lineRule="auto"/>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declaratory judgment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and subject to the outcome of any post-trial motions or appeals brought by ANI, the Company will not owe ANI a future royalty of 5% on commercial sales of cretostimogene, no damages have been awarded to ANI, and there are no further payments due to ANI under the ANI Agreement. On April 10, 2026, the Superior Court heard oral arguments from ANI and the Company on pending post-trial motions submitted by the Company and ANI, which included (i) ANI’s Motion for Judgment as a Matter of Law; (ii) ANI’s Motion to Unseal Trial Exhibits; and (iii) CG’s Motion for Costs. As of the filing of this Quarterly Report on Form 10-Q, the Superior Court has not issued a ruling on these post-trial motions. The Company will continue to vigorously defend the post-trial motions and any appeals brought by ANI.</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previously disclosed in Part I, Item 1A, “Risk Factors” of our 2025 Annual Report, filed with the SEC on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24, 2024, our registration statement on Form S-1 (File No. 333-276350) was declared effective by the SEC for our initial public offering. At the closing of our initial public offering on January 29, 2024, we sold 23,000,000 shares of common stock, which included the exercise in full by the underwriters of their option to purchase 3,000,000 additional shares, at an initial public offering price of $19.00 per share and received gross proceeds of $437.0 million, which resulted in net proceeds to us of approximately $399.6 million, after deducting underwriting discounts and commissions of approximately $30.6 million and offering-related transaction costs of approximately $6.8 million. As of March 31, 2026, we estimate that we have used approximately $340.2 million of the proceeds from our initial public offering for general corporate purposes, including to fund the research and development of cretostimogene, manufacturing and pre-commercial activities, and to fund a contract manufacturing organization that provides us with clinical supply of cretostimogene. There has been no material change in the planned use of proceeds from that described in the final prospectus for our initial public offering filed with the SEC pursuant to Rule 424(b)(4) under the Securities Act.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our Section 16 officers (as defined in Rule 16a–1(f)) and directors may enter into Rule 10b5-1 or non-Rule 10b5-1 trading arrangements (as each such term is defined in Item 408 of Regulation S-K) for the purchase or sale of our securities. During the three months ended March 31, 2026, except for James J. Mulé and Leonard Post, none of our officers or directors adopted, modified or terminated any such trading arrangements.</w:t>
      </w:r>
    </w:p>
    <w:p>
      <w:pPr>
        <w:spacing w:after="0" w:line="279" w:lineRule="exact"/>
        <w:rPr>
          <w:sz w:val="20"/>
          <w:szCs w:val="20"/>
          <w:color w:val="auto"/>
        </w:rPr>
      </w:pPr>
    </w:p>
    <w:tbl>
      <w:tblPr>
        <w:tblLayout w:type="fixed"/>
        <w:tblInd w:w="650" w:type="dxa"/>
        <w:tblCellMar>
          <w:top w:w="0" w:type="dxa"/>
          <w:left w:w="0" w:type="dxa"/>
          <w:bottom w:w="0" w:type="dxa"/>
          <w:right w:w="0" w:type="dxa"/>
        </w:tblCellMar>
      </w:tblPr>
      <w:tr>
        <w:trPr>
          <w:trHeight w:val="250"/>
        </w:trPr>
        <w:tc>
          <w:tcPr>
            <w:tcW w:w="21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220" w:type="dxa"/>
            <w:vAlign w:val="bottom"/>
            <w:tcBorders>
              <w:top w:val="single" w:sz="8" w:color="auto"/>
              <w:bottom w:val="single" w:sz="8" w:color="auto"/>
              <w:right w:val="single" w:sz="8" w:color="auto"/>
            </w:tcBorders>
          </w:tcPr>
          <w:p>
            <w:pPr>
              <w:spacing w:after="0"/>
              <w:rPr>
                <w:sz w:val="21"/>
                <w:szCs w:val="21"/>
                <w:color w:val="auto"/>
              </w:rPr>
            </w:pPr>
          </w:p>
        </w:tc>
        <w:tc>
          <w:tcPr>
            <w:tcW w:w="1340" w:type="dxa"/>
            <w:vAlign w:val="bottom"/>
            <w:tcBorders>
              <w:top w:val="single" w:sz="8" w:color="auto"/>
              <w:bottom w:val="single" w:sz="8" w:color="auto"/>
              <w:right w:val="single" w:sz="8" w:color="auto"/>
            </w:tcBorders>
          </w:tcPr>
          <w:p>
            <w:pPr>
              <w:spacing w:after="0"/>
              <w:rPr>
                <w:sz w:val="21"/>
                <w:szCs w:val="21"/>
                <w:color w:val="auto"/>
              </w:rPr>
            </w:pPr>
          </w:p>
        </w:tc>
        <w:tc>
          <w:tcPr>
            <w:tcW w:w="3080" w:type="dxa"/>
            <w:vAlign w:val="bottom"/>
            <w:tcBorders>
              <w:top w:val="single" w:sz="8" w:color="auto"/>
              <w:bottom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tc>
        <w:tc>
          <w:tcPr>
            <w:tcW w:w="1140" w:type="dxa"/>
            <w:vAlign w:val="bottom"/>
            <w:tcBorders>
              <w:top w:val="single" w:sz="8" w:color="auto"/>
              <w:bottom w:val="single" w:sz="8" w:color="auto"/>
              <w:right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10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jc w:val="center"/>
              <w:ind w:right="10"/>
              <w:spacing w:after="0" w:line="17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Shares to</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38"/>
        </w:trPr>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Rule 10b5-1*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 10b5-1**</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 Sold</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91"/>
        </w:trPr>
        <w:tc>
          <w:tcPr>
            <w:tcW w:w="21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James J. Mulé, Director</w:t>
            </w:r>
          </w:p>
        </w:tc>
        <w:tc>
          <w:tcPr>
            <w:tcW w:w="12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March 27,</w:t>
            </w:r>
          </w:p>
        </w:tc>
        <w:tc>
          <w:tcPr>
            <w:tcW w:w="15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March 31,</w:t>
            </w:r>
          </w:p>
        </w:tc>
        <w:tc>
          <w:tcPr>
            <w:tcW w:w="0" w:type="dxa"/>
            <w:vAlign w:val="bottom"/>
          </w:tcPr>
          <w:p>
            <w:pPr>
              <w:spacing w:after="0"/>
              <w:rPr>
                <w:sz w:val="1"/>
                <w:szCs w:val="1"/>
                <w:color w:val="auto"/>
              </w:rPr>
            </w:pPr>
          </w:p>
        </w:tc>
      </w:tr>
      <w:tr>
        <w:trPr>
          <w:trHeight w:val="234"/>
        </w:trPr>
        <w:tc>
          <w:tcPr>
            <w:tcW w:w="2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30,713</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228"/>
        </w:trPr>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Leonard Post, Director</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5, 2026</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22,000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2027</w:t>
            </w:r>
          </w:p>
        </w:tc>
        <w:tc>
          <w:tcPr>
            <w:tcW w:w="0" w:type="dxa"/>
            <w:vAlign w:val="bottom"/>
          </w:tcPr>
          <w:p>
            <w:pPr>
              <w:spacing w:after="0"/>
              <w:rPr>
                <w:sz w:val="1"/>
                <w:szCs w:val="1"/>
                <w:color w:val="auto"/>
              </w:rPr>
            </w:pPr>
          </w:p>
        </w:tc>
      </w:tr>
      <w:tr>
        <w:trPr>
          <w:trHeight w:val="198"/>
        </w:trPr>
        <w:tc>
          <w:tcPr>
            <w:tcW w:w="2100" w:type="dxa"/>
            <w:vAlign w:val="bottom"/>
            <w:tcBorders>
              <w:bottom w:val="single" w:sz="8" w:color="auto"/>
              <w:right w:val="single" w:sz="8" w:color="auto"/>
            </w:tcBorders>
            <w:vMerge w:val="continue"/>
          </w:tcPr>
          <w:p>
            <w:pPr>
              <w:spacing w:after="0"/>
              <w:rPr>
                <w:sz w:val="17"/>
                <w:szCs w:val="17"/>
                <w:color w:val="auto"/>
              </w:rPr>
            </w:pPr>
          </w:p>
        </w:tc>
        <w:tc>
          <w:tcPr>
            <w:tcW w:w="1220" w:type="dxa"/>
            <w:vAlign w:val="bottom"/>
            <w:tcBorders>
              <w:bottom w:val="single" w:sz="8" w:color="auto"/>
              <w:right w:val="single" w:sz="8" w:color="auto"/>
            </w:tcBorders>
            <w:vMerge w:val="continue"/>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vMerge w:val="continue"/>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-1139190</wp:posOffset>
            </wp:positionV>
            <wp:extent cx="6489065" cy="1431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89065" cy="143129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 Contract, instruction or written plan intended to satisfy the affirmative defense conditions of Rule 10b5-1(c) under the Exchange Act.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“Non-Rule 10b5-1 trading arrangement” as defined in Item 408(c) of Regulation S-K under the Exchange Act.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20" w:type="dxa"/>
            <w:vAlign w:val="bottom"/>
            <w:gridSpan w:val="18"/>
          </w:tcPr>
          <w:p>
            <w:pPr>
              <w:ind w:left="5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4"/>
                <w:szCs w:val="24"/>
                <w:color w:val="auto"/>
              </w:rPr>
            </w:pPr>
          </w:p>
        </w:tc>
        <w:tc>
          <w:tcPr>
            <w:tcW w:w="29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09"/>
        </w:trPr>
        <w:tc>
          <w:tcPr>
            <w:tcW w:w="164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8"/>
                <w:szCs w:val="18"/>
                <w:color w:val="auto"/>
              </w:rPr>
            </w:pPr>
          </w:p>
        </w:tc>
        <w:tc>
          <w:tcPr>
            <w:tcW w:w="3700" w:type="dxa"/>
            <w:vAlign w:val="bottom"/>
            <w:gridSpan w:val="10"/>
            <w:vMerge w:val="restart"/>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Amended and Restated Certificate of Incorporation</w:t>
              </w:r>
            </w:hyperlink>
          </w:p>
        </w:tc>
        <w:tc>
          <w:tcPr>
            <w:tcW w:w="1160" w:type="dxa"/>
            <w:vAlign w:val="bottom"/>
            <w:gridSpan w:val="9"/>
            <w:vMerge w:val="restart"/>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18"/>
                <w:szCs w:val="18"/>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bottom w:val="single" w:sz="8" w:color="0000FF"/>
            </w:tcBorders>
            <w:gridSpan w:val="10"/>
            <w:vMerge w:val="continue"/>
          </w:tcPr>
          <w:p>
            <w:pPr>
              <w:spacing w:after="0"/>
              <w:rPr>
                <w:sz w:val="14"/>
                <w:szCs w:val="14"/>
                <w:color w:val="auto"/>
              </w:rPr>
            </w:pPr>
          </w:p>
        </w:tc>
        <w:tc>
          <w:tcPr>
            <w:tcW w:w="1160" w:type="dxa"/>
            <w:vAlign w:val="bottom"/>
            <w:gridSpan w:val="9"/>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S-1/A</w:t>
            </w:r>
          </w:p>
        </w:tc>
        <w:tc>
          <w:tcPr>
            <w:tcW w:w="1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01/18/24</w:t>
            </w:r>
          </w:p>
        </w:tc>
        <w:tc>
          <w:tcPr>
            <w:tcW w:w="10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22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Amended and Restated Bylaws</w:t>
              </w:r>
            </w:hyperlink>
          </w:p>
        </w:tc>
        <w:tc>
          <w:tcPr>
            <w:tcW w:w="20" w:type="dxa"/>
            <w:vAlign w:val="bottom"/>
            <w:tcBorders>
              <w:bottom w:val="single" w:sz="8" w:color="0000EE"/>
            </w:tcBorders>
          </w:tcPr>
          <w:p>
            <w:pPr>
              <w:spacing w:after="0"/>
              <w:rPr>
                <w:sz w:val="17"/>
                <w:szCs w:val="17"/>
                <w:color w:val="auto"/>
              </w:rPr>
            </w:pPr>
          </w:p>
        </w:tc>
        <w:tc>
          <w:tcPr>
            <w:tcW w:w="258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4860" w:type="dxa"/>
            <w:vAlign w:val="bottom"/>
            <w:gridSpan w:val="19"/>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Specimen stock certificate evidencing the shares of common stock</w:t>
              </w:r>
            </w:hyperlink>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01/18/24</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466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Amended and Restated Investors’ Rights Agreement, dated July</w:t>
              </w:r>
            </w:hyperlink>
          </w:p>
        </w:tc>
        <w:tc>
          <w:tcPr>
            <w:tcW w:w="120" w:type="dxa"/>
            <w:vAlign w:val="bottom"/>
            <w:tcBorders>
              <w:top w:val="single" w:sz="8" w:color="0000FF"/>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01/18/24</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28, 2023, as amended, by and among the Registrant and certain of</w:t>
              </w:r>
            </w:hyperlink>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19"/>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its stockholders</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17"/>
                <w:szCs w:val="17"/>
                <w:color w:val="auto"/>
              </w:rPr>
            </w:pPr>
          </w:p>
        </w:tc>
        <w:tc>
          <w:tcPr>
            <w:tcW w:w="42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Employment Agreement dated April 13, 2026 between the</w:t>
              </w:r>
            </w:hyperlink>
          </w:p>
        </w:tc>
        <w:tc>
          <w:tcPr>
            <w:tcW w:w="60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04/13/26</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19"/>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Registrant and Jim DeTore</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47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as required by Rule 13a-</w:t>
            </w:r>
          </w:p>
        </w:tc>
        <w:tc>
          <w:tcPr>
            <w:tcW w:w="20" w:type="dxa"/>
            <w:vAlign w:val="bottom"/>
            <w:tcBorders>
              <w:bottom w:val="single" w:sz="8" w:color="0000EE"/>
            </w:tcBorders>
          </w:tcPr>
          <w:p>
            <w:pPr>
              <w:spacing w:after="0"/>
              <w:rPr>
                <w:sz w:val="17"/>
                <w:szCs w:val="17"/>
                <w:color w:val="auto"/>
              </w:rPr>
            </w:pPr>
          </w:p>
        </w:tc>
        <w:tc>
          <w:tcPr>
            <w:tcW w:w="1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278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462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as required by Rule</w:t>
            </w:r>
          </w:p>
        </w:tc>
        <w:tc>
          <w:tcPr>
            <w:tcW w:w="24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13a-14(a) or Rule 15d-14(a), as adopted pursuant to Section 302 of</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50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48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gridSpan w:val="7"/>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3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48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906</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34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48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48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760" w:right="4760" w:hanging="929"/>
        <w:spacing w:after="0" w:line="260" w:lineRule="auto"/>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02" w:lineRule="exact"/>
        <w:rPr>
          <w:rFonts w:ascii="Times New Roman" w:cs="Times New Roman" w:eastAsia="Times New Roman" w:hAnsi="Times New Roman"/>
          <w:sz w:val="18"/>
          <w:szCs w:val="18"/>
          <w:color w:val="auto"/>
        </w:rPr>
      </w:pPr>
    </w:p>
    <w:p>
      <w:pPr>
        <w:ind w:left="840" w:hanging="458"/>
        <w:spacing w:after="0"/>
        <w:tabs>
          <w:tab w:leader="none" w:pos="84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6" w:lineRule="exact"/>
        <w:rPr>
          <w:sz w:val="20"/>
          <w:szCs w:val="20"/>
          <w:color w:val="auto"/>
        </w:rPr>
      </w:pPr>
    </w:p>
    <w:p>
      <w:pPr>
        <w:ind w:left="900" w:right="140" w:hanging="518"/>
        <w:spacing w:after="0" w:line="261" w:lineRule="auto"/>
        <w:tabs>
          <w:tab w:leader="none" w:pos="751"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certification is not being filed for purposes of Section 18 of the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3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5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436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35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/s/ Arthur Kuan</w:t>
            </w:r>
          </w:p>
        </w:tc>
      </w:tr>
      <w:tr>
        <w:trPr>
          <w:trHeight w:val="191"/>
        </w:trPr>
        <w:tc>
          <w:tcPr>
            <w:tcW w:w="3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center"/>
              <w:ind w:right="950"/>
              <w:spacing w:after="0" w:line="191" w:lineRule="exact"/>
              <w:rPr>
                <w:sz w:val="20"/>
                <w:szCs w:val="20"/>
                <w:color w:val="auto"/>
              </w:rPr>
            </w:pPr>
            <w:r>
              <w:rPr>
                <w:rFonts w:ascii="Times New Roman" w:cs="Times New Roman" w:eastAsia="Times New Roman" w:hAnsi="Times New Roman"/>
                <w:sz w:val="18"/>
                <w:szCs w:val="18"/>
                <w:color w:val="auto"/>
              </w:rPr>
              <w:t>Arthur Kuan</w:t>
            </w:r>
          </w:p>
        </w:tc>
      </w:tr>
      <w:tr>
        <w:trPr>
          <w:trHeight w:val="216"/>
        </w:trPr>
        <w:tc>
          <w:tcPr>
            <w:tcW w:w="3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r>
      <w:tr>
        <w:trPr>
          <w:trHeight w:val="234"/>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0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35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/s/ Jim DeTore</w:t>
            </w:r>
          </w:p>
        </w:tc>
      </w:tr>
      <w:tr>
        <w:trPr>
          <w:trHeight w:val="191"/>
        </w:trPr>
        <w:tc>
          <w:tcPr>
            <w:tcW w:w="3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rPr>
              <w:t>Jim DeTore</w:t>
            </w:r>
          </w:p>
        </w:tc>
      </w:tr>
      <w:tr>
        <w:trPr>
          <w:trHeight w:val="216"/>
        </w:trPr>
        <w:tc>
          <w:tcPr>
            <w:tcW w:w="3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48"/>
        </w:trPr>
        <w:tc>
          <w:tcPr>
            <w:tcW w:w="3380" w:type="dxa"/>
            <w:vAlign w:val="bottom"/>
          </w:tcPr>
          <w:p>
            <w:pPr>
              <w:spacing w:after="0"/>
              <w:rPr>
                <w:sz w:val="24"/>
                <w:szCs w:val="24"/>
                <w:color w:val="auto"/>
              </w:rPr>
            </w:pPr>
          </w:p>
        </w:tc>
        <w:tc>
          <w:tcPr>
            <w:tcW w:w="2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Kuan, certify that:</w:t>
      </w:r>
    </w:p>
    <w:p>
      <w:pPr>
        <w:spacing w:after="0" w:line="11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7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Kuan</w:t>
            </w:r>
          </w:p>
        </w:tc>
      </w:tr>
      <w:tr>
        <w:trPr>
          <w:trHeight w:val="191"/>
        </w:trPr>
        <w:tc>
          <w:tcPr>
            <w:tcW w:w="3480" w:type="dxa"/>
            <w:vAlign w:val="bottom"/>
          </w:tcPr>
          <w:p>
            <w:pPr>
              <w:spacing w:after="0"/>
              <w:rPr>
                <w:sz w:val="16"/>
                <w:szCs w:val="16"/>
                <w:color w:val="auto"/>
              </w:rPr>
            </w:pPr>
          </w:p>
        </w:tc>
        <w:tc>
          <w:tcPr>
            <w:tcW w:w="278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Arthur Kuan</w:t>
            </w:r>
          </w:p>
        </w:tc>
      </w:tr>
      <w:tr>
        <w:trPr>
          <w:trHeight w:val="216"/>
        </w:trPr>
        <w:tc>
          <w:tcPr>
            <w:tcW w:w="3480" w:type="dxa"/>
            <w:vAlign w:val="bottom"/>
          </w:tcPr>
          <w:p>
            <w:pPr>
              <w:spacing w:after="0"/>
              <w:rPr>
                <w:sz w:val="18"/>
                <w:szCs w:val="18"/>
                <w:color w:val="auto"/>
              </w:rPr>
            </w:pPr>
          </w:p>
        </w:tc>
        <w:tc>
          <w:tcPr>
            <w:tcW w:w="27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13"/>
        </w:trPr>
        <w:tc>
          <w:tcPr>
            <w:tcW w:w="34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Jim DeTore, certify that:</w:t>
      </w:r>
    </w:p>
    <w:p>
      <w:pPr>
        <w:spacing w:after="0" w:line="11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1500" w:right="140" w:hanging="369"/>
        <w:spacing w:after="0" w:line="266" w:lineRule="auto"/>
        <w:tabs>
          <w:tab w:leader="none" w:pos="1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ind w:left="1500" w:right="200" w:hanging="369"/>
        <w:spacing w:after="0" w:line="266" w:lineRule="auto"/>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7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Jim DeTore</w:t>
            </w:r>
          </w:p>
        </w:tc>
      </w:tr>
      <w:tr>
        <w:trPr>
          <w:trHeight w:val="191"/>
        </w:trPr>
        <w:tc>
          <w:tcPr>
            <w:tcW w:w="3480" w:type="dxa"/>
            <w:vAlign w:val="bottom"/>
          </w:tcPr>
          <w:p>
            <w:pPr>
              <w:spacing w:after="0"/>
              <w:rPr>
                <w:sz w:val="16"/>
                <w:szCs w:val="16"/>
                <w:color w:val="auto"/>
              </w:rPr>
            </w:pPr>
          </w:p>
        </w:tc>
        <w:tc>
          <w:tcPr>
            <w:tcW w:w="278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Jim DeTore</w:t>
            </w:r>
          </w:p>
        </w:tc>
      </w:tr>
      <w:tr>
        <w:trPr>
          <w:trHeight w:val="216"/>
        </w:trPr>
        <w:tc>
          <w:tcPr>
            <w:tcW w:w="3480" w:type="dxa"/>
            <w:vAlign w:val="bottom"/>
          </w:tcPr>
          <w:p>
            <w:pPr>
              <w:spacing w:after="0"/>
              <w:rPr>
                <w:sz w:val="18"/>
                <w:szCs w:val="18"/>
                <w:color w:val="auto"/>
              </w:rPr>
            </w:pPr>
          </w:p>
        </w:tc>
        <w:tc>
          <w:tcPr>
            <w:tcW w:w="27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235"/>
        </w:trPr>
        <w:tc>
          <w:tcPr>
            <w:tcW w:w="34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quarter ended March 31, 2026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9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Kuan</w:t>
            </w:r>
          </w:p>
        </w:tc>
      </w:tr>
      <w:tr>
        <w:trPr>
          <w:trHeight w:val="191"/>
        </w:trPr>
        <w:tc>
          <w:tcPr>
            <w:tcW w:w="3780" w:type="dxa"/>
            <w:vAlign w:val="bottom"/>
          </w:tcPr>
          <w:p>
            <w:pPr>
              <w:spacing w:after="0"/>
              <w:rPr>
                <w:sz w:val="16"/>
                <w:szCs w:val="16"/>
                <w:color w:val="auto"/>
              </w:rPr>
            </w:pPr>
          </w:p>
        </w:tc>
        <w:tc>
          <w:tcPr>
            <w:tcW w:w="2980" w:type="dxa"/>
            <w:vAlign w:val="bottom"/>
          </w:tcPr>
          <w:p>
            <w:pPr>
              <w:ind w:left="23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Arthur Kuan</w:t>
            </w:r>
          </w:p>
        </w:tc>
      </w:tr>
      <w:tr>
        <w:trPr>
          <w:trHeight w:val="216"/>
        </w:trPr>
        <w:tc>
          <w:tcPr>
            <w:tcW w:w="3780" w:type="dxa"/>
            <w:vAlign w:val="bottom"/>
          </w:tcPr>
          <w:p>
            <w:pPr>
              <w:spacing w:after="0"/>
              <w:rPr>
                <w:sz w:val="18"/>
                <w:szCs w:val="18"/>
                <w:color w:val="auto"/>
              </w:rPr>
            </w:pPr>
          </w:p>
        </w:tc>
        <w:tc>
          <w:tcPr>
            <w:tcW w:w="29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7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25"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quarter ended March 31, 2026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9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Jim DeTore</w:t>
            </w:r>
          </w:p>
        </w:tc>
      </w:tr>
      <w:tr>
        <w:trPr>
          <w:trHeight w:val="191"/>
        </w:trPr>
        <w:tc>
          <w:tcPr>
            <w:tcW w:w="3780" w:type="dxa"/>
            <w:vAlign w:val="bottom"/>
          </w:tcPr>
          <w:p>
            <w:pPr>
              <w:spacing w:after="0"/>
              <w:rPr>
                <w:sz w:val="16"/>
                <w:szCs w:val="16"/>
                <w:color w:val="auto"/>
              </w:rPr>
            </w:pPr>
          </w:p>
        </w:tc>
        <w:tc>
          <w:tcPr>
            <w:tcW w:w="2980" w:type="dxa"/>
            <w:vAlign w:val="bottom"/>
          </w:tcPr>
          <w:p>
            <w:pPr>
              <w:ind w:left="23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Jim DeTore</w:t>
            </w:r>
          </w:p>
        </w:tc>
      </w:tr>
      <w:tr>
        <w:trPr>
          <w:trHeight w:val="216"/>
        </w:trPr>
        <w:tc>
          <w:tcPr>
            <w:tcW w:w="3780" w:type="dxa"/>
            <w:vAlign w:val="bottom"/>
          </w:tcPr>
          <w:p>
            <w:pPr>
              <w:spacing w:after="0"/>
              <w:rPr>
                <w:sz w:val="18"/>
                <w:szCs w:val="18"/>
                <w:color w:val="auto"/>
              </w:rPr>
            </w:pPr>
          </w:p>
        </w:tc>
        <w:tc>
          <w:tcPr>
            <w:tcW w:w="29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25"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Roman"/>
      <w:start w:val="1"/>
    </w:lvl>
  </w:abstractNum>
  <w:abstractNum w:abstractNumId="9">
    <w:nsid w:val="DED7263"/>
    <w:multiLevelType w:val="hybridMultilevel"/>
    <w:lvl w:ilvl="0">
      <w:lvlJc w:val="left"/>
      <w:lvlText w:val="#"/>
      <w:numFmt w:val="bullet"/>
      <w:start w:val="1"/>
    </w:lvl>
    <w:lvl w:ilvl="1">
      <w:lvlJc w:val="left"/>
      <w:lvlText w:val="%2"/>
      <w:numFmt w:val="decimal"/>
      <w:start w:val="104"/>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lvl w:ilvl="1">
      <w:lvlJc w:val="left"/>
      <w:lvlText w:val="%2."/>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5"/>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187" Type="http://schemas.openxmlformats.org/officeDocument/2006/relationships/hyperlink" Target="https://www.sec.gov/Archives/edgar/data/1991792/000119312524009621/d551455dex33.htm" TargetMode="External"/><Relationship Id="rId188" Type="http://schemas.openxmlformats.org/officeDocument/2006/relationships/hyperlink" Target="https://www.sec.gov/Archives/edgar/data/1991792/000119312524000766/d551455dex34.htm" TargetMode="External"/><Relationship Id="rId189" Type="http://schemas.openxmlformats.org/officeDocument/2006/relationships/hyperlink" Target="https://www.sec.gov/Archives/edgar/data/1991792/000119312524009621/d551455dex41.htm" TargetMode="External"/><Relationship Id="rId190" Type="http://schemas.openxmlformats.org/officeDocument/2006/relationships/hyperlink" Target="https://www.sec.gov/Archives/edgar/data/1991792/000119312524009621/d551455dex42.htm" TargetMode="External"/><Relationship Id="rId191" Type="http://schemas.openxmlformats.org/officeDocument/2006/relationships/hyperlink" Target="https://www.sec.gov/Archives/edgar/data/1991792/000119312526152044/ck0001991792-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2026-05-08T15:34:29Z</dcterms:created>
  <dcterms:modified xsi:type="dcterms:W3CDTF">2026-05-08T15:34:29Z</dcterms:modified>
</cp:coreProperties>
</file>