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620" w:right="1600" w:hanging="2599"/>
        <w:spacing w:after="0" w:line="360" w:lineRule="auto"/>
        <w:tabs>
          <w:tab w:leader="none" w:pos="48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b w:val="1"/>
          <w:bCs w:val="1"/>
          <w:color w:val="auto"/>
        </w:rPr>
        <w:t>_____________________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6"/>
          <w:szCs w:val="16"/>
          <w:b w:val="1"/>
          <w:bCs w:val="1"/>
          <w:color w:val="auto"/>
        </w:rPr>
        <w:t>_____________________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CG Oncology, Inc.</w:t>
      </w:r>
    </w:p>
    <w:p>
      <w:pPr>
        <w:sectPr>
          <w:pgSz w:w="11900" w:h="16838" w:orient="portrait"/>
          <w:cols w:equalWidth="0" w:num="1">
            <w:col w:w="11240"/>
          </w:cols>
          <w:pgMar w:left="320" w:top="102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37-1611499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700" w:space="240"/>
            <w:col w:w="3300"/>
          </w:cols>
          <w:pgMar w:left="320" w:top="1024"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400 Spectrum Center Drive, Suite 2040</w:t>
      </w:r>
    </w:p>
    <w:p>
      <w:pPr>
        <w:spacing w:after="0" w:line="31" w:lineRule="exact"/>
        <w:rPr>
          <w:sz w:val="24"/>
          <w:szCs w:val="24"/>
          <w:color w:val="auto"/>
        </w:rPr>
      </w:pPr>
    </w:p>
    <w:p>
      <w:pPr>
        <w:ind w:left="24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Irvine, CA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CGON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9, 2025, the registrant had 76,225,308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 (Deficit)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220" w:type="dxa"/>
            <w:vAlign w:val="bottom"/>
            <w:tcBorders>
              <w:left w:val="single" w:sz="8" w:color="0000FF"/>
            </w:tcBorders>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vMerge w:val="continue"/>
          </w:tcPr>
          <w:p>
            <w:pPr>
              <w:spacing w:after="0"/>
              <w:rPr>
                <w:sz w:val="24"/>
                <w:szCs w:val="24"/>
                <w:color w:val="auto"/>
              </w:rPr>
            </w:pP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300" w:type="dxa"/>
            <w:vAlign w:val="bottom"/>
            <w:gridSpan w:val="2"/>
          </w:tcPr>
          <w:p>
            <w:pPr>
              <w:jc w:val="center"/>
              <w:ind w:lef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5"/>
                <w:szCs w:val="15"/>
                <w:color w:val="auto"/>
              </w:rPr>
            </w:pPr>
          </w:p>
        </w:tc>
        <w:tc>
          <w:tcPr>
            <w:tcW w:w="1280" w:type="dxa"/>
            <w:vAlign w:val="bottom"/>
            <w:tcBorders>
              <w:bottom w:val="single" w:sz="8" w:color="auto"/>
            </w:tcBorders>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00" w:type="dxa"/>
            <w:vAlign w:val="bottom"/>
            <w:gridSpan w:val="2"/>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41,472</w:t>
            </w:r>
          </w:p>
        </w:tc>
        <w:tc>
          <w:tcPr>
            <w:tcW w:w="180" w:type="dxa"/>
            <w:vAlign w:val="bottom"/>
          </w:tcPr>
          <w:p>
            <w:pPr>
              <w:spacing w:after="0"/>
              <w:rPr>
                <w:sz w:val="12"/>
                <w:szCs w:val="12"/>
                <w:color w:val="auto"/>
              </w:rPr>
            </w:pPr>
          </w:p>
        </w:tc>
        <w:tc>
          <w:tcPr>
            <w:tcW w:w="40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646,962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484,930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 - other</w:t>
            </w:r>
          </w:p>
        </w:tc>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701,192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754,210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 receivable, net</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Borders>
              <w:bottom w:val="single" w:sz="8" w:color="CFF0FC"/>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118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728,181</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754,797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1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300" w:type="dxa"/>
            <w:vAlign w:val="bottom"/>
            <w:gridSpan w:val="2"/>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6,731</w:t>
            </w:r>
          </w:p>
        </w:tc>
        <w:tc>
          <w:tcPr>
            <w:tcW w:w="180" w:type="dxa"/>
            <w:vAlign w:val="bottom"/>
          </w:tcPr>
          <w:p>
            <w:pPr>
              <w:spacing w:after="0"/>
              <w:rPr>
                <w:sz w:val="12"/>
                <w:szCs w:val="12"/>
                <w:color w:val="auto"/>
              </w:rPr>
            </w:pPr>
          </w:p>
        </w:tc>
        <w:tc>
          <w:tcPr>
            <w:tcW w:w="40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Borders>
              <w:bottom w:val="single" w:sz="8" w:color="CFF0FC"/>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tcBorders>
              <w:bottom w:val="single" w:sz="8" w:color="CFF0FC"/>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15,656</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22,642</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21,368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0" w:type="dxa"/>
            <w:vAlign w:val="bottom"/>
            <w:tcBorders>
              <w:bottom w:val="single" w:sz="8" w:color="CFF0FC"/>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781</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23,423</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21,420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5)</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10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Common stock, $0.0001 par value per share; 700,000,000 and 700,000,000 shares</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authorized as of March 31, 2025 and December 31, 2024, respectively; 76,221,289</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and 76,154,783 shares issued and outstanding as of March 31, 2025 and December 31, 2024,</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respectively</w:t>
            </w: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957,183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951,350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(252,433)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(217,981)</w:t>
            </w:r>
          </w:p>
        </w:tc>
        <w:tc>
          <w:tcPr>
            <w:tcW w:w="0" w:type="dxa"/>
            <w:vAlign w:val="bottom"/>
          </w:tcPr>
          <w:p>
            <w:pPr>
              <w:spacing w:after="0"/>
              <w:rPr>
                <w:sz w:val="1"/>
                <w:szCs w:val="1"/>
                <w:color w:val="auto"/>
              </w:rPr>
            </w:pPr>
          </w:p>
        </w:tc>
      </w:tr>
      <w:tr>
        <w:trPr>
          <w:trHeight w:val="142"/>
        </w:trPr>
        <w:tc>
          <w:tcPr>
            <w:tcW w:w="710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704,758</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733,377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300" w:type="dxa"/>
            <w:vAlign w:val="bottom"/>
            <w:gridSpan w:val="2"/>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728,181</w:t>
            </w:r>
          </w:p>
        </w:tc>
        <w:tc>
          <w:tcPr>
            <w:tcW w:w="180" w:type="dxa"/>
            <w:vAlign w:val="bottom"/>
          </w:tcPr>
          <w:p>
            <w:pPr>
              <w:spacing w:after="0"/>
              <w:rPr>
                <w:sz w:val="12"/>
                <w:szCs w:val="12"/>
                <w:color w:val="auto"/>
              </w:rPr>
            </w:pPr>
          </w:p>
        </w:tc>
        <w:tc>
          <w:tcPr>
            <w:tcW w:w="400" w:type="dxa"/>
            <w:vAlign w:val="bottom"/>
            <w:gridSpan w:val="2"/>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754,797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-2382520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-1799590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-1782445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-1902460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-1315085</wp:posOffset>
            </wp:positionV>
            <wp:extent cx="93980"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-1315085</wp:posOffset>
            </wp:positionV>
            <wp:extent cx="93980"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-1109345</wp:posOffset>
            </wp:positionV>
            <wp:extent cx="939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-1109345</wp:posOffset>
            </wp:positionV>
            <wp:extent cx="939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-128270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shd w:val="clear" w:color="auto" w:fill="CFF0FC"/>
          </w:tcPr>
          <w:p>
            <w:pPr>
              <w:spacing w:after="0"/>
              <w:rPr>
                <w:sz w:val="18"/>
                <w:szCs w:val="18"/>
                <w:color w:val="auto"/>
              </w:rPr>
            </w:pPr>
          </w:p>
        </w:tc>
      </w:tr>
      <w:tr>
        <w:trPr>
          <w:trHeight w:val="210"/>
        </w:trPr>
        <w:tc>
          <w:tcPr>
            <w:tcW w:w="6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100" w:type="dxa"/>
            <w:vAlign w:val="bottom"/>
          </w:tcPr>
          <w:p>
            <w:pPr>
              <w:spacing w:after="0"/>
              <w:rPr>
                <w:sz w:val="18"/>
                <w:szCs w:val="18"/>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(42,204)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(22,469)</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6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1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(34,452)</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(16,934)</w:t>
            </w:r>
          </w:p>
        </w:tc>
      </w:tr>
      <w:tr>
        <w:trPr>
          <w:trHeight w:val="20"/>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52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50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(0.36)</w:t>
            </w:r>
          </w:p>
        </w:tc>
      </w:tr>
      <w:tr>
        <w:trPr>
          <w:trHeight w:val="197"/>
        </w:trPr>
        <w:tc>
          <w:tcPr>
            <w:tcW w:w="64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14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76,187,621</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47,064,768</w:t>
            </w:r>
          </w:p>
        </w:tc>
        <w:tc>
          <w:tcPr>
            <w:tcW w:w="100" w:type="dxa"/>
            <w:vAlign w:val="bottom"/>
            <w:tcBorders>
              <w:top w:val="single" w:sz="8" w:color="CFF0FC"/>
            </w:tcBorders>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-1358265</wp:posOffset>
            </wp:positionV>
            <wp:extent cx="939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-1358265</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-496570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9"/>
                <w:szCs w:val="9"/>
                <w:color w:val="auto"/>
              </w:rPr>
            </w:pPr>
          </w:p>
        </w:tc>
        <w:tc>
          <w:tcPr>
            <w:tcW w:w="780" w:type="dxa"/>
            <w:vAlign w:val="bottom"/>
            <w:gridSpan w:val="3"/>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Series A-1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Series C</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Series D</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Series E</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tcPr>
          <w:p>
            <w:pPr>
              <w:jc w:val="center"/>
              <w:ind w:left="206"/>
              <w:spacing w:after="0" w:line="115" w:lineRule="exact"/>
              <w:rPr>
                <w:sz w:val="20"/>
                <w:szCs w:val="20"/>
                <w:color w:val="auto"/>
              </w:rPr>
            </w:pPr>
            <w:r>
              <w:rPr>
                <w:rFonts w:ascii="Times New Roman" w:cs="Times New Roman" w:eastAsia="Times New Roman" w:hAnsi="Times New Roman"/>
                <w:sz w:val="11"/>
                <w:szCs w:val="11"/>
                <w:b w:val="1"/>
                <w:bCs w:val="1"/>
                <w:color w:val="auto"/>
                <w:w w:val="95"/>
              </w:rPr>
              <w:t>Series F</w:t>
            </w:r>
          </w:p>
        </w:tc>
        <w:tc>
          <w:tcPr>
            <w:tcW w:w="2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left="18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62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Accumula</w:t>
            </w: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2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10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320" w:type="dxa"/>
            <w:vAlign w:val="bottom"/>
            <w:tcBorders>
              <w:right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00" w:type="dxa"/>
            <w:vAlign w:val="bottom"/>
          </w:tcPr>
          <w:p>
            <w:pPr>
              <w:spacing w:after="0"/>
              <w:rPr>
                <w:sz w:val="11"/>
                <w:szCs w:val="11"/>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ted</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nt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nt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nt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t</w:t>
            </w:r>
          </w:p>
        </w:tc>
        <w:tc>
          <w:tcPr>
            <w:tcW w:w="10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2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11,973,00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73,598,28</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53,271,75</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81,587,93</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96"/>
              </w:rPr>
              <w:t>105,0</w:t>
            </w: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5,222,283</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6,842</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(129,942)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(123,100)</w:t>
            </w:r>
          </w:p>
        </w:tc>
        <w:tc>
          <w:tcPr>
            <w:tcW w:w="0" w:type="dxa"/>
            <w:vAlign w:val="bottom"/>
          </w:tcPr>
          <w:p>
            <w:pPr>
              <w:spacing w:after="0"/>
              <w:rPr>
                <w:sz w:val="1"/>
                <w:szCs w:val="1"/>
                <w:color w:val="auto"/>
              </w:rPr>
            </w:pPr>
          </w:p>
        </w:tc>
      </w:tr>
      <w:tr>
        <w:trPr>
          <w:trHeight w:val="108"/>
        </w:trPr>
        <w:tc>
          <w:tcPr>
            <w:tcW w:w="11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Conversion of</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redeemable convertible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(11,973,00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(73,598,28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(53,271,75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(112,422,7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(81,587,93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38,413,90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preferred stock</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(5,075,000)</w:t>
            </w:r>
          </w:p>
        </w:tc>
        <w:tc>
          <w:tcPr>
            <w:tcW w:w="80" w:type="dxa"/>
            <w:vAlign w:val="bottom"/>
          </w:tcPr>
          <w:p>
            <w:pPr>
              <w:spacing w:after="0"/>
              <w:rPr>
                <w:sz w:val="11"/>
                <w:szCs w:val="1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1"/>
                <w:szCs w:val="1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w:t>
            </w:r>
          </w:p>
        </w:tc>
        <w:tc>
          <w:tcPr>
            <w:tcW w:w="80" w:type="dxa"/>
            <w:vAlign w:val="bottom"/>
          </w:tcPr>
          <w:p>
            <w:pPr>
              <w:spacing w:after="0"/>
              <w:rPr>
                <w:sz w:val="11"/>
                <w:szCs w:val="1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020)</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with an initial public</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2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23,000,00</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issuance costs</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399,562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399,565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20"/>
                <w:szCs w:val="20"/>
                <w:color w:val="auto"/>
              </w:rPr>
            </w:pPr>
            <w:r>
              <w:rPr>
                <w:rFonts w:ascii="Times New Roman" w:cs="Times New Roman" w:eastAsia="Times New Roman" w:hAnsi="Times New Roman"/>
                <w:sz w:val="11"/>
                <w:szCs w:val="11"/>
                <w:color w:val="auto"/>
              </w:rPr>
              <w:t>stock</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expense</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3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0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(16,934)</w:t>
            </w:r>
          </w:p>
        </w:tc>
        <w:tc>
          <w:tcPr>
            <w:tcW w:w="10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(16,934)</w:t>
            </w:r>
          </w:p>
        </w:tc>
        <w:tc>
          <w:tcPr>
            <w:tcW w:w="0" w:type="dxa"/>
            <w:vAlign w:val="bottom"/>
          </w:tcPr>
          <w:p>
            <w:pPr>
              <w:spacing w:after="0"/>
              <w:rPr>
                <w:sz w:val="1"/>
                <w:szCs w:val="1"/>
                <w:color w:val="auto"/>
              </w:rPr>
            </w:pPr>
          </w:p>
        </w:tc>
      </w:tr>
      <w:tr>
        <w:trPr>
          <w:trHeight w:val="99"/>
        </w:trPr>
        <w:tc>
          <w:tcPr>
            <w:tcW w:w="1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March</w:t>
            </w: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66,636,25</w:t>
            </w:r>
          </w:p>
        </w:tc>
        <w:tc>
          <w:tcPr>
            <w:tcW w:w="120" w:type="dxa"/>
            <w:vAlign w:val="bottom"/>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715,807</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(146,876 )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568,938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as of</w:t>
            </w: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76,154,78</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1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951,350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(217,981)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733,377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w:t>
            </w: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66,506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expense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0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2"/>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(34,452)</w:t>
            </w: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(34,452)</w:t>
            </w:r>
          </w:p>
        </w:tc>
        <w:tc>
          <w:tcPr>
            <w:tcW w:w="0" w:type="dxa"/>
            <w:vAlign w:val="bottom"/>
          </w:tcPr>
          <w:p>
            <w:pPr>
              <w:spacing w:after="0"/>
              <w:rPr>
                <w:sz w:val="1"/>
                <w:szCs w:val="1"/>
                <w:color w:val="auto"/>
              </w:rPr>
            </w:pPr>
          </w:p>
        </w:tc>
      </w:tr>
      <w:tr>
        <w:trPr>
          <w:trHeight w:val="99"/>
        </w:trPr>
        <w:tc>
          <w:tcPr>
            <w:tcW w:w="1120" w:type="dxa"/>
            <w:vAlign w:val="bottom"/>
            <w:tcBorders>
              <w:top w:val="single" w:sz="8" w:color="CFF0FC"/>
            </w:tcBorders>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March</w:t>
            </w: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40" w:type="dxa"/>
            <w:vAlign w:val="bottom"/>
            <w:tcBorders>
              <w:top w:val="single" w:sz="8" w:color="CFF0FC"/>
              <w:right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0" w:lineRule="exact"/>
              <w:rPr>
                <w:sz w:val="20"/>
                <w:szCs w:val="20"/>
                <w:color w:val="auto"/>
              </w:rPr>
            </w:pPr>
            <w:r>
              <w:rPr>
                <w:rFonts w:ascii="Times New Roman" w:cs="Times New Roman" w:eastAsia="Times New Roman" w:hAnsi="Times New Roman"/>
                <w:sz w:val="11"/>
                <w:szCs w:val="11"/>
                <w:color w:val="auto"/>
              </w:rPr>
              <w:t>76,221,28</w:t>
            </w:r>
          </w:p>
        </w:tc>
        <w:tc>
          <w:tcPr>
            <w:tcW w:w="12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957,183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(252,433 )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704,758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-976630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-959485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-976630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-959485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-976630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-959485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-976630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-959485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-976630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-959485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-976630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-959485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-976630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-959485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-976630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-959485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-976630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-959485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-976630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-959485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-976630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-959485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-976630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-959485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-976630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-959485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-976630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-959485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-976630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-959485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-976630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-959485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-187960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-187960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-187960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-187960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-187960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-187960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-187960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-187960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-187960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-187960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(34,452)</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(16,934)</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Accretion of discount on short-term investments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interest income</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09"/>
        </w:trPr>
        <w:tc>
          <w:tcPr>
            <w:tcW w:w="79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200,139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(361,892)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(453,297)</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Issuance of note receivable</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79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(186,769)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(307,444)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Payments of success fee or long-term debt</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198"/>
        </w:trPr>
        <w:tc>
          <w:tcPr>
            <w:tcW w:w="794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exercise of common stock options and issuance of common stock under the employee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 purchase plan</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offering costs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10"/>
        </w:trPr>
        <w:tc>
          <w:tcPr>
            <w:tcW w:w="79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402,658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(215,596)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41,472</w:t>
            </w:r>
          </w:p>
        </w:tc>
        <w:tc>
          <w:tcPr>
            <w:tcW w:w="16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Reclassification of 38,413,909 redeemable convertible preferred stock to 38,413,909 shares of common</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307,890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9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3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940" w:type="dxa"/>
            <w:vAlign w:val="bottom"/>
            <w:tcBorders>
              <w:bottom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Conversion of deferred offering costs</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6,845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9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Deferred offering costs, unpaid and accrued</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7"/>
                <w:szCs w:val="17"/>
                <w:color w:val="auto"/>
              </w:rPr>
            </w:pPr>
          </w:p>
        </w:tc>
        <w:tc>
          <w:tcPr>
            <w:tcW w:w="44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lease liabilities</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859</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-3329305</wp:posOffset>
            </wp:positionV>
            <wp:extent cx="939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-3329305</wp:posOffset>
            </wp:positionV>
            <wp:extent cx="10287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-2489200</wp:posOffset>
            </wp:positionV>
            <wp:extent cx="939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-2489200</wp:posOffset>
            </wp:positionV>
            <wp:extent cx="10287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-1512570</wp:posOffset>
            </wp:positionV>
            <wp:extent cx="939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-1512570</wp:posOffset>
            </wp:positionV>
            <wp:extent cx="10287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-1071245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-351155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-334010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Food and Drug Administration (FDA) approves its product candidate, cretostimogene, and the Company is able to commercialize this product candidate.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condensed consolidated financial statements, on a retrospective basis, to reflect the reverse stock split for all periods presented. The par value of the common stock and preferred stock was not adjusted as a result of the reverse stock split.</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29, 2024, the Company completed the closing of its initial public offering (IPO) of 23,000,000 shares of common stock, which included the exercise in full by the underwriters of their option to purchase 3,000,000 additional shares, at a price of $19.00 per share. The common stock began trading on the Nasdaq Global Market on January 25, 2024, under the symbol "CGON". The Company received net proceeds of $399.6 million, after deducting discounts and commissions and other offering expenses. In addition, as a result of its IPO, the Company’s redeemable convertible preferred stock converted into common stock concurrently with the IPO. In December 2024, we completed a follow-on offering of 8,500,000 shares of common stock at a price of $28.00 per share, including the exercise in full by the underwriters of their option to purchase an additional 1,200,000 shares of common stock. We received net proceeds of $223.1 million, after deducting discounts, commissions and other offering expenses.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2025, the Company's wholly owned subsidiary, SafeGuard Healthcare, LLC, established a note receivable in the principal amount of $25.0 million through a convertible promissory note (Note) from SP Healthcare SPV I, LLC (SPV). The SPV used the proceeds from the Note to make an investment in Biovire, Inc. for the purpose of Biovire acquiring substantially all of the assets of a contract manufacturing organization that provides clinical supply of cretostimogene to the Company. See footnote 4 for more information on the accounting for the Note.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March 31, 2025 and for the three months ended March 31, 2025 and 2024 have been prepared in accordance with U.S. generally accepted accounting principles (U.S. GAAP) for interim financial information and pursuant to the rules and regulations of the U.S. Securities and Exchange Commission (SEC). Accordingly, they do not include all of the information and notes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for the year ended December 31, 2024 included in the Company's Annual Report on Form 10-K for the year ended December 31, 2024 (2024 Annual Report). In the opinion of management, the unaudited condensed consolidated financial statements reflect all adjustments, which include only normal and recurring adjustments, considered necessary for a fair statement of the interim periods.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33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2025, the Company had approximately $688.4 million of cash, cash equivalents and marketable securities and working capital of approximately $678.6 million. The Company has a relatively limited operating history, and the revenue and income potential of the Company’s business and market are unproven. The Company has experienced net losses and negative cash flows from operations since its inception and, as of March 31, 2025, the Company had an accumulated deficit of $252.4 million. During the three months ended March 31, 2025, the Company incurred a net loss of $34.5 million and negative cash flows from operations of $29.3 million.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344"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18"/>
          <w:szCs w:val="18"/>
          <w:color w:val="auto"/>
        </w:rPr>
        <w:t>On March 28, 2025,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(Jefferies Sales Agreement) with Jefferies LLC, as agent, pursuant to which the Company may offer and sell, from time to time through Jefferies, up to $250 million of shares of the Company’s common stock. As of March 31, 2025, no sales have been made under the Jefferies Sales Agreement.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appearing in its 2024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as deferred offering costs all direct and incremental legal, professional, accounting and other third-party fees incurred in connection with the filing of a registration statement on Form S-3. As of March 31, 2025 and December 31, 2024, the Company had $0.4 million and zero, respectively, in deferred offering costs, of which $0.2 million and zero were in accrued expenses, respectively. Deferred offering costs are included in Other assets in the Company's condensed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condensed consolidated financial statements.</w:t>
      </w:r>
    </w:p>
    <w:p>
      <w:pPr>
        <w:spacing w:after="0" w:line="16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guidance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(national), state, and foreign. Lastly, the guidance eliminates the requirement for all entities to disclose the nature and estimate of the range of the reasonably possible change in the unrecognized tax benefits balance in the next 12 months or make a statement that an estimate of the range cannot be made. The guidance is effective for the Company for annual periods beginning after December 15, 2025. Early adoption is permitted for annual financial statements that have not yet been issued or made available for issuance. The guidance should be applied on a prospective basis. Retrospective application is permitted. The Company is currently evaluating the impact that this guidance may have on its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Comprehensive Income - Expense Disaggregation Disclosures</w:t>
      </w:r>
      <w:r>
        <w:rPr>
          <w:rFonts w:ascii="Times New Roman" w:cs="Times New Roman" w:eastAsia="Times New Roman" w:hAnsi="Times New Roman"/>
          <w:sz w:val="18"/>
          <w:szCs w:val="18"/>
          <w:color w:val="auto"/>
        </w:rPr>
        <w:t>,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w:t>
      </w:r>
    </w:p>
    <w:p>
      <w:pPr>
        <w:spacing w:after="0" w:line="1" w:lineRule="exact"/>
        <w:rPr>
          <w:sz w:val="20"/>
          <w:szCs w:val="20"/>
          <w:color w:val="auto"/>
        </w:rPr>
      </w:pPr>
    </w:p>
    <w:p>
      <w:pPr>
        <w:ind w:firstLine="8"/>
        <w:spacing w:after="0" w:line="260"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to any or all prior periods presented in the financial statements. The Company is currently evaluating the provisions of the amendments and the effect on its future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financial instruments carried at fair value on a recurring basis as of March 31, 2025 and December 31, 2024, respectively, in accordance with the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hierarchy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2025</w:t>
            </w: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4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41,057</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41,057</w:t>
            </w:r>
          </w:p>
        </w:tc>
        <w:tc>
          <w:tcPr>
            <w:tcW w:w="100" w:type="dxa"/>
            <w:vAlign w:val="bottom"/>
          </w:tcPr>
          <w:p>
            <w:pPr>
              <w:spacing w:after="0"/>
              <w:rPr>
                <w:sz w:val="18"/>
                <w:szCs w:val="18"/>
                <w:color w:val="auto"/>
              </w:rPr>
            </w:pPr>
          </w:p>
        </w:tc>
      </w:tr>
      <w:tr>
        <w:trPr>
          <w:trHeight w:val="21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646,962</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646,962</w:t>
            </w:r>
          </w:p>
        </w:tc>
        <w:tc>
          <w:tcPr>
            <w:tcW w:w="100" w:type="dxa"/>
            <w:vAlign w:val="bottom"/>
            <w:shd w:val="clear" w:color="auto" w:fill="CFF0FC"/>
          </w:tcPr>
          <w:p>
            <w:pPr>
              <w:spacing w:after="0"/>
              <w:rPr>
                <w:sz w:val="18"/>
                <w:szCs w:val="18"/>
                <w:color w:val="auto"/>
              </w:rPr>
            </w:pPr>
          </w:p>
        </w:tc>
      </w:tr>
      <w:tr>
        <w:trPr>
          <w:trHeight w:val="364"/>
        </w:trPr>
        <w:tc>
          <w:tcPr>
            <w:tcW w:w="2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4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100" w:type="dxa"/>
            <w:vAlign w:val="bottom"/>
          </w:tcPr>
          <w:p>
            <w:pPr>
              <w:spacing w:after="0"/>
              <w:rPr>
                <w:sz w:val="18"/>
                <w:szCs w:val="18"/>
                <w:color w:val="auto"/>
              </w:rPr>
            </w:pPr>
          </w:p>
        </w:tc>
      </w:tr>
      <w:tr>
        <w:trPr>
          <w:trHeight w:val="21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484,930</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As of March 31, 2025 and December 31, 2024, the amortized cost of the Company's available for sale marketable securities approximated their fair value. There was no material realized or unrealized gains or losses, either individually or in the aggregate.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months ended March 31, 2025 and the year ended December 31,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 Receivable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a note receivable from SPV totaling $25.0 million, which was established in February 2025. The note carries an interest rate of 8% and is due on February 3, 2029. As of March 31, 2025, no payments have been made, and the outstanding principal balance is $25.0 million. The note is recognized on an amortized cost basis, which is equal to the principal amount, adjusted for accrued interest. The Company assesses the collectability of this note on an ongoing basis and has determined that it is fully collectible as of the reporting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as of March 31, 2025 and as of December 31, 2024 were as follows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three and two operating leases, respectively, in which the Company was the lessee for office space. As of March 31, 2025, the leases have varying terms expiring between 2026 and 2030. The Company had no finance leases as of March 31, 2025 and December 31,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as of March 31, 2025 and 2024 were as follows (in thousands):</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gridSpan w:val="2"/>
          </w:tcPr>
          <w:p>
            <w:pPr>
              <w:spacing w:after="0"/>
              <w:rPr>
                <w:sz w:val="18"/>
                <w:szCs w:val="18"/>
                <w:color w:val="auto"/>
              </w:rPr>
            </w:pPr>
          </w:p>
        </w:tc>
        <w:tc>
          <w:tcPr>
            <w:tcW w:w="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60" w:type="dxa"/>
            <w:vAlign w:val="bottom"/>
            <w:gridSpan w:val="3"/>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40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54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 obtained in exchange for new operating</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60" w:type="dxa"/>
            <w:vAlign w:val="bottom"/>
            <w:gridSpan w:val="3"/>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 in operating cash flows</w:t>
            </w:r>
          </w:p>
        </w:tc>
        <w:tc>
          <w:tcPr>
            <w:tcW w:w="1060" w:type="dxa"/>
            <w:vAlign w:val="bottom"/>
            <w:gridSpan w:val="3"/>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1.92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1.63%</w:t>
            </w:r>
          </w:p>
        </w:tc>
        <w:tc>
          <w:tcPr>
            <w:tcW w:w="0" w:type="dxa"/>
            <w:vAlign w:val="bottom"/>
          </w:tcPr>
          <w:p>
            <w:pPr>
              <w:spacing w:after="0"/>
              <w:rPr>
                <w:sz w:val="1"/>
                <w:szCs w:val="1"/>
                <w:color w:val="auto"/>
              </w:rPr>
            </w:pPr>
          </w:p>
        </w:tc>
      </w:tr>
      <w:tr>
        <w:trPr>
          <w:trHeight w:val="441"/>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2025 were as follows (in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gridSpan w:val="2"/>
            <w:vMerge w:val="restart"/>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vMerge w:val="continue"/>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-2691130</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-2673985</wp:posOffset>
            </wp:positionV>
            <wp:extent cx="111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-2691130</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-2673985</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condensed consolidated financial statements if it is determined that it is probable that a loss has been incurred, and that the amount (or range) of the loss can be reasonably estimated.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4, 2024, a complaint was filed against the Company in the Superior Court of the State of Delaware by ANI Pharmaceuticals, Inc. seeking a declaratory judgment that an assignment and technology transfer agreement between the Company and ANI, dated November 15, 2010, obligates the Company to pay ANI a royalty on certain "net sales" of cretostimogene. The court set a trial date for July 21, 2025. The Company disputes the allegations and is vigorously defending the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March 31, 2025, the Company had not experienced any losses related to these indemnification obligations, and no claims with respect thereto were outstanding.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the Lepu License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1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zero and $0.5 million in license and collaboration revenue for the three months ended March 31,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19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The Company is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the Company's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the Company's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the Company's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the Company’s discretion, continue.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Kissei Agreement to determine whether it is a collaborative arrangement 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808). The Company concluded the Kissei Agreement is a collaborative agreement under ASC 808, as the Kissei Agreement involves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operating activity, each party is an active participant in the activities related to the Kissei Agreement, and both parties are exposed to significant risks and rewards dependent upon the commercial success of the activities related to the Kissei Agreement.</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less than $0.1 million and zero in license and collaboration revenue for the three months ended March 31,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Disclosures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(CODM) is its chief executive officer, who reviews financial information presented on a consolidated basis. The CODM uses consolidated net income (loss) to assess financial performance and allocate resources. The CODM does not review assets in evaluating the results of the single segment and therefore, such information is not presented.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15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Clinical and manufacturing</w:t>
            </w:r>
          </w:p>
        </w:tc>
        <w:tc>
          <w:tcPr>
            <w:tcW w:w="1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(1)</w:t>
            </w:r>
          </w:p>
        </w:tc>
        <w:tc>
          <w:tcPr>
            <w:tcW w:w="1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100" w:type="dxa"/>
            <w:vAlign w:val="bottom"/>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(42,204)</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(22,469)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18"/>
                <w:szCs w:val="18"/>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(34,452)</w:t>
            </w: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(16,934)</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-882650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-599440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research and development consists of indirect costs incurred for the benefit of the research and development efforts, including certain personnel, supply chain, quality assurance, and regulatory affairs.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700,000,000 shares of common stock at March 31, 2025 and December 31, 2024, of which 76,221,289 and 76,154,783 shares were issued and outstanding at March 31, 2025 and December 31, 2024,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are subject to and qualified by the rights, powers and preferences of the holders of the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out of funds legally available therefore at such times and in such amounts as the board of directors may determine in its sole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5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CG ONCOLOGY, INC.</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2"/>
        </w:trPr>
        <w:tc>
          <w:tcPr>
            <w:tcW w:w="2260" w:type="dxa"/>
            <w:vAlign w:val="bottom"/>
          </w:tcPr>
          <w:p>
            <w:pPr>
              <w:spacing w:after="0"/>
              <w:rPr>
                <w:sz w:val="24"/>
                <w:szCs w:val="24"/>
                <w:color w:val="auto"/>
              </w:rPr>
            </w:pPr>
          </w:p>
        </w:tc>
        <w:tc>
          <w:tcPr>
            <w:tcW w:w="55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Notes to Condensed Financial Statements</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5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As of March 31, 2025, the Company reserved the following shares of common stock for issuance:</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22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26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10"/>
        </w:trPr>
        <w:tc>
          <w:tcPr>
            <w:tcW w:w="22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6,607,154</w:t>
            </w:r>
          </w:p>
        </w:tc>
        <w:tc>
          <w:tcPr>
            <w:tcW w:w="60" w:type="dxa"/>
            <w:vAlign w:val="bottom"/>
            <w:shd w:val="clear" w:color="auto" w:fill="CFF0FC"/>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stock option issuances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6,155,929</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751,077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226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13,514,160</w:t>
            </w:r>
          </w:p>
        </w:tc>
        <w:tc>
          <w:tcPr>
            <w:tcW w:w="60" w:type="dxa"/>
            <w:vAlign w:val="bottom"/>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may grant options and restricted stock to its employees and certain non-employees. As of March 31, 2025, there were 905,885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March 31, 2025, there were 3,337,431 shares of common stock subject to outstanding awards under the 2022 Plan.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11, 2024, the Company’s board of directors and stockholders approved the 2024 Equity Incentive Plan (the 2024 Plan), which became effective on the date immediately preceding the date on which the Company’s registration statement was declared effective by the SEC. The 2024 Plan replaced the 2022 Plan, as the Company’s board of directors has determined to not make additional grants under the 2022 Plan following the closing of the offering. However, the 2015 and 2022 Plan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Plan and 2022 Plan as of the effective date of the 2024 Plan that become available for issuance under the 2024 Plan thereafter in accordance with its terms. As of March 31, 2025, there were 2,363,838 shares of common stock subject to outstanding awards and 6,155,924 shares of common stock remaining and available for issuance under the 2024 Plan.</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three months ended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52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60" w:type="dxa"/>
            <w:vAlign w:val="bottom"/>
            <w:tcBorders>
              <w:bottom w:val="single" w:sz="8" w:color="auto"/>
            </w:tcBorders>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2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8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73.39% - 74.09%</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60" w:type="dxa"/>
            <w:vAlign w:val="bottom"/>
            <w:shd w:val="clear" w:color="auto" w:fill="CFF0FC"/>
          </w:tcPr>
          <w:p>
            <w:pPr>
              <w:jc w:val="center"/>
              <w:ind w:right="834"/>
              <w:spacing w:after="0"/>
              <w:rPr>
                <w:sz w:val="20"/>
                <w:szCs w:val="20"/>
                <w:color w:val="auto"/>
              </w:rPr>
            </w:pPr>
            <w:r>
              <w:rPr>
                <w:rFonts w:ascii="Times New Roman" w:cs="Times New Roman" w:eastAsia="Times New Roman" w:hAnsi="Times New Roman"/>
                <w:sz w:val="18"/>
                <w:szCs w:val="18"/>
                <w:color w:val="auto"/>
                <w:w w:val="98"/>
              </w:rPr>
              <w:t>84.5%</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4.05% - 4.5%</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jc w:val="center"/>
              <w:ind w:right="834"/>
              <w:spacing w:after="0"/>
              <w:rPr>
                <w:sz w:val="20"/>
                <w:szCs w:val="20"/>
                <w:color w:val="auto"/>
              </w:rPr>
            </w:pPr>
            <w:r>
              <w:rPr>
                <w:rFonts w:ascii="Times New Roman" w:cs="Times New Roman" w:eastAsia="Times New Roman" w:hAnsi="Times New Roman"/>
                <w:sz w:val="18"/>
                <w:szCs w:val="18"/>
                <w:color w:val="auto"/>
                <w:w w:val="98"/>
              </w:rPr>
              <w:t>3.93%</w:t>
            </w: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60" w:type="dxa"/>
            <w:vAlign w:val="bottom"/>
            <w:shd w:val="clear" w:color="auto" w:fill="CFF0FC"/>
          </w:tcPr>
          <w:p>
            <w:pPr>
              <w:jc w:val="center"/>
              <w:ind w:right="814"/>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6.0 - 6.1</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tcPr>
          <w:p>
            <w:pPr>
              <w:jc w:val="center"/>
              <w:ind w:right="814"/>
              <w:spacing w:after="0"/>
              <w:rPr>
                <w:sz w:val="20"/>
                <w:szCs w:val="20"/>
                <w:color w:val="auto"/>
              </w:rPr>
            </w:pPr>
            <w:r>
              <w:rPr>
                <w:rFonts w:ascii="Times New Roman" w:cs="Times New Roman" w:eastAsia="Times New Roman" w:hAnsi="Times New Roman"/>
                <w:sz w:val="18"/>
                <w:szCs w:val="18"/>
                <w:color w:val="auto"/>
              </w:rPr>
              <w:t>6.05</w:t>
            </w:r>
          </w:p>
        </w:tc>
      </w:tr>
    </w:tbl>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the options granted was $27.30 and $13.94 per share for the three months ended March 31, 2025 and 2024, respectively. The fair value of shares vested during the three months ended March 31, 2025 and 2024 was $16.61 and $3.40 per share, respectively. The fair value of shares exercised during the three months ended March 31, 2025 and 2024 was $2.84 and $1.82 per share,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three months ended March 31, 2025 (in thousands, except share and per share amounts):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Balance at December 31, 2024</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Granted</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Exercised</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Forfeited/Expired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Balance at March 31, 2025</w:t>
      </w:r>
    </w:p>
    <w:p>
      <w:pPr>
        <w:spacing w:after="0" w:line="59" w:lineRule="exact"/>
        <w:rPr>
          <w:sz w:val="20"/>
          <w:szCs w:val="20"/>
          <w:color w:val="auto"/>
        </w:rPr>
      </w:pPr>
    </w:p>
    <w:p>
      <w:pPr>
        <w:ind w:left="580" w:right="1400"/>
        <w:spacing w:after="0" w:line="316" w:lineRule="auto"/>
        <w:rPr>
          <w:sz w:val="20"/>
          <w:szCs w:val="20"/>
          <w:color w:val="auto"/>
        </w:rPr>
      </w:pPr>
      <w:r>
        <w:rPr>
          <w:rFonts w:ascii="Times New Roman" w:cs="Times New Roman" w:eastAsia="Times New Roman" w:hAnsi="Times New Roman"/>
          <w:sz w:val="16"/>
          <w:szCs w:val="16"/>
          <w:color w:val="auto"/>
        </w:rPr>
        <w:t>Vested and expected to vest at March 31, 2025 Exercisable at March 31, 2025</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2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6,574,580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14.19</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108,155</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67,134</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27.30</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(34,487)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2.84</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36.63</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6,607,154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200" w:type="dxa"/>
            <w:vAlign w:val="bottom"/>
          </w:tcPr>
          <w:p>
            <w:pPr>
              <w:spacing w:after="0"/>
              <w:rPr>
                <w:sz w:val="17"/>
                <w:szCs w:val="17"/>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w w:val="92"/>
              </w:rPr>
              <w:t>7.99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87,311</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6,607,154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200" w:type="dxa"/>
            <w:vAlign w:val="bottom"/>
          </w:tcPr>
          <w:p>
            <w:pPr>
              <w:spacing w:after="0"/>
              <w:rPr>
                <w:sz w:val="16"/>
                <w:szCs w:val="16"/>
                <w:color w:val="auto"/>
              </w:rPr>
            </w:pPr>
          </w:p>
        </w:tc>
        <w:tc>
          <w:tcPr>
            <w:tcW w:w="106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w w:val="92"/>
              </w:rPr>
              <w:t>7.99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87,311</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2,494,428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6.88</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6.79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-972820</wp:posOffset>
            </wp:positionV>
            <wp:extent cx="641223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-698500</wp:posOffset>
            </wp:positionV>
            <wp:extent cx="641223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-132715</wp:posOffset>
            </wp:positionV>
            <wp:extent cx="641223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-424180</wp:posOffset>
            </wp:positionV>
            <wp:extent cx="641223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5020" w:space="720"/>
            <w:col w:w="5500"/>
          </w:cols>
          <w:pgMar w:left="320" w:top="765" w:right="339" w:bottom="1440" w:gutter="0" w:footer="0" w:header="0"/>
          <w:type w:val="continuous"/>
        </w:sect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of $4.4 million and $1.5 million for the three months ended March 31, 2025 and 2024, respectively. As of March 31, 2025, the Company had an aggregate $52.3 million of gross unrecognized stock-based compensation expense related to unvested options to be recognized over a weighted average period of 3.1 years.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the 2024 Employee Stock Purchase Plan (see Note 9) recorded in the accompanying statements of operations for the three months ended March 31, 2025 and 2024 was as follows (in thousands):</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60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8"/>
                <w:szCs w:val="18"/>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6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60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shd w:val="clear" w:color="auto" w:fill="CFF0FC"/>
          </w:tcPr>
          <w:p>
            <w:pPr>
              <w:spacing w:after="0"/>
              <w:rPr>
                <w:sz w:val="19"/>
                <w:szCs w:val="19"/>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January 11, 2024, </w:t>
      </w:r>
      <w:r>
        <w:rPr>
          <w:rFonts w:ascii="Times New Roman" w:cs="Times New Roman" w:eastAsia="Times New Roman" w:hAnsi="Times New Roman"/>
          <w:sz w:val="18"/>
          <w:szCs w:val="18"/>
          <w:color w:val="242424"/>
        </w:rPr>
        <w:t>the Company’s board of directors and stockholders approved the 2024 Employee Stock Purchase Plan (the ESPP),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became effective on the date on which the Company’s registration statement was declared effective by the SEC. The number of shares initially available for issuance pursuant to the ESPP is 812,242 shares. The ESPP </w:t>
      </w:r>
      <w:r>
        <w:rPr>
          <w:rFonts w:ascii="Times New Roman" w:cs="Times New Roman" w:eastAsia="Times New Roman" w:hAnsi="Times New Roman"/>
          <w:sz w:val="18"/>
          <w:szCs w:val="18"/>
          <w:color w:val="000000"/>
        </w:rPr>
        <w:t>provides for the sale of the Company's common stock to eligible employees at 85% of the fair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32,019 shares purchased under the ESPP during the three months ended March 31, 2025. On March 31, 2025, there were approximately 0.8 million shares available for issuance under the ESPP.</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under the ESPP of approximately $0.7 million for the three months ended March 31, 2025. As of March 31, 2025, the Company had $2.7 million of gross unrecognized stock-based compensation expense under the ESPP to be recognized over a weighted average period of 1.19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2021, the Company entered into a loan agreement with SVB (the “Loan Agreement”) for a term loan in three tranches. In 2021, the Company drew down on two of the tranches in the aggregate principal amount of $15.0 million. On May 12, 2023, the Company repaid all outstanding principal and accrued and unpaid interest on the funds received under the Loan Agreement and all other outstanding obligations with respect to the funds received under the Loan Agreement and made a final payment.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a Success Fee Agreement (the Success Fee Agreement) with SVB in January 2021. In accordance with the Success Fee Agreement, the Company agreed to pay to SVB an amount equal to (a) the quotient of (i) the aggregate original principal amount of all Term Loan Advances made by SVB to the Company divided by (ii) $5 million, multiplied by (b) $125,000 (the Success Fee), upon the closing of a success fee event (the Success Fee Event) and, in the event of an IPO, within five business days of closing such IPO. In connection with the Company’s IPO, it became obligated to pay SVB the Success Fee.</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March 5, 2024, the Company paid $0.4 million for the Success Fee under the Success Fee Agreement. As of March 31, 2025, the Company has no further obligations in connection with the Loan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 Attributable to Common 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(34,452)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(16,934)</w:t>
            </w:r>
          </w:p>
        </w:tc>
      </w:tr>
      <w:tr>
        <w:trPr>
          <w:trHeight w:val="20"/>
        </w:trPr>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stock outstanding, basic and diluted</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76,187,621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47,064,768</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64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46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(0.36)</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-25400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-25400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-8255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redeemable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redeemable convertible preferred stock as the preferred stockholders do not have a contractual obligation to share in the Company’s losses.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at March 31, 2025 and 2024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2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20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6,607,154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5,998,420</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6,607,154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5,998,420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-1079500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and the unaudited condensed consolidated financial statements included in this Quarterly Report on Form 10-Q should be read in conjunction with the financial statements and notes thereto for the year ended December 31, 2024 and the related Management’s Discussion and Analysis of Financial Condition and Results of Operations, both of which are contained in the Annual Report on Form 10-K for the year ended December 31, 2024 (the 2024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 Item 1A, “Risk Factors” of the 2024 Annual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a potential backbone bladder-sparing therapeutic for patients afflicted with bladder cancer. Our goal is to develop cretostimogene grenadenorepvec (cretostimogene), our product candidate, as an alternative to Bacillus Calmette-Guérin (BCG) in treating a broad range of bladder cancer indications. Cretostimogene is in clinical development for the treatment of patients with high-risk Non-Muscle Invasive Bladder Cancer (NMIBC) who are unresponsive to BCG therapy, the current standard-of-care for high-risk NMIBC. Given the limitations of currently approved therapies, the next course of treatment for these BCG-unresponsive patients is radical cystectomy, or the complete removal of the bladder, which is associated with significant social, functional and emotional burden. As such, there is a significant unmet need for effective treatments in these patients.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anticipation of potential FDA approval, we are actively building our commercial operations, marketing, market access and patient access and field force capabilities. This includes pre-launch activities currently being executed, including scientific communication activities and engagements by our field medical organization. We are also implementing strategic initiatives to build seamless product distribution and patient support. Our efforts are focused on ensuring that we are fully prepared to launch and deliver cretostimogene to patients and healthcare providers, if approved. We are evaluating the safety and efficacy of cretostimogene as a monotherapy in BOND-003 Cohort C, our ongoing Phase 3 clinical trial in high-risk BCG-unresponsive NMIBC with carcinoma </w:t>
      </w:r>
      <w:r>
        <w:rPr>
          <w:rFonts w:ascii="Times New Roman" w:cs="Times New Roman" w:eastAsia="Times New Roman" w:hAnsi="Times New Roman"/>
          <w:sz w:val="18"/>
          <w:szCs w:val="18"/>
          <w:i w:val="1"/>
          <w:iCs w:val="1"/>
          <w:color w:val="auto"/>
        </w:rPr>
        <w:t>in situ</w:t>
      </w:r>
      <w:r>
        <w:rPr>
          <w:rFonts w:ascii="Times New Roman" w:cs="Times New Roman" w:eastAsia="Times New Roman" w:hAnsi="Times New Roman"/>
          <w:sz w:val="18"/>
          <w:szCs w:val="18"/>
          <w:color w:val="auto"/>
        </w:rPr>
        <w:t xml:space="preserve"> (CIS) and with or without Ta/T1 disease. We have completed enrollment for this cohort and reported interim data at the American Urological Association’s (AUA) 2024 Annual Meeting in May 2024, and topline data at the 2024 Society of Urologic Oncology (SUO) Annual Meeting in December 2024, which was updated at the 40th Annual European Association of Urology (EAU) Congress in March 2025, and at the 2025 AUA Annual Meeting in April 2025. We believe that this trial could serve as the basis for a BLA submission to the U.S. FDA, which we expect to initiate in the second half of 2025. Cretostimogene has received both Fast Track and Breakthrough Therapy designations from the FDA for the treatment of High-Risk BCG-unresponsive NMIBC with CIS with or without Ta or T1 tumors.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April 2024, we initiated BOND-003 Cohort P, an exploratory study evaluating cretostimogene monotherapy in high-risk BCG-unresponsive NMIBC with only Ta/T1 disease. Initial data from this Cohort was reported at the 2025 AUA Annual Meeting, with updated data expected in the second half of 2025. In October 2024, we initiated CORE-008 Cohort A, our Phase 2 clinical trial in high-risk NMIBC patients who are naïve to BCG treatment, including patients with CIS and with or without Ta/T1 disease and patients with only Ta/T1 disease. In March 2025, we expanded CORE-008 into the high-risk BCG-exposed population (Cohort B). In addition, in April 2025, we initiated a third Cohort (Cohort CX), evaluating cretostimogene in combination with gemcitabine in the high-risk BCG-exposed population. We have completed and published the results for CORE-001, our Phase 2 clinical trial of cretostimogene in combination with pembrolizumab in high-risk BCG-unresponsive NMIBC patients that have CIS. Additionally, in NMIBC that is not categorized as high-risk, we have launched our second Phase 3 clinical trial, PIVOT-006, evaluating adjuvant cretostimogene in intermediate-risk NMIBC following transurethral resection of the bladder tumor (TURBT). We believe cretostimogene, if approved in intermediate-risk NMIBC, has the potential to serve as backbone therapy, thereby alleviating the current need to prioritize treatment recipients and ration administration of BCG given its significant market shortage.</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Our net losses were $34.5 million and $16.9 million for the three months ended March 31, 2025 and 2024, respectively. As of March 31, 2025, we had an accumulated deficit of $252.4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we have primarily funded our operations with proceeds from the sale of shares of our common stock through public offerings and our redeemable convertible preferred stock, as well as through previously outstanding term debt. From inception through March 31, 2025, we have received aggregate gross proceeds of approximately $982.9 million from the sale of shares of our common stock from our IPO, a follow-on offering in December 2024, and sales of redeemable convertible preferred stock. In addition, from inception through March 31, 2025, we have recognized $26.2 million in license and collaboration revenue pursuant to our license and collaboration agreements. As of March 31, 2025, we had cash, cash equivalents and marketable securities of $688.4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will be sufficient to fund our operations into the first half of 2028.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titled “Business—License and Collaboration Agreements” in our 2024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License Agreement) with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three months ended March 31, 2025 and 2024, zero and $0.5 million in license and collaboration revenue was recorded related to the Lepu License Agreement,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three months ended March 31, 2025, all license and collaboration revenue recorded was related to the Kissei License Agreement, with no license and collaboration revenue related to the Kissei License Agreement recorded during the three months ended March 31,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inception through March 31, 2025, we have recognized $26.2 million in license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external and internal costs incurred in performing clinical and preclinical development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Our R&amp;D expenses consist of:</w:t>
      </w:r>
    </w:p>
    <w:p>
      <w:pPr>
        <w:spacing w:after="0" w:line="117"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external costs incurred under agreements with contract research organizations (CROs), contract manufacturers, consultants and other third parties to conduct and support our clinical trials and preclinical studies;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internal costs, including R&amp;D personnel-related expenses such as salaries, stock-based compensation and benefits, as well as allocated facilities costs and dues and subscriptions.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potential additional safety monitoring requested by regulatory agencies;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 and timing of manufacturing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of changes in government regulation and regulatory guidance;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efficacy and safety profile of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facilities-related costs not otherwise included in R&amp;D expenses and other costs such as insurance costs and travel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net, consists of interest income related to interest earned on our invested cash and cash equivalents and marketable securities balances and expenses related to our previously outstanding term debt. We expect our interest income will increase as we invest the cash received from the net proceeds from our IPO.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consists of miscellaneous items, such as success fees and final payment amortization and other items not related to our core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(42,204)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(22,469)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(19,735)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and comprehensive loss</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(16,934)</w:t>
            </w:r>
          </w:p>
        </w:tc>
        <w:tc>
          <w:tcPr>
            <w:tcW w:w="120" w:type="dxa"/>
            <w:vAlign w:val="bottom"/>
          </w:tcPr>
          <w:p>
            <w:pPr>
              <w:spacing w:after="0"/>
              <w:rPr>
                <w:sz w:val="17"/>
                <w:szCs w:val="17"/>
                <w:color w:val="auto"/>
              </w:rPr>
            </w:pPr>
          </w:p>
        </w:tc>
        <w:tc>
          <w:tcPr>
            <w:tcW w:w="28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(17,518)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-1028065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-1028065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-1028065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-179705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License and collaboration revenue was $0.1 million for the three months ended March 31, 2025 compared to $0.5 million for the three months ended March 31, 2024. We recorded zero and $0.5 million in revenue for the three months ended March 31, 2025 and 2024, respectively, related to the Lepu License Agreement, and $0.1 million and zero in revenue related to the Kissei License Agreement for the three months ended March 31, 2025 and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three months ended March 31, 2025 and 2024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8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11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12,731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11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17,210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R&amp;D expenses were $27.5 million for the three months ended March 31, 2025 compared to $17.2 million for the three months ended March 31, 2024. The increase of $10.3 million in R&amp;D expenses for the three months ended March 31, 2025 was primarily due to an increase of $5.6 million in external clinical trial expenses related to higher CRO fees as patient enrollment increased, as well as an increase of $3.6 million in compensation costs due to increased headcount, including a $1.1 million increase in stock-based compensation, and an increase in other fees and costs of $1.1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2025 and 2024 (in thousands):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8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24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-170815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-170815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$14.8 million for the three months ended March 31, 2025 compared to $5.8 million for the three months ended March 31, 2024. The increase of $9.0 million in general and administrative expenses for the three months ended March 31, 2025 was primarily due to an increase in compensation costs of $5.3 million due to increased headcount, including a $2.5 million increase in stock-based compensation, as well as increased professional and consultant fees of $1.4 million related to legal, accounting and consulting fees, an increase in marketing-related costs of $1.1 million, and an increase in insurance, fees, and other costs of $1.2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for the three months ended March 31, 2025 was an other income, net of $7.8 million compared to an other income, net of $5.5 million for the three months ended March 31, 2024. For the three months ended March 31, 2025 and 2024, other income (expense), net primarily consisted of $7.7 million and $5.5 million, respectively, in interest income related to marketable securities balances.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through public offerings and our redeemable convertible preferred stock, as well as through previously outstanding term debt. Through March 31, 2025, we have received aggregate gross proceeds of $982.9 million from the sale of shares of our common stock through our public offerings and our redeemable convertible preferred stock. In addition, through March 31, 2025, we have recognized $26.2 million in license and collaboration revenue through our license and collaboration agreements. As of March 31, 2025, we had cash, cash equivalents and marketable securities of $688.4 million. On January 29, 2024, we closed our initial public offering of common stock for aggregate net proceeds of $399.6 million, after deducting discounts and commissions and other offering expenses. In December 2024, we closed a follow-on public offering of common stock for aggregated net proceeds of $223.1 million, after deducting discounts and commissions and other offering expenses.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36"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On March 28, 2025,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(Jefferies Sales Agreement) with Jefferies LLC, as agent, pursuant to which we may offer and sell, from time to time through Jefferies, up to $250 million of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covering the offering, issuance and sale of up to a maximum aggregate offering price of $250 million of our common stock that may be issued and sold from time to time under the Jefferies Sales Agreement. As of the filing of this Quarterly Report, no sales have been made under the shelf registration statement or the Jefferies Sales Agreement.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231F20"/>
        </w:rPr>
      </w:pPr>
    </w:p>
    <w:p>
      <w:pPr>
        <w:jc w:val="both"/>
        <w:ind w:left="1020" w:right="20" w:hanging="503"/>
        <w:spacing w:after="0" w:line="312" w:lineRule="auto"/>
        <w:tabs>
          <w:tab w:leader="none" w:pos="1020" w:val="left"/>
        </w:tabs>
        <w:numPr>
          <w:ilvl w:val="0"/>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CMC quality and commercial personnel;</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achieve sufficient market acceptance, coverage, and adequate reimbursement from third- party payors and adequate market share and revenue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upon our current operating plan, we estimate that our existing cash, cash equivalents and marketable securities, will be sufficient to fund our operations into the first half of 2028.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and Other Obligations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there have been no material changes outside of the ordinary course of business in the composition to the material contractual obligations or commitments discussed in “Management’s Discussion and Analysis of Financial Condition and Results of Operations – Material Cash Requirements for Known Contractual and Other Obligations” included in the 2024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2025 and 2024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(29,277)</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(186,769)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402,658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(215,596)</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69,202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-281940</wp:posOffset>
            </wp:positionV>
            <wp:extent cx="431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-281940</wp:posOffset>
            </wp:positionV>
            <wp:extent cx="431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$29.3 million of cash, primarily resulting from our net loss of $34.5 million, as well as accretion of the discount on short-term investments of $0.3 million, partially offset by non-cash stock-based compensation charges of $5.2 million and net cash provided by changes in our operating assets and liabilities of $0.5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$26.0 million of cash, primarily resulting from our net loss of $16.9 million, accretion of the discount on short-term investments of $2.2 million, and net cash used in changes in our operating assets and liabilities of $8.4 million, partially offset by $1.5 million of non-cash stock-based compensation charges.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was $186.8 million, primarily due to purchases of marketable securities offset by proceeds from sales and maturities of short-term investments and the issuance of a note receivable through a convertible promissory note in the principal amount of $25.0 million to provide SP Healthcare SPV I, LLC with proceeds to make an investment in Biovire, Inc. for the purpose of Biovire’s acquisition of substantially all of the assets of a contract manufacturing organization that provides clinical supply of cretostimogene to us.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investing activities was $307.4 million, primarily due to purchases of marketable securities offset by proceeds from sales and maturities of short-term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$0.5 million, consisting primarily of proceeds from exercise of options of $0.7 million, partially offset by deferred offering costs of $0.2 million.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financing activities was $402.7 million, consisting primarily of net proceeds from the initial public offering, net of issuance costs and deferred offering costs of $403.0 million, partially offset by the long-term debt success fee payoff of $0.4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2024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Expenses and Related Prepaid and Accrued Expenses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results of operations and cash flows is included in Note 2 to our condensed consolidated financial statements included elsewhere in this Quarterly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exposure to market risk is limited primarily to interest rate sensitivity. </w:t>
      </w:r>
      <w:r>
        <w:rPr>
          <w:rFonts w:ascii="Times New Roman" w:cs="Times New Roman" w:eastAsia="Times New Roman" w:hAnsi="Times New Roman"/>
          <w:sz w:val="18"/>
          <w:szCs w:val="18"/>
          <w:color w:val="231F20"/>
        </w:rPr>
        <w:t>As of March 31, 2025,</w:t>
      </w:r>
      <w:r>
        <w:rPr>
          <w:rFonts w:ascii="Times New Roman" w:cs="Times New Roman" w:eastAsia="Times New Roman" w:hAnsi="Times New Roman"/>
          <w:sz w:val="18"/>
          <w:szCs w:val="18"/>
          <w:color w:val="auto"/>
        </w:rPr>
        <w:t xml:space="preserve"> we had cash, cash equivalents and marketable securities of approximately $688.4 million, which consisted primarily of money market funds and marketable securities, comprised of fixed income securities (U.S. Treasury bills).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capital to fund our operations. We also seek to maximize income from our investments without assuming significant risk. Due to the short-term duration of our investment portfolio and the low risk profile of our investment portfolio, we believe that our exposure to interest rate risk is not significant.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as of and for the periods covered by this Quarterly Report on Form 10-Q.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 as of March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2025,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4, 2024, a complaint was filed against us in the Superior Court of the State of Delaware by ANI Pharmaceuticals, Inc. seeking a declaratory judgment that an assignment and technology transfer agreement between us and ANI, dated November 15, 2010, obligates us to pay ANI a royalty on certain "net sales" of cretostimogene. The court has most recently set a trial date of July 21, 2025. We dispute the allegations and are vigorously defending the matter.</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Regardless of outcome, litigation can have an adverse impact on us because of defense and settlement costs, diversion of management resources, and other factors. There have been no material developments to the legal proceedings disclosed in Part II, Item 1, "Legal Proceedings" in our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of our 2024 Annual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24, 2024, our registration statement on Form S-1 (File No. 333-276350) was declared effective by the SEC for our initial public offering. At the closing of our initial public offering on January 29, 2024, we sold 23,000,000 shares of common stock, which included the exercise in full by the underwriters of their option to purchase 3,000,000 additional shares, at an initial public offering price of $19.00 per share and received gross proceeds of $437.0 million, which resulted in net proceeds to us of approximately $399.6 million, after deducting underwriting discounts and commissions of approximately $30.6 million and offering-related transaction costs of approximately $6.8 million. As of March 31, 2025, we estimate that we have used approximately $156.0 million of the proceeds from our initial public offering for general corporate purposes, including to fund the research and development of cretostimogene, and manufacturing and pre-commercial activities. There has been no material change in the planned use of proceeds from that described in the final prospectus for our initial public offering filed with the SEC pursuant to Rule 424(b)(4) under the Securities Act.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Section 16 officers (as defined in Rule 16a–1(f)) and directors may enter into Rule 10b5-1 or non-Rule 10b5-1 trading arrangements (as each such term is defined in Item 408 of Regulation S-K) for the purchase or sale of our securities. During the three months ended March 31, 2025, none of our officers or directors adopted, modified or terminated any such trading arrangements.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gridSpan w:val="22"/>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4"/>
                <w:szCs w:val="24"/>
                <w:color w:val="auto"/>
              </w:rPr>
            </w:pPr>
          </w:p>
        </w:tc>
        <w:tc>
          <w:tcPr>
            <w:tcW w:w="29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10"/>
        </w:trPr>
        <w:tc>
          <w:tcPr>
            <w:tcW w:w="164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8"/>
                <w:szCs w:val="18"/>
                <w:color w:val="auto"/>
              </w:rPr>
            </w:pPr>
          </w:p>
        </w:tc>
        <w:tc>
          <w:tcPr>
            <w:tcW w:w="3720" w:type="dxa"/>
            <w:vAlign w:val="bottom"/>
            <w:gridSpan w:val="13"/>
            <w:vMerge w:val="restart"/>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Amended and Restated Certificate of Incorporation</w:t>
              </w:r>
            </w:hyperlink>
          </w:p>
        </w:tc>
        <w:tc>
          <w:tcPr>
            <w:tcW w:w="1140" w:type="dxa"/>
            <w:vAlign w:val="bottom"/>
            <w:gridSpan w:val="13"/>
            <w:vMerge w:val="restart"/>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18"/>
                <w:szCs w:val="18"/>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tcBorders>
              <w:bottom w:val="single" w:sz="8" w:color="0000FF"/>
            </w:tcBorders>
            <w:gridSpan w:val="13"/>
            <w:vMerge w:val="continue"/>
          </w:tcPr>
          <w:p>
            <w:pPr>
              <w:spacing w:after="0"/>
              <w:rPr>
                <w:sz w:val="14"/>
                <w:szCs w:val="14"/>
                <w:color w:val="auto"/>
              </w:rPr>
            </w:pPr>
          </w:p>
        </w:tc>
        <w:tc>
          <w:tcPr>
            <w:tcW w:w="1140" w:type="dxa"/>
            <w:vAlign w:val="bottom"/>
            <w:gridSpan w:val="1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S-1/A</w:t>
            </w:r>
          </w:p>
        </w:tc>
        <w:tc>
          <w:tcPr>
            <w:tcW w:w="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01/18/24</w:t>
            </w:r>
          </w:p>
        </w:tc>
        <w:tc>
          <w:tcPr>
            <w:tcW w:w="100" w:type="dxa"/>
            <w:vAlign w:val="bottom"/>
          </w:tcPr>
          <w:p>
            <w:pPr>
              <w:spacing w:after="0"/>
              <w:rPr>
                <w:sz w:val="14"/>
                <w:szCs w:val="14"/>
                <w:color w:val="auto"/>
              </w:rPr>
            </w:pPr>
          </w:p>
        </w:tc>
        <w:tc>
          <w:tcPr>
            <w:tcW w:w="9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22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Amended and Restated Bylaws</w:t>
              </w:r>
            </w:hyperlink>
          </w:p>
        </w:tc>
        <w:tc>
          <w:tcPr>
            <w:tcW w:w="20" w:type="dxa"/>
            <w:vAlign w:val="bottom"/>
            <w:tcBorders>
              <w:bottom w:val="single" w:sz="8" w:color="0000EE"/>
            </w:tcBorders>
          </w:tcPr>
          <w:p>
            <w:pPr>
              <w:spacing w:after="0"/>
              <w:rPr>
                <w:sz w:val="17"/>
                <w:szCs w:val="17"/>
                <w:color w:val="auto"/>
              </w:rPr>
            </w:pPr>
          </w:p>
        </w:tc>
        <w:tc>
          <w:tcPr>
            <w:tcW w:w="258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01/02/24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48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Specimen stock certificate evidencing the shares of common stock</w:t>
              </w:r>
            </w:hyperlink>
          </w:p>
        </w:tc>
        <w:tc>
          <w:tcPr>
            <w:tcW w:w="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46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Investors’ Rights Agreement, dated July</w:t>
              </w:r>
            </w:hyperlink>
          </w:p>
        </w:tc>
        <w:tc>
          <w:tcPr>
            <w:tcW w:w="2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01/18/24</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28, 2023, as amended, by and among the Registrant and certain of</w:t>
              </w:r>
            </w:hyperlink>
          </w:p>
        </w:tc>
        <w:tc>
          <w:tcPr>
            <w:tcW w:w="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6"/>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its stockholders</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47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Convertible Promissory Note between the Registrant's subsidiary,</w:t>
            </w:r>
          </w:p>
        </w:tc>
        <w:tc>
          <w:tcPr>
            <w:tcW w:w="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SafeGuard Healthcare, LLC, and SP Healthcare SPV I, LLC dated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February 3, 2025</w:t>
            </w:r>
          </w:p>
        </w:tc>
        <w:tc>
          <w:tcPr>
            <w:tcW w:w="20" w:type="dxa"/>
            <w:vAlign w:val="bottom"/>
            <w:tcBorders>
              <w:bottom w:val="single" w:sz="8" w:color="0000EE"/>
            </w:tcBorders>
          </w:tcPr>
          <w:p>
            <w:pPr>
              <w:spacing w:after="0"/>
              <w:rPr>
                <w:sz w:val="17"/>
                <w:szCs w:val="17"/>
                <w:color w:val="auto"/>
              </w:rPr>
            </w:pPr>
          </w:p>
        </w:tc>
        <w:tc>
          <w:tcPr>
            <w:tcW w:w="360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17"/>
                <w:szCs w:val="17"/>
                <w:color w:val="auto"/>
              </w:rPr>
            </w:pPr>
          </w:p>
        </w:tc>
        <w:tc>
          <w:tcPr>
            <w:tcW w:w="45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Non-Employee Director Compensation</w:t>
              </w:r>
            </w:hyperlink>
          </w:p>
        </w:tc>
        <w:tc>
          <w:tcPr>
            <w:tcW w:w="28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6"/>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Program</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17"/>
                <w:szCs w:val="17"/>
                <w:color w:val="auto"/>
              </w:rPr>
            </w:pPr>
          </w:p>
        </w:tc>
        <w:tc>
          <w:tcPr>
            <w:tcW w:w="48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Amended and Restated Employment Agreement, effective January</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6"/>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9, 2025, between Arthur Kuan and the Registrant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17"/>
                <w:szCs w:val="17"/>
                <w:color w:val="auto"/>
              </w:rPr>
            </w:pPr>
          </w:p>
        </w:tc>
        <w:tc>
          <w:tcPr>
            <w:tcW w:w="48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Employment Agreement, effective January</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9, 2025, between Ambaw Bellete and the Registrant</w:t>
              </w:r>
            </w:hyperlink>
          </w:p>
        </w:tc>
        <w:tc>
          <w:tcPr>
            <w:tcW w:w="20" w:type="dxa"/>
            <w:vAlign w:val="bottom"/>
            <w:tcBorders>
              <w:bottom w:val="single" w:sz="8" w:color="0000EE"/>
            </w:tcBorders>
          </w:tcPr>
          <w:p>
            <w:pPr>
              <w:spacing w:after="0"/>
              <w:rPr>
                <w:sz w:val="17"/>
                <w:szCs w:val="17"/>
                <w:color w:val="auto"/>
              </w:rPr>
            </w:pPr>
          </w:p>
        </w:tc>
        <w:tc>
          <w:tcPr>
            <w:tcW w:w="108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17"/>
                <w:szCs w:val="17"/>
                <w:color w:val="auto"/>
              </w:rPr>
            </w:pPr>
          </w:p>
        </w:tc>
        <w:tc>
          <w:tcPr>
            <w:tcW w:w="48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Amended and Restated Employment Agreement, effective January</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6"/>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9, 2025, between Vijay Kasturi and the Registrant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17"/>
                <w:szCs w:val="17"/>
                <w:color w:val="auto"/>
              </w:rPr>
            </w:pPr>
          </w:p>
        </w:tc>
        <w:tc>
          <w:tcPr>
            <w:tcW w:w="48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and Restated Employment Agreement, effective January</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6"/>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9, 2025, between Corleen Roche and the Registrant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17"/>
                <w:szCs w:val="17"/>
                <w:color w:val="auto"/>
              </w:rPr>
            </w:pPr>
          </w:p>
        </w:tc>
        <w:tc>
          <w:tcPr>
            <w:tcW w:w="48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Amended and Restated Employment Agreement, effective January</w:t>
              </w:r>
            </w:hyperlink>
          </w:p>
        </w:tc>
        <w:tc>
          <w:tcPr>
            <w:tcW w:w="1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03/28/25</w:t>
            </w:r>
          </w:p>
        </w:tc>
        <w:tc>
          <w:tcPr>
            <w:tcW w:w="10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6"/>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9, 2025, between Joshua F. Patterson and the Registrant</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74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Executive Officer, as required by Rule 13a-</w:t>
            </w:r>
          </w:p>
        </w:tc>
        <w:tc>
          <w:tcPr>
            <w:tcW w:w="20" w:type="dxa"/>
            <w:vAlign w:val="bottom"/>
            <w:tcBorders>
              <w:bottom w:val="single" w:sz="8" w:color="0000EE"/>
            </w:tcBorders>
          </w:tcPr>
          <w:p>
            <w:pPr>
              <w:spacing w:after="0"/>
              <w:rPr>
                <w:sz w:val="17"/>
                <w:szCs w:val="17"/>
                <w:color w:val="auto"/>
              </w:rPr>
            </w:pPr>
          </w:p>
        </w:tc>
        <w:tc>
          <w:tcPr>
            <w:tcW w:w="1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278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48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as required by Rule 13a-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380" w:type="dxa"/>
            <w:vAlign w:val="bottom"/>
            <w:tcBorders>
              <w:right w:val="single" w:sz="8" w:color="0000EE"/>
            </w:tcBorders>
            <w:gridSpan w:val="9"/>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76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486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gridSpan w:val="10"/>
            <w:shd w:val="clear" w:color="auto" w:fill="0000FF"/>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482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w:t>
            </w: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gridSpan w:val="10"/>
            <w:shd w:val="clear" w:color="auto" w:fill="0000FF"/>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4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4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760" w:right="5040" w:hanging="929"/>
        <w:spacing w:after="0" w:line="260" w:lineRule="auto"/>
        <w:tabs>
          <w:tab w:leader="none" w:pos="1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02" w:lineRule="exact"/>
        <w:rPr>
          <w:rFonts w:ascii="Times New Roman" w:cs="Times New Roman" w:eastAsia="Times New Roman" w:hAnsi="Times New Roman"/>
          <w:sz w:val="18"/>
          <w:szCs w:val="18"/>
          <w:color w:val="auto"/>
        </w:rPr>
      </w:pPr>
    </w:p>
    <w:p>
      <w:pPr>
        <w:ind w:left="5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20" w:lineRule="exact"/>
        <w:rPr>
          <w:rFonts w:ascii="Times New Roman" w:cs="Times New Roman" w:eastAsia="Times New Roman" w:hAnsi="Times New Roman"/>
          <w:sz w:val="18"/>
          <w:szCs w:val="18"/>
          <w:color w:val="auto"/>
        </w:rPr>
      </w:pPr>
    </w:p>
    <w:p>
      <w:pPr>
        <w:ind w:right="20" w:firstLine="8"/>
        <w:spacing w:after="0" w:line="282" w:lineRule="auto"/>
        <w:tabs>
          <w:tab w:leader="none" w:pos="2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(indicated by “[***]”) have been omitted because they are not material and would likely cause competitive harm to us if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-1042670</wp:posOffset>
            </wp:positionV>
            <wp:extent cx="9512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344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436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34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50"/>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234"/>
        </w:trPr>
        <w:tc>
          <w:tcPr>
            <w:tcW w:w="3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0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34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/s/ Corleen Roche</w:t>
            </w:r>
          </w:p>
        </w:tc>
      </w:tr>
      <w:tr>
        <w:trPr>
          <w:trHeight w:val="191"/>
        </w:trPr>
        <w:tc>
          <w:tcPr>
            <w:tcW w:w="3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8"/>
              </w:rPr>
              <w:t>Corleen Roche</w:t>
            </w:r>
          </w:p>
        </w:tc>
      </w:tr>
      <w:tr>
        <w:trPr>
          <w:trHeight w:val="216"/>
        </w:trPr>
        <w:tc>
          <w:tcPr>
            <w:tcW w:w="3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3440" w:type="dxa"/>
            <w:vAlign w:val="bottom"/>
          </w:tcPr>
          <w:p>
            <w:pPr>
              <w:spacing w:after="0"/>
              <w:rPr>
                <w:sz w:val="24"/>
                <w:szCs w:val="24"/>
                <w:color w:val="auto"/>
              </w:rPr>
            </w:pPr>
          </w:p>
        </w:tc>
        <w:tc>
          <w:tcPr>
            <w:tcW w:w="2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229" w:lineRule="exact"/>
        <w:rPr>
          <w:sz w:val="20"/>
          <w:szCs w:val="20"/>
          <w:color w:val="auto"/>
        </w:rPr>
      </w:pPr>
    </w:p>
    <w:p>
      <w:pPr>
        <w:jc w:val="right"/>
        <w:ind w:left="260"/>
        <w:spacing w:after="0" w:line="256" w:lineRule="auto"/>
        <w:rPr>
          <w:sz w:val="20"/>
          <w:szCs w:val="20"/>
          <w:color w:val="auto"/>
        </w:rPr>
      </w:pPr>
      <w:r>
        <w:rPr>
          <w:rFonts w:ascii="Times New Roman" w:cs="Times New Roman" w:eastAsia="Times New Roman" w:hAnsi="Times New Roman"/>
          <w:sz w:val="20"/>
          <w:szCs w:val="20"/>
          <w:b w:val="1"/>
          <w:bCs w:val="1"/>
          <w:color w:val="auto"/>
        </w:rPr>
        <w:t>CERTAIN CONFIDENTIAL INFORMATION (MARKED BY BRACKETS AS “[***]”) HAS BEEN EXCLUDED FROM THIS EXHIBIT BECAUSE IT IS BOTH (I) NOT MATERIAL AND (II) WOULD BE COMPETITIVELY HARMFUL IF PUBLICLY DISCLOSED.</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OR UNDER THE SECURITIES LAWS OF ANY STATES IN THE UNITED STATES. THESE SECURITIES ARE SUBJECT TO RESTRICTIONS ON TRANSFERABILITY AND RESALE AND MAY NOT BE TRANSFERRED OR RESOLD EXCEPT AS PERMITTED UNDER THE ACT AND THE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CONVERTIBLE PROMISSORY NOTE</w:t>
      </w:r>
    </w:p>
    <w:p>
      <w:pPr>
        <w:spacing w:after="0" w:line="200" w:lineRule="exact"/>
        <w:rPr>
          <w:sz w:val="20"/>
          <w:szCs w:val="20"/>
          <w:color w:val="auto"/>
        </w:rPr>
      </w:pPr>
    </w:p>
    <w:p>
      <w:pPr>
        <w:spacing w:after="0" w:line="249" w:lineRule="exact"/>
        <w:rPr>
          <w:sz w:val="20"/>
          <w:szCs w:val="20"/>
          <w:color w:val="auto"/>
        </w:rPr>
      </w:pPr>
    </w:p>
    <w:p>
      <w:pPr>
        <w:ind w:left="6760"/>
        <w:spacing w:after="0"/>
        <w:tabs>
          <w:tab w:leader="none" w:pos="8000" w:val="left"/>
        </w:tabs>
        <w:rPr>
          <w:sz w:val="20"/>
          <w:szCs w:val="20"/>
          <w:color w:val="auto"/>
        </w:rPr>
      </w:pPr>
      <w:r>
        <w:rPr>
          <w:rFonts w:ascii="Times New Roman" w:cs="Times New Roman" w:eastAsia="Times New Roman" w:hAnsi="Times New Roman"/>
          <w:sz w:val="20"/>
          <w:szCs w:val="20"/>
          <w:color w:val="auto"/>
        </w:rPr>
        <w:t>Date of Note:</w:t>
      </w:r>
      <w:r>
        <w:rPr>
          <w:sz w:val="20"/>
          <w:szCs w:val="20"/>
          <w:color w:val="auto"/>
        </w:rPr>
        <w:tab/>
      </w:r>
      <w:r>
        <w:rPr>
          <w:rFonts w:ascii="Times New Roman" w:cs="Times New Roman" w:eastAsia="Times New Roman" w:hAnsi="Times New Roman"/>
          <w:sz w:val="19"/>
          <w:szCs w:val="19"/>
          <w:color w:val="auto"/>
        </w:rPr>
        <w:t>February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13970</wp:posOffset>
            </wp:positionV>
            <wp:extent cx="2100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23" w:lineRule="exact"/>
        <w:rPr>
          <w:sz w:val="20"/>
          <w:szCs w:val="20"/>
          <w:color w:val="auto"/>
        </w:rPr>
      </w:pPr>
    </w:p>
    <w:p>
      <w:pPr>
        <w:ind w:left="5720"/>
        <w:spacing w:after="0"/>
        <w:tabs>
          <w:tab w:leader="none" w:pos="8000" w:val="left"/>
        </w:tabs>
        <w:rPr>
          <w:sz w:val="20"/>
          <w:szCs w:val="20"/>
          <w:color w:val="auto"/>
        </w:rPr>
      </w:pPr>
      <w:r>
        <w:rPr>
          <w:rFonts w:ascii="Times New Roman" w:cs="Times New Roman" w:eastAsia="Times New Roman" w:hAnsi="Times New Roman"/>
          <w:sz w:val="20"/>
          <w:szCs w:val="20"/>
          <w:color w:val="auto"/>
        </w:rPr>
        <w:t>Principal Amount of Note:</w:t>
      </w:r>
      <w:r>
        <w:rPr>
          <w:sz w:val="20"/>
          <w:szCs w:val="20"/>
          <w:color w:val="auto"/>
        </w:rPr>
        <w:tab/>
      </w:r>
      <w:r>
        <w:rPr>
          <w:rFonts w:ascii="Times New Roman" w:cs="Times New Roman" w:eastAsia="Times New Roman" w:hAnsi="Times New Roman"/>
          <w:sz w:val="19"/>
          <w:szCs w:val="19"/>
          <w:color w:val="auto"/>
        </w:rPr>
        <w:t>Amount of aggregate Contributions set</w:t>
      </w:r>
    </w:p>
    <w:p>
      <w:pPr>
        <w:spacing w:after="0" w:line="2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forth on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0</wp:posOffset>
            </wp:positionV>
            <wp:extent cx="2100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19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For value received </w:t>
      </w:r>
      <w:r>
        <w:rPr>
          <w:rFonts w:ascii="Times New Roman" w:cs="Times New Roman" w:eastAsia="Times New Roman" w:hAnsi="Times New Roman"/>
          <w:sz w:val="20"/>
          <w:szCs w:val="20"/>
          <w:b w:val="1"/>
          <w:bCs w:val="1"/>
          <w:color w:val="auto"/>
        </w:rPr>
        <w:t>SP Healthcare SPV I, LLC</w:t>
      </w:r>
      <w:r>
        <w:rPr>
          <w:rFonts w:ascii="Times New Roman" w:cs="Times New Roman" w:eastAsia="Times New Roman" w:hAnsi="Times New Roman"/>
          <w:sz w:val="20"/>
          <w:szCs w:val="20"/>
          <w:color w:val="auto"/>
        </w:rPr>
        <w:t>, a Delaware limited liability company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promises to pay to the undersigned holder or such party’s assigns (the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the principal amount set forth above with simple interest on the outstanding principal amount at the rate of 8% per annum. Interest shall commence with the date hereof and shall continue on the outstanding principal amount until paid in full or converted. Interest shall be computed on the basis of a year of 365 days for the actual number of days elapsed. All unpaid interest and principal shall be due and payable upon request of the Holder on or after February 3, 2029 (the “</w:t>
      </w:r>
      <w:r>
        <w:rPr>
          <w:rFonts w:ascii="Times New Roman" w:cs="Times New Roman" w:eastAsia="Times New Roman" w:hAnsi="Times New Roman"/>
          <w:sz w:val="20"/>
          <w:szCs w:val="20"/>
          <w:b w:val="1"/>
          <w:bCs w:val="1"/>
          <w:i w:val="1"/>
          <w:iCs w:val="1"/>
          <w:color w:val="auto"/>
        </w:rPr>
        <w:t>Maturity Date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57"/>
        <w:spacing w:after="0" w:line="243" w:lineRule="auto"/>
        <w:tabs>
          <w:tab w:leader="none" w:pos="1018"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Contributions of Principal</w:t>
      </w:r>
      <w:r>
        <w:rPr>
          <w:rFonts w:ascii="Times New Roman" w:cs="Times New Roman" w:eastAsia="Times New Roman" w:hAnsi="Times New Roman"/>
          <w:sz w:val="20"/>
          <w:szCs w:val="20"/>
          <w:color w:val="auto"/>
        </w:rPr>
        <w:t>. The Holder shall have the right, but not the obligation, to contribute up to an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to the Company under this Note at any time between the date of this Note and the Maturity Date upon one business day of prior notice (each such contribution, a “</w:t>
      </w:r>
      <w:r>
        <w:rPr>
          <w:rFonts w:ascii="Times New Roman" w:cs="Times New Roman" w:eastAsia="Times New Roman" w:hAnsi="Times New Roman"/>
          <w:sz w:val="20"/>
          <w:szCs w:val="20"/>
          <w:b w:val="1"/>
          <w:bCs w:val="1"/>
          <w:i w:val="1"/>
          <w:iCs w:val="1"/>
          <w:color w:val="auto"/>
        </w:rPr>
        <w:t>Contribution</w:t>
      </w:r>
      <w:r>
        <w:rPr>
          <w:rFonts w:ascii="Times New Roman" w:cs="Times New Roman" w:eastAsia="Times New Roman" w:hAnsi="Times New Roman"/>
          <w:sz w:val="20"/>
          <w:szCs w:val="20"/>
          <w:color w:val="auto"/>
        </w:rPr>
        <w:t xml:space="preserve">”). Upon the consummation of each Contribution, the Principal Amount of Note set forth on the first page of this Note shall automatically, without action by any party, be amended to account for all such Contributions;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interest on any Contributions shall accrue as of the date such Contribution is made. </w:t>
      </w:r>
      <w:r>
        <w:rPr>
          <w:rFonts w:ascii="Times New Roman" w:cs="Times New Roman" w:eastAsia="Times New Roman" w:hAnsi="Times New Roman"/>
          <w:sz w:val="20"/>
          <w:szCs w:val="20"/>
          <w:b w:val="1"/>
          <w:bCs w:val="1"/>
          <w:color w:val="auto"/>
        </w:rPr>
        <w:t>Schedule 1</w:t>
      </w:r>
      <w:r>
        <w:rPr>
          <w:rFonts w:ascii="Times New Roman" w:cs="Times New Roman" w:eastAsia="Times New Roman" w:hAnsi="Times New Roman"/>
          <w:sz w:val="20"/>
          <w:szCs w:val="20"/>
          <w:color w:val="auto"/>
        </w:rPr>
        <w:t xml:space="preserve"> attached hereto shall set forth all Contributions made under this note, including the initial contribution on the date hereof, including the date of such Contribution, and shall be updated upon each Contribution to reflect all such Contributions. For purposes of clarity, the Holder shall not be required to make any Contributions pursuant to the terms of this Note and the Holder making aggregate Contributions in any amount less than $[***] shall not: (i) constitute a breach or default under this Note; (ii) affect the validity of this Note with respect to any Contributions actually made; or (iii) give rise to any claim or cause of action by the Company.</w:t>
      </w:r>
    </w:p>
    <w:p>
      <w:pPr>
        <w:spacing w:after="0" w:line="182"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1083945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 w:name="page33"/>
    <w:bookmarkEnd w:id="32"/>
    <w:p>
      <w:pPr>
        <w:jc w:val="both"/>
        <w:ind w:firstLine="1505"/>
        <w:spacing w:after="0" w:line="247" w:lineRule="auto"/>
        <w:tabs>
          <w:tab w:leader="none" w:pos="203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 of, or shares the same management company or investment adviser with, such Person.</w:t>
      </w:r>
    </w:p>
    <w:p>
      <w:pPr>
        <w:spacing w:after="0" w:line="180" w:lineRule="exact"/>
        <w:rPr>
          <w:rFonts w:ascii="Times New Roman" w:cs="Times New Roman" w:eastAsia="Times New Roman" w:hAnsi="Times New Roman"/>
          <w:sz w:val="20"/>
          <w:szCs w:val="20"/>
          <w:b w:val="1"/>
          <w:bCs w:val="1"/>
          <w:color w:val="auto"/>
        </w:rPr>
      </w:pPr>
    </w:p>
    <w:p>
      <w:pPr>
        <w:ind w:right="20" w:firstLine="1505"/>
        <w:spacing w:after="0" w:line="273" w:lineRule="auto"/>
        <w:tabs>
          <w:tab w:leader="none" w:pos="203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APA</w:t>
      </w:r>
      <w:r>
        <w:rPr>
          <w:rFonts w:ascii="Times New Roman" w:cs="Times New Roman" w:eastAsia="Times New Roman" w:hAnsi="Times New Roman"/>
          <w:sz w:val="20"/>
          <w:szCs w:val="20"/>
          <w:color w:val="auto"/>
        </w:rPr>
        <w:t>” means that certain Asset Purchase Agreement, dated as of February 2, 2025, by and between NewCo, [***]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and the other parties thereto.</w:t>
      </w:r>
    </w:p>
    <w:p>
      <w:pPr>
        <w:spacing w:after="0" w:line="151" w:lineRule="exact"/>
        <w:rPr>
          <w:rFonts w:ascii="Times New Roman" w:cs="Times New Roman" w:eastAsia="Times New Roman" w:hAnsi="Times New Roman"/>
          <w:sz w:val="20"/>
          <w:szCs w:val="20"/>
          <w:b w:val="1"/>
          <w:bCs w:val="1"/>
          <w:color w:val="auto"/>
        </w:rPr>
      </w:pPr>
    </w:p>
    <w:p>
      <w:pPr>
        <w:jc w:val="both"/>
        <w:ind w:firstLine="1505"/>
        <w:spacing w:after="0" w:line="243" w:lineRule="auto"/>
        <w:tabs>
          <w:tab w:leader="none" w:pos="203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(i) a consolidation or merger of a Conversion Entity with or into any other corporation or other entity or person, or any other corporate reorganization, other than any such consolidation, merger or reorganization in which the equity securities of such Conversion Entity immediately prior to such consolidation, merger or reorganization continue to represent a majority of the voting power of the surviving entity immediately after such consolidation, merger or reorganization; (ii) any transaction or series of related transactions to which a Conversion Entity is a party in which in excess of 50% of such entity’s voting power is transferred; or (iii) the sale or transfer of all or substantially all of a Conversion Entity’s assets, or the exclusive license of all or substantially all of a Conversion Entity’s material intellectual property; provided that a Change of Control shall not include any transaction or series of transactions principally for bona fide equity financing purposes in which cash is received by a Conversion Entity or any successor, indebtedness of such Conversion Entity is cancelled or converted or a combination thereof.</w:t>
      </w:r>
    </w:p>
    <w:p>
      <w:pPr>
        <w:spacing w:after="0" w:line="18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Conversion Entity</w:t>
      </w:r>
      <w:r>
        <w:rPr>
          <w:rFonts w:ascii="Times New Roman" w:cs="Times New Roman" w:eastAsia="Times New Roman" w:hAnsi="Times New Roman"/>
          <w:sz w:val="20"/>
          <w:szCs w:val="20"/>
          <w:color w:val="auto"/>
        </w:rPr>
        <w:t>” means each of the Company and NewCo.</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means [***].</w:t>
      </w:r>
    </w:p>
    <w:p>
      <w:pPr>
        <w:spacing w:after="0" w:line="215" w:lineRule="exact"/>
        <w:rPr>
          <w:rFonts w:ascii="Times New Roman" w:cs="Times New Roman" w:eastAsia="Times New Roman" w:hAnsi="Times New Roman"/>
          <w:sz w:val="20"/>
          <w:szCs w:val="20"/>
          <w:b w:val="1"/>
          <w:bCs w:val="1"/>
          <w:color w:val="auto"/>
        </w:rPr>
      </w:pPr>
    </w:p>
    <w:p>
      <w:pPr>
        <w:ind w:right="20" w:firstLine="1505"/>
        <w:spacing w:after="0" w:line="273" w:lineRule="auto"/>
        <w:tabs>
          <w:tab w:leader="none" w:pos="203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of Amended and Restated Operating Agreement</w:t>
      </w:r>
      <w:r>
        <w:rPr>
          <w:rFonts w:ascii="Times New Roman" w:cs="Times New Roman" w:eastAsia="Times New Roman" w:hAnsi="Times New Roman"/>
          <w:sz w:val="20"/>
          <w:szCs w:val="20"/>
          <w:color w:val="auto"/>
        </w:rPr>
        <w:t xml:space="preserve">” means the Form of Amended and Restated Operating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as amended or modified from time to time as prescribed for herein.</w:t>
      </w:r>
    </w:p>
    <w:p>
      <w:pPr>
        <w:spacing w:after="0" w:line="151" w:lineRule="exact"/>
        <w:rPr>
          <w:rFonts w:ascii="Times New Roman" w:cs="Times New Roman" w:eastAsia="Times New Roman" w:hAnsi="Times New Roman"/>
          <w:sz w:val="20"/>
          <w:szCs w:val="20"/>
          <w:b w:val="1"/>
          <w:bCs w:val="1"/>
          <w:color w:val="auto"/>
        </w:rPr>
      </w:pPr>
    </w:p>
    <w:p>
      <w:pPr>
        <w:ind w:right="20" w:firstLine="1505"/>
        <w:spacing w:after="0" w:line="273" w:lineRule="auto"/>
        <w:tabs>
          <w:tab w:leader="none" w:pos="203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of [***] Agreement</w:t>
      </w:r>
      <w:r>
        <w:rPr>
          <w:rFonts w:ascii="Times New Roman" w:cs="Times New Roman" w:eastAsia="Times New Roman" w:hAnsi="Times New Roman"/>
          <w:sz w:val="20"/>
          <w:szCs w:val="20"/>
          <w:color w:val="auto"/>
        </w:rPr>
        <w:t xml:space="preserve">” means the Form of [***] Agreement attached hereto as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as amended or modified from time to time as prescribed for herein.</w:t>
      </w:r>
    </w:p>
    <w:p>
      <w:pPr>
        <w:spacing w:after="0" w:line="151" w:lineRule="exact"/>
        <w:rPr>
          <w:rFonts w:ascii="Times New Roman" w:cs="Times New Roman" w:eastAsia="Times New Roman" w:hAnsi="Times New Roman"/>
          <w:sz w:val="20"/>
          <w:szCs w:val="20"/>
          <w:b w:val="1"/>
          <w:bCs w:val="1"/>
          <w:color w:val="auto"/>
        </w:rPr>
      </w:pPr>
    </w:p>
    <w:p>
      <w:pPr>
        <w:jc w:val="both"/>
        <w:ind w:firstLine="1505"/>
        <w:spacing w:after="0" w:line="245" w:lineRule="auto"/>
        <w:tabs>
          <w:tab w:leader="none" w:pos="203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ICA Event</w:t>
      </w:r>
      <w:r>
        <w:rPr>
          <w:rFonts w:ascii="Times New Roman" w:cs="Times New Roman" w:eastAsia="Times New Roman" w:hAnsi="Times New Roman"/>
          <w:sz w:val="20"/>
          <w:szCs w:val="20"/>
          <w:color w:val="auto"/>
        </w:rPr>
        <w:t>” means notice to the Holder by its external legal counsel (following request by the Holder) that such counsel would be unable to provide an opinion in standard form in reliance on Rule 3a-8 under the Investment Company Act of 1940, as amended (the “</w:t>
      </w:r>
      <w:r>
        <w:rPr>
          <w:rFonts w:ascii="Times New Roman" w:cs="Times New Roman" w:eastAsia="Times New Roman" w:hAnsi="Times New Roman"/>
          <w:sz w:val="20"/>
          <w:szCs w:val="20"/>
          <w:b w:val="1"/>
          <w:bCs w:val="1"/>
          <w:i w:val="1"/>
          <w:iCs w:val="1"/>
          <w:color w:val="auto"/>
        </w:rPr>
        <w:t>Investment Company Act</w:t>
      </w:r>
      <w:r>
        <w:rPr>
          <w:rFonts w:ascii="Times New Roman" w:cs="Times New Roman" w:eastAsia="Times New Roman" w:hAnsi="Times New Roman"/>
          <w:sz w:val="20"/>
          <w:szCs w:val="20"/>
          <w:color w:val="auto"/>
        </w:rPr>
        <w:t>”), that the Holder’s ultimate parent would not be required to register as an “investment company” under the Investment Company Act. In making the determination with respect to the preceding sentence, the Holder’s counsel may rely on the Holder’s ultimate parent’s financial statements included in filings made by it with the Securities and Exchange Commission and upon other financial information with respect to the Holder’s ultimate parent and its subsidiaries provided by the Holder (including projected expenses and asset values).</w:t>
      </w:r>
    </w:p>
    <w:p>
      <w:pPr>
        <w:spacing w:after="0" w:line="179" w:lineRule="exact"/>
        <w:rPr>
          <w:rFonts w:ascii="Times New Roman" w:cs="Times New Roman" w:eastAsia="Times New Roman" w:hAnsi="Times New Roman"/>
          <w:sz w:val="20"/>
          <w:szCs w:val="20"/>
          <w:b w:val="1"/>
          <w:bCs w:val="1"/>
          <w:color w:val="auto"/>
        </w:rPr>
      </w:pPr>
    </w:p>
    <w:p>
      <w:pPr>
        <w:ind w:firstLine="1505"/>
        <w:spacing w:after="0" w:line="273" w:lineRule="auto"/>
        <w:tabs>
          <w:tab w:leader="none" w:pos="203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Management Agreement</w:t>
      </w:r>
      <w:r>
        <w:rPr>
          <w:rFonts w:ascii="Times New Roman" w:cs="Times New Roman" w:eastAsia="Times New Roman" w:hAnsi="Times New Roman"/>
          <w:sz w:val="20"/>
          <w:szCs w:val="20"/>
          <w:color w:val="auto"/>
        </w:rPr>
        <w:t>” means that certain Management Agreement, dated as of the date hereof, by and between the Company, NewCo and SkyPath.</w:t>
      </w:r>
    </w:p>
    <w:p>
      <w:pPr>
        <w:spacing w:after="0" w:line="151"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NewCo</w:t>
      </w:r>
      <w:r>
        <w:rPr>
          <w:rFonts w:ascii="Times New Roman" w:cs="Times New Roman" w:eastAsia="Times New Roman" w:hAnsi="Times New Roman"/>
          <w:sz w:val="20"/>
          <w:szCs w:val="20"/>
          <w:color w:val="auto"/>
        </w:rPr>
        <w:t>” means Biovire, Inc.</w:t>
      </w:r>
    </w:p>
    <w:p>
      <w:pPr>
        <w:spacing w:after="0" w:line="215" w:lineRule="exact"/>
        <w:rPr>
          <w:rFonts w:ascii="Times New Roman" w:cs="Times New Roman" w:eastAsia="Times New Roman" w:hAnsi="Times New Roman"/>
          <w:sz w:val="20"/>
          <w:szCs w:val="20"/>
          <w:b w:val="1"/>
          <w:bCs w:val="1"/>
          <w:color w:val="auto"/>
        </w:rPr>
      </w:pPr>
    </w:p>
    <w:p>
      <w:pPr>
        <w:jc w:val="both"/>
        <w:ind w:right="20" w:firstLine="1505"/>
        <w:spacing w:after="0" w:line="256" w:lineRule="auto"/>
        <w:tabs>
          <w:tab w:leader="none" w:pos="2036"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New Securities</w:t>
      </w:r>
      <w:r>
        <w:rPr>
          <w:rFonts w:ascii="Times New Roman" w:cs="Times New Roman" w:eastAsia="Times New Roman" w:hAnsi="Times New Roman"/>
          <w:sz w:val="20"/>
          <w:szCs w:val="20"/>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for such equity securities.</w:t>
      </w:r>
    </w:p>
    <w:p>
      <w:pPr>
        <w:spacing w:after="0" w:line="212" w:lineRule="exact"/>
        <w:rPr>
          <w:sz w:val="20"/>
          <w:szCs w:val="20"/>
          <w:color w:val="auto"/>
        </w:rPr>
      </w:pPr>
    </w:p>
    <w:p>
      <w:pPr>
        <w:ind w:right="20" w:firstLine="1505"/>
        <w:spacing w:after="0" w:line="273" w:lineRule="auto"/>
        <w:tabs>
          <w:tab w:leader="none" w:pos="2036"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“Operating Agreement</w:t>
      </w:r>
      <w:r>
        <w:rPr>
          <w:rFonts w:ascii="Times New Roman" w:cs="Times New Roman" w:eastAsia="Times New Roman" w:hAnsi="Times New Roman"/>
          <w:sz w:val="20"/>
          <w:szCs w:val="20"/>
          <w:color w:val="auto"/>
        </w:rPr>
        <w:t>” means that certain Operating Agreement of the Company, dated as of December 19, 2024,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and attached hereto as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individual, corporation, partnership, trust, limited liability company, association, or other</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entity.</w:t>
      </w:r>
    </w:p>
    <w:p>
      <w:pPr>
        <w:spacing w:after="0" w:line="189" w:lineRule="exact"/>
        <w:rPr>
          <w:rFonts w:ascii="Times New Roman" w:cs="Times New Roman" w:eastAsia="Times New Roman" w:hAnsi="Times New Roman"/>
          <w:sz w:val="20"/>
          <w:szCs w:val="20"/>
          <w:b w:val="1"/>
          <w:bCs w:val="1"/>
          <w:color w:val="auto"/>
        </w:rPr>
      </w:pPr>
    </w:p>
    <w:p>
      <w:pPr>
        <w:ind w:right="20" w:firstLine="1505"/>
        <w:spacing w:after="0" w:line="273" w:lineRule="auto"/>
        <w:tabs>
          <w:tab w:leader="none" w:pos="2036"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Units</w:t>
      </w:r>
      <w:r>
        <w:rPr>
          <w:rFonts w:ascii="Times New Roman" w:cs="Times New Roman" w:eastAsia="Times New Roman" w:hAnsi="Times New Roman"/>
          <w:sz w:val="20"/>
          <w:szCs w:val="20"/>
          <w:color w:val="auto"/>
        </w:rPr>
        <w:t>” means preferred units of the Company, which shall have the rights and preferences as set forth in the Form of Amended and Restated Operating Agreement.</w:t>
      </w:r>
    </w:p>
    <w:p>
      <w:pPr>
        <w:spacing w:after="0" w:line="151" w:lineRule="exact"/>
        <w:rPr>
          <w:rFonts w:ascii="Times New Roman" w:cs="Times New Roman" w:eastAsia="Times New Roman" w:hAnsi="Times New Roman"/>
          <w:sz w:val="20"/>
          <w:szCs w:val="20"/>
          <w:b w:val="1"/>
          <w:bCs w:val="1"/>
          <w:color w:val="auto"/>
        </w:rPr>
      </w:pPr>
    </w:p>
    <w:p>
      <w:pPr>
        <w:jc w:val="both"/>
        <w:ind w:right="20" w:firstLine="1505"/>
        <w:spacing w:after="0" w:line="256" w:lineRule="auto"/>
        <w:tabs>
          <w:tab w:leader="none" w:pos="2036"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Financing</w:t>
      </w:r>
      <w:r>
        <w:rPr>
          <w:rFonts w:ascii="Times New Roman" w:cs="Times New Roman" w:eastAsia="Times New Roman" w:hAnsi="Times New Roman"/>
          <w:sz w:val="20"/>
          <w:szCs w:val="20"/>
          <w:color w:val="auto"/>
        </w:rPr>
        <w:t xml:space="preserve">” means the issuance and sale of equity securities by a Conversion Entity to investors other than the Related Parties in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equity financing for capital raising purposes that results in total proceeds to such Conversion Entity of not less than $[***] (excluding the conversion of this Note or any other convertible securities held by a Related Party).</w:t>
      </w:r>
    </w:p>
    <w:p>
      <w:pPr>
        <w:spacing w:after="0" w:line="168"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Party</w:t>
      </w:r>
      <w:r>
        <w:rPr>
          <w:rFonts w:ascii="Times New Roman" w:cs="Times New Roman" w:eastAsia="Times New Roman" w:hAnsi="Times New Roman"/>
          <w:sz w:val="20"/>
          <w:szCs w:val="20"/>
          <w:color w:val="auto"/>
        </w:rPr>
        <w:t>” means each of the Holder, SkyPath, [***] and their respective Affiliates.</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SkyPath</w:t>
      </w:r>
      <w:r>
        <w:rPr>
          <w:rFonts w:ascii="Times New Roman" w:cs="Times New Roman" w:eastAsia="Times New Roman" w:hAnsi="Times New Roman"/>
          <w:sz w:val="20"/>
          <w:szCs w:val="20"/>
          <w:color w:val="auto"/>
        </w:rPr>
        <w:t>” means SkyPath Partners LLC.</w:t>
      </w:r>
    </w:p>
    <w:p>
      <w:pPr>
        <w:spacing w:after="0" w:line="215" w:lineRule="exact"/>
        <w:rPr>
          <w:rFonts w:ascii="Times New Roman" w:cs="Times New Roman" w:eastAsia="Times New Roman" w:hAnsi="Times New Roman"/>
          <w:sz w:val="20"/>
          <w:szCs w:val="20"/>
          <w:b w:val="1"/>
          <w:bCs w:val="1"/>
          <w:color w:val="auto"/>
        </w:rPr>
      </w:pPr>
    </w:p>
    <w:p>
      <w:pPr>
        <w:ind w:firstLine="1505"/>
        <w:spacing w:after="0" w:line="273" w:lineRule="auto"/>
        <w:tabs>
          <w:tab w:leader="none" w:pos="2036"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means any assignment, sale, offer to sell, pledge, mortgage, hypothecation, encumbrance, disposition of or any other like transfer or encumbering any Securities (as defined below) or any interest therein.</w:t>
      </w:r>
    </w:p>
    <w:p>
      <w:pPr>
        <w:spacing w:after="0" w:line="15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Basic Terms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firstLine="1505"/>
        <w:spacing w:after="0" w:line="273" w:lineRule="auto"/>
        <w:tabs>
          <w:tab w:leader="none" w:pos="2036"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w:t>
      </w:r>
      <w:r>
        <w:rPr>
          <w:rFonts w:ascii="Times New Roman" w:cs="Times New Roman" w:eastAsia="Times New Roman" w:hAnsi="Times New Roman"/>
          <w:sz w:val="20"/>
          <w:szCs w:val="20"/>
          <w:color w:val="auto"/>
        </w:rPr>
        <w:t>. All payments of interest and principal shall be in lawful money of the United States of America.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shall be applied first to accrued interest, and thereafter to principal.</w:t>
      </w:r>
    </w:p>
    <w:p>
      <w:pPr>
        <w:spacing w:after="0" w:line="151"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Prepayment</w:t>
      </w:r>
      <w:r>
        <w:rPr>
          <w:rFonts w:ascii="Times New Roman" w:cs="Times New Roman" w:eastAsia="Times New Roman" w:hAnsi="Times New Roman"/>
          <w:sz w:val="20"/>
          <w:szCs w:val="20"/>
          <w:color w:val="auto"/>
        </w:rPr>
        <w:t>.  The Company may not prepay this convertible promissory note (the “</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Note without the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consent of the Holder.</w:t>
      </w:r>
    </w:p>
    <w:p>
      <w:pPr>
        <w:spacing w:after="0" w:line="18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1505"/>
        <w:spacing w:after="0" w:line="247" w:lineRule="auto"/>
        <w:tabs>
          <w:tab w:leader="none" w:pos="2036"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In the event (i) of the consummation of a Qualified Financing, (ii) [***], (iii) of the consummation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Change of Control, (iv) of an ICA Event or (v) this Note becomes due and payable as a result of the Maturity Date or an Event of Default (each such event described in clauses (i) – (v), a “</w:t>
      </w:r>
      <w:r>
        <w:rPr>
          <w:rFonts w:ascii="Times New Roman" w:cs="Times New Roman" w:eastAsia="Times New Roman" w:hAnsi="Times New Roman"/>
          <w:sz w:val="20"/>
          <w:szCs w:val="20"/>
          <w:b w:val="1"/>
          <w:bCs w:val="1"/>
          <w:i w:val="1"/>
          <w:iCs w:val="1"/>
          <w:color w:val="auto"/>
        </w:rPr>
        <w:t>Conversion Event</w:t>
      </w:r>
      <w:r>
        <w:rPr>
          <w:rFonts w:ascii="Times New Roman" w:cs="Times New Roman" w:eastAsia="Times New Roman" w:hAnsi="Times New Roman"/>
          <w:sz w:val="20"/>
          <w:szCs w:val="20"/>
          <w:color w:val="auto"/>
        </w:rPr>
        <w:t>”), in each case, while this Note remains outstanding, Holder shall have the option, in its sole discretion, at any time following such Conversion Event, to convert the outstanding principal amount of this Note and any unpaid accrued interest into Preferred Units [***].</w:t>
      </w:r>
    </w:p>
    <w:p>
      <w:pPr>
        <w:spacing w:after="0" w:line="180" w:lineRule="exact"/>
        <w:rPr>
          <w:rFonts w:ascii="Times New Roman" w:cs="Times New Roman" w:eastAsia="Times New Roman" w:hAnsi="Times New Roman"/>
          <w:sz w:val="20"/>
          <w:szCs w:val="20"/>
          <w:b w:val="1"/>
          <w:bCs w:val="1"/>
          <w:color w:val="auto"/>
        </w:rPr>
      </w:pPr>
    </w:p>
    <w:p>
      <w:pPr>
        <w:jc w:val="both"/>
        <w:ind w:firstLine="1505"/>
        <w:spacing w:after="0" w:line="256" w:lineRule="auto"/>
        <w:tabs>
          <w:tab w:leader="none" w:pos="2036"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 for Conversion</w:t>
      </w:r>
      <w:r>
        <w:rPr>
          <w:rFonts w:ascii="Times New Roman" w:cs="Times New Roman" w:eastAsia="Times New Roman" w:hAnsi="Times New Roman"/>
          <w:sz w:val="20"/>
          <w:szCs w:val="20"/>
          <w:color w:val="auto"/>
        </w:rPr>
        <w:t>. In connection with any conversion of this Note into Preferred Units, (i) the Holder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surrender this Note to the Company and (ii) the Holder and the Company shall enter into a Subscription Agreement in substantially the form attached hereto as </w:t>
      </w:r>
      <w:r>
        <w:rPr>
          <w:rFonts w:ascii="Times New Roman" w:cs="Times New Roman" w:eastAsia="Times New Roman" w:hAnsi="Times New Roman"/>
          <w:sz w:val="20"/>
          <w:szCs w:val="20"/>
          <w:b w:val="1"/>
          <w:bCs w:val="1"/>
          <w:color w:val="auto"/>
        </w:rPr>
        <w:t>Exhibit D</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b w:val="1"/>
          <w:bCs w:val="1"/>
          <w:color w:val="auto"/>
        </w:rPr>
      </w:pPr>
    </w:p>
    <w:p>
      <w:pPr>
        <w:jc w:val="both"/>
        <w:ind w:firstLine="1505"/>
        <w:spacing w:after="0" w:line="256" w:lineRule="auto"/>
        <w:tabs>
          <w:tab w:leader="none" w:pos="2036" w:val="left"/>
        </w:tabs>
        <w:numPr>
          <w:ilvl w:val="1"/>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 Accrual</w:t>
      </w:r>
      <w:r>
        <w:rPr>
          <w:rFonts w:ascii="Times New Roman" w:cs="Times New Roman" w:eastAsia="Times New Roman" w:hAnsi="Times New Roman"/>
          <w:sz w:val="20"/>
          <w:szCs w:val="20"/>
          <w:color w:val="auto"/>
        </w:rPr>
        <w:t>. If a Conversion Event pursuant to which this Note is converted is consummated, all interest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Note shall be deemed to have stopped accruing as of a date selected by the Company and agreed to by the Holder, that is up to 10 days prior to the consummation of such Conversion Event.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ind w:left="1020" w:hanging="263"/>
        <w:spacing w:after="0"/>
        <w:tabs>
          <w:tab w:leader="none" w:pos="102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Affirmative Covenants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color w:val="auto"/>
        </w:rPr>
      </w:pPr>
    </w:p>
    <w:p>
      <w:pPr>
        <w:jc w:val="both"/>
        <w:ind w:firstLine="2254"/>
        <w:spacing w:after="0" w:line="244" w:lineRule="auto"/>
        <w:tabs>
          <w:tab w:leader="none" w:pos="2546" w:val="left"/>
        </w:tabs>
        <w:numPr>
          <w:ilvl w:val="2"/>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Use of Proceeds</w:t>
      </w:r>
      <w:r>
        <w:rPr>
          <w:rFonts w:ascii="Times New Roman" w:cs="Times New Roman" w:eastAsia="Times New Roman" w:hAnsi="Times New Roman"/>
          <w:sz w:val="20"/>
          <w:szCs w:val="20"/>
          <w:color w:val="auto"/>
        </w:rPr>
        <w:t>. All proceeds received by the Company pursuant to this Note shall be solely and exclusively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to purchase preferred equity securities of NewCo for the purpose of acquiring certain assets of [***] pursuant to the APA and for the general operation of NewCo’s business.</w:t>
      </w:r>
    </w:p>
    <w:p>
      <w:pPr>
        <w:spacing w:after="0" w:line="193"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2"/>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Information Rights</w:t>
      </w:r>
      <w:r>
        <w:rPr>
          <w:rFonts w:ascii="Times New Roman" w:cs="Times New Roman" w:eastAsia="Times New Roman" w:hAnsi="Times New Roman"/>
          <w:sz w:val="20"/>
          <w:szCs w:val="20"/>
          <w:color w:val="auto"/>
        </w:rPr>
        <w:t>. While this Note remains outstanding:</w:t>
      </w:r>
    </w:p>
    <w:p>
      <w:pPr>
        <w:spacing w:after="0" w:line="210" w:lineRule="exact"/>
        <w:rPr>
          <w:rFonts w:ascii="Times New Roman" w:cs="Times New Roman" w:eastAsia="Times New Roman" w:hAnsi="Times New Roman"/>
          <w:sz w:val="22"/>
          <w:szCs w:val="22"/>
          <w:b w:val="1"/>
          <w:bCs w:val="1"/>
          <w:color w:val="auto"/>
        </w:rPr>
      </w:pPr>
    </w:p>
    <w:p>
      <w:pPr>
        <w:jc w:val="both"/>
        <w:ind w:firstLine="3003"/>
        <w:spacing w:after="0" w:line="242" w:lineRule="auto"/>
        <w:tabs>
          <w:tab w:leader="none" w:pos="3564" w:val="left"/>
        </w:tabs>
        <w:numPr>
          <w:ilvl w:val="3"/>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Holder shall be entitled to consult with and advise management of the Company on significant business issues, and management will meet with the Company regularly during each year at mutually agreeable times for such consultation and advice and to review the Company’s progress and the progress of NewCo;</w:t>
      </w:r>
    </w:p>
    <w:p>
      <w:pPr>
        <w:spacing w:after="0" w:line="199" w:lineRule="exact"/>
        <w:rPr>
          <w:rFonts w:ascii="Times New Roman" w:cs="Times New Roman" w:eastAsia="Times New Roman" w:hAnsi="Times New Roman"/>
          <w:sz w:val="22"/>
          <w:szCs w:val="22"/>
          <w:b w:val="1"/>
          <w:bCs w:val="1"/>
          <w:color w:val="auto"/>
        </w:rPr>
      </w:pPr>
    </w:p>
    <w:p>
      <w:pPr>
        <w:jc w:val="both"/>
        <w:ind w:firstLine="3003"/>
        <w:spacing w:after="0" w:line="242" w:lineRule="auto"/>
        <w:tabs>
          <w:tab w:leader="none" w:pos="3564" w:val="left"/>
        </w:tabs>
        <w:numPr>
          <w:ilvl w:val="3"/>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Holder may examine the books and records of the Company and NewCo and may request information at reasonable times and intervals (but in any case, at least monthly) concerning the general status of the Company’s and NewCo’s financial condition and operations; and</w:t>
      </w:r>
    </w:p>
    <w:p>
      <w:pPr>
        <w:spacing w:after="0" w:line="199" w:lineRule="exact"/>
        <w:rPr>
          <w:rFonts w:ascii="Times New Roman" w:cs="Times New Roman" w:eastAsia="Times New Roman" w:hAnsi="Times New Roman"/>
          <w:sz w:val="22"/>
          <w:szCs w:val="22"/>
          <w:b w:val="1"/>
          <w:bCs w:val="1"/>
          <w:color w:val="auto"/>
        </w:rPr>
      </w:pPr>
    </w:p>
    <w:p>
      <w:pPr>
        <w:jc w:val="both"/>
        <w:ind w:firstLine="3003"/>
        <w:spacing w:after="0" w:line="241" w:lineRule="auto"/>
        <w:tabs>
          <w:tab w:leader="none" w:pos="3564" w:val="left"/>
        </w:tabs>
        <w:numPr>
          <w:ilvl w:val="3"/>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Company shall, upon request by the Holder, provide recent balance sheets, statements of income and cash flows for each of the Company and NewCo (to the extent available), in each case prepared in accordance with GAAP (except that such financial statements may (i) be subject to normal year-end audit adjustments; and (ii) not contain all notes thereto that may be required in accordance with GAAP).</w:t>
      </w:r>
    </w:p>
    <w:p>
      <w:pPr>
        <w:spacing w:after="0" w:line="179"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19"/>
          <w:szCs w:val="19"/>
          <w:b w:val="1"/>
          <w:bCs w:val="1"/>
          <w:color w:val="auto"/>
        </w:rPr>
        <w:t>Rights to Future Equity Issuances</w:t>
      </w:r>
      <w:r>
        <w:rPr>
          <w:rFonts w:ascii="Times New Roman" w:cs="Times New Roman" w:eastAsia="Times New Roman" w:hAnsi="Times New Roman"/>
          <w:sz w:val="19"/>
          <w:szCs w:val="19"/>
          <w:color w:val="auto"/>
        </w:rPr>
        <w:t>. Subject to the terms and conditions of this Section 5(a)(iii)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applicable securities laws, if any Conversion Entity proposes to offer or sell any New Securities, the Company shall first offer such New Securities to Holder. Holder shall be entitled to apportion the right of first offer hereby granted to it in such proportions as it deems appropriate, among (i) itself and (ii) its Affiliates. The Company shall give notice (the “</w:t>
      </w:r>
      <w:r>
        <w:rPr>
          <w:rFonts w:ascii="Times New Roman" w:cs="Times New Roman" w:eastAsia="Times New Roman" w:hAnsi="Times New Roman"/>
          <w:sz w:val="19"/>
          <w:szCs w:val="19"/>
          <w:b w:val="1"/>
          <w:bCs w:val="1"/>
          <w:color w:val="auto"/>
        </w:rPr>
        <w:t>Offer Notice</w:t>
      </w:r>
      <w:r>
        <w:rPr>
          <w:rFonts w:ascii="Times New Roman" w:cs="Times New Roman" w:eastAsia="Times New Roman" w:hAnsi="Times New Roman"/>
          <w:sz w:val="19"/>
          <w:szCs w:val="19"/>
          <w:color w:val="auto"/>
        </w:rPr>
        <w:t>”) to Holder, stating (i) such Conversion Entity’s bona fide intention to offer such New Securities, (ii) the number of such New Securities to be offered, and (iii) the price and terms, if any, upon which it proposes to offer such New Securities. By notification to such Conversion Entity within [***] days after the Offer Notice is given (the “</w:t>
      </w:r>
      <w:r>
        <w:rPr>
          <w:rFonts w:ascii="Times New Roman" w:cs="Times New Roman" w:eastAsia="Times New Roman" w:hAnsi="Times New Roman"/>
          <w:sz w:val="19"/>
          <w:szCs w:val="19"/>
          <w:b w:val="1"/>
          <w:bCs w:val="1"/>
          <w:color w:val="auto"/>
        </w:rPr>
        <w:t>Election Period</w:t>
      </w:r>
      <w:r>
        <w:rPr>
          <w:rFonts w:ascii="Times New Roman" w:cs="Times New Roman" w:eastAsia="Times New Roman" w:hAnsi="Times New Roman"/>
          <w:sz w:val="19"/>
          <w:szCs w:val="19"/>
          <w:color w:val="auto"/>
        </w:rPr>
        <w:t>”), Holder may elect to purchase or otherwise acquire, at the price and on the terms specified in the Offer Notice, all or any portion of such New Securities. Any portion of the New Securities referred to in the Offer Notice that are not elected to be purchased or acquired by Holder as provided in this Section 5(a)(iii) before the expiration of the Election Period may, during the [***] day period following the expiration of the Election Period, be offered and sold by such Conversion Entity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 days of the execution thereof, the right provided hereunder shall be deemed to be revived and such New Securities shall not be offered unless first reoffered to Holder in accordance with this Section 5(a)(iii).</w:t>
      </w:r>
    </w:p>
    <w:p>
      <w:pPr>
        <w:spacing w:after="0" w:line="400"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19"/>
          <w:szCs w:val="19"/>
          <w:b w:val="1"/>
          <w:bCs w:val="1"/>
          <w:color w:val="auto"/>
        </w:rPr>
        <w:t>Right of First Refusal</w:t>
      </w:r>
      <w:r>
        <w:rPr>
          <w:rFonts w:ascii="Times New Roman" w:cs="Times New Roman" w:eastAsia="Times New Roman" w:hAnsi="Times New Roman"/>
          <w:sz w:val="19"/>
          <w:szCs w:val="19"/>
          <w:color w:val="auto"/>
        </w:rPr>
        <w:t>. At least [***] days prior to any Transfer of any equity security or debt security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Conversion Entity by SkyPath or the Company (each a “</w:t>
      </w:r>
      <w:r>
        <w:rPr>
          <w:rFonts w:ascii="Times New Roman" w:cs="Times New Roman" w:eastAsia="Times New Roman" w:hAnsi="Times New Roman"/>
          <w:sz w:val="19"/>
          <w:szCs w:val="19"/>
          <w:b w:val="1"/>
          <w:bCs w:val="1"/>
          <w:color w:val="auto"/>
        </w:rPr>
        <w:t>Restricted Party</w:t>
      </w:r>
      <w:r>
        <w:rPr>
          <w:rFonts w:ascii="Times New Roman" w:cs="Times New Roman" w:eastAsia="Times New Roman" w:hAnsi="Times New Roman"/>
          <w:sz w:val="19"/>
          <w:szCs w:val="19"/>
          <w:color w:val="auto"/>
        </w:rPr>
        <w:t>”), such Restricted Party desiring to make such Transfer (the “</w:t>
      </w:r>
      <w:r>
        <w:rPr>
          <w:rFonts w:ascii="Times New Roman" w:cs="Times New Roman" w:eastAsia="Times New Roman" w:hAnsi="Times New Roman"/>
          <w:sz w:val="19"/>
          <w:szCs w:val="19"/>
          <w:b w:val="1"/>
          <w:bCs w:val="1"/>
          <w:color w:val="auto"/>
        </w:rPr>
        <w:t>Transferring Party</w:t>
      </w:r>
      <w:r>
        <w:rPr>
          <w:rFonts w:ascii="Times New Roman" w:cs="Times New Roman" w:eastAsia="Times New Roman" w:hAnsi="Times New Roman"/>
          <w:sz w:val="19"/>
          <w:szCs w:val="19"/>
          <w:color w:val="auto"/>
        </w:rPr>
        <w:t>”) will deliver a written notice (the “</w:t>
      </w:r>
      <w:r>
        <w:rPr>
          <w:rFonts w:ascii="Times New Roman" w:cs="Times New Roman" w:eastAsia="Times New Roman" w:hAnsi="Times New Roman"/>
          <w:sz w:val="19"/>
          <w:szCs w:val="19"/>
          <w:b w:val="1"/>
          <w:bCs w:val="1"/>
          <w:color w:val="auto"/>
        </w:rPr>
        <w:t>Offer Notice</w:t>
      </w:r>
      <w:r>
        <w:rPr>
          <w:rFonts w:ascii="Times New Roman" w:cs="Times New Roman" w:eastAsia="Times New Roman" w:hAnsi="Times New Roman"/>
          <w:sz w:val="19"/>
          <w:szCs w:val="19"/>
          <w:color w:val="auto"/>
        </w:rPr>
        <w:t>”) to Holder specifying in reasonable detail (i) the identity of the prospective transferee(s) (the “</w:t>
      </w:r>
      <w:r>
        <w:rPr>
          <w:rFonts w:ascii="Times New Roman" w:cs="Times New Roman" w:eastAsia="Times New Roman" w:hAnsi="Times New Roman"/>
          <w:sz w:val="19"/>
          <w:szCs w:val="19"/>
          <w:b w:val="1"/>
          <w:bCs w:val="1"/>
          <w:color w:val="auto"/>
        </w:rPr>
        <w:t>Transferee(s)</w:t>
      </w:r>
      <w:r>
        <w:rPr>
          <w:rFonts w:ascii="Times New Roman" w:cs="Times New Roman" w:eastAsia="Times New Roman" w:hAnsi="Times New Roman"/>
          <w:sz w:val="19"/>
          <w:szCs w:val="19"/>
          <w:color w:val="auto"/>
        </w:rPr>
        <w:t>”), (ii) the number and type of equity securities and/or debt securities to be Transferred (the “</w:t>
      </w:r>
      <w:r>
        <w:rPr>
          <w:rFonts w:ascii="Times New Roman" w:cs="Times New Roman" w:eastAsia="Times New Roman" w:hAnsi="Times New Roman"/>
          <w:sz w:val="19"/>
          <w:szCs w:val="19"/>
          <w:b w:val="1"/>
          <w:bCs w:val="1"/>
          <w:color w:val="auto"/>
        </w:rPr>
        <w:t>Offered Securities</w:t>
      </w:r>
      <w:r>
        <w:rPr>
          <w:rFonts w:ascii="Times New Roman" w:cs="Times New Roman" w:eastAsia="Times New Roman" w:hAnsi="Times New Roman"/>
          <w:sz w:val="19"/>
          <w:szCs w:val="19"/>
          <w:color w:val="auto"/>
        </w:rPr>
        <w:t>”) and (iii) the principal terms of the proposed Transfer,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5" w:name="page36"/>
    <w:bookmarkEnd w:id="35"/>
    <w:p>
      <w:pPr>
        <w:jc w:val="both"/>
        <w:spacing w:after="0" w:line="241" w:lineRule="auto"/>
        <w:rPr>
          <w:sz w:val="20"/>
          <w:szCs w:val="20"/>
          <w:color w:val="auto"/>
        </w:rPr>
      </w:pPr>
      <w:r>
        <w:rPr>
          <w:rFonts w:ascii="Times New Roman" w:cs="Times New Roman" w:eastAsia="Times New Roman" w:hAnsi="Times New Roman"/>
          <w:sz w:val="20"/>
          <w:szCs w:val="20"/>
          <w:color w:val="auto"/>
        </w:rPr>
        <w:t>including the price and intended date of the proposed Transfer; provided that such proposed Transfer may be made only for cash consideration. Subject to this Section 5(a)(iv), the Transferring Party may not consummate such proposed Transfer until at least [***] days after the delivery of the Offer Notice (the “</w:t>
      </w:r>
      <w:r>
        <w:rPr>
          <w:rFonts w:ascii="Times New Roman" w:cs="Times New Roman" w:eastAsia="Times New Roman" w:hAnsi="Times New Roman"/>
          <w:sz w:val="20"/>
          <w:szCs w:val="20"/>
          <w:b w:val="1"/>
          <w:bCs w:val="1"/>
          <w:color w:val="auto"/>
        </w:rPr>
        <w:t>Authorization Date</w:t>
      </w:r>
      <w:r>
        <w:rPr>
          <w:rFonts w:ascii="Times New Roman" w:cs="Times New Roman" w:eastAsia="Times New Roman" w:hAnsi="Times New Roman"/>
          <w:sz w:val="20"/>
          <w:szCs w:val="20"/>
          <w:color w:val="auto"/>
        </w:rPr>
        <w:t>”). Holder will have the right to purchase all or any portion of the Offered Securities at the price and on the other terms set forth in the Offer Notice, by delivering written notice of such election to the Transferring Party within [***] days after delivery of the Offer Notice. If Holder has elected to purchase any or all of the Offered Securities from the Transferring Party, then such purchase will be consummated as soon as practicable after the delivery of the applicable election notice described herein to the Transferring Party, but in any event by the later of (i) the date specified in the proposed Offer Notice as the intended date of the proposed Transfer and (ii) the Authorization Date. If Holder does not elect to purchase all of the Offered Securities (in the aggregate) from the Transferring Party, then the Transferring Party will have the right, within [***] days following the Authorization Date, to Transfer the Offered Units not so purchased to the Transferee(s) specified in the Offer Notice (i) at a price not less than the price specified in the Offer Notice and (ii) on other terms no more favorable to the Transferee(s) thereof than specified in the Offer Notice. Any Offered Securities not so Transferred within such [***]-day period will be reoffered to Holder pursuant to this Section 5(a)(iv) prior to any subsequent proposed Transfer. In the event any Transferring Party is obligated to Transfer any Offered Securities to Holder pursuant to this Section 5(a)(iv) and fails to Transfer such Offered Securities in accordance with the terms of this Section 5(a)(iv), at the election of Holder, Holder will have the right (in addition to all other remedies available to such Holder under this Agreement, at law or in equity) to send to such Transferring Party the purchase price for such Offered Securities as specified in the Offer Notice, and the applicable Conversion Entity will amend and update such Conversion Entity’s stock/debt/capitalization ledger(s) to reflect such Transfer of Offered Securities, in each case, without requiring the approval or consent of the Transferring Party or any other Person.</w:t>
      </w:r>
    </w:p>
    <w:p>
      <w:pPr>
        <w:spacing w:after="0" w:line="200" w:lineRule="exact"/>
        <w:rPr>
          <w:sz w:val="20"/>
          <w:szCs w:val="20"/>
          <w:color w:val="auto"/>
        </w:rPr>
      </w:pPr>
    </w:p>
    <w:p>
      <w:pPr>
        <w:ind w:left="2560" w:hanging="306"/>
        <w:spacing w:after="0"/>
        <w:tabs>
          <w:tab w:leader="none" w:pos="2560"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Execution and Delivery of Certain Agreements.</w:t>
      </w:r>
    </w:p>
    <w:p>
      <w:pPr>
        <w:spacing w:after="0" w:line="206" w:lineRule="exact"/>
        <w:rPr>
          <w:rFonts w:ascii="Times New Roman" w:cs="Times New Roman" w:eastAsia="Times New Roman" w:hAnsi="Times New Roman"/>
          <w:sz w:val="22"/>
          <w:szCs w:val="22"/>
          <w:b w:val="1"/>
          <w:bCs w:val="1"/>
          <w:color w:val="auto"/>
        </w:rPr>
      </w:pPr>
    </w:p>
    <w:p>
      <w:pPr>
        <w:jc w:val="both"/>
        <w:ind w:firstLine="3003"/>
        <w:spacing w:after="0" w:line="241" w:lineRule="auto"/>
        <w:tabs>
          <w:tab w:leader="none" w:pos="3564" w:val="left"/>
        </w:tabs>
        <w:numPr>
          <w:ilvl w:val="2"/>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Operating Agreements</w:t>
      </w:r>
      <w:r>
        <w:rPr>
          <w:rFonts w:ascii="Times New Roman" w:cs="Times New Roman" w:eastAsia="Times New Roman" w:hAnsi="Times New Roman"/>
          <w:sz w:val="20"/>
          <w:szCs w:val="20"/>
          <w:color w:val="auto"/>
        </w:rPr>
        <w:t>. Upon the conversion of this Note as set forth in Section 4 herein,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SkyPath agree that (i) the Form of Amended and Restated Operating Agreement shall be adopted by the Company, SkyPath and any other member of the Company necessary to effectuate its adoption and effectiveness and will supersede and replace the Operating Agreement (ii) the [***]. The Form of Amended and Restated Operating Agreement and the [***] may be amended and/or modified upon the mutual written agreement of the Holder and SkyPath.</w:t>
      </w:r>
    </w:p>
    <w:p>
      <w:pPr>
        <w:spacing w:after="0" w:line="185" w:lineRule="exact"/>
        <w:rPr>
          <w:rFonts w:ascii="Times New Roman" w:cs="Times New Roman" w:eastAsia="Times New Roman" w:hAnsi="Times New Roman"/>
          <w:sz w:val="22"/>
          <w:szCs w:val="22"/>
          <w:b w:val="1"/>
          <w:bCs w:val="1"/>
          <w:color w:val="auto"/>
        </w:rPr>
      </w:pPr>
    </w:p>
    <w:p>
      <w:pPr>
        <w:jc w:val="both"/>
        <w:ind w:firstLine="1505"/>
        <w:spacing w:after="0" w:line="250" w:lineRule="auto"/>
        <w:tabs>
          <w:tab w:leader="none" w:pos="2036"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Negative Covenants</w:t>
      </w:r>
      <w:r>
        <w:rPr>
          <w:rFonts w:ascii="Times New Roman" w:cs="Times New Roman" w:eastAsia="Times New Roman" w:hAnsi="Times New Roman"/>
          <w:sz w:val="20"/>
          <w:szCs w:val="20"/>
          <w:color w:val="auto"/>
        </w:rPr>
        <w:t>. While this Note remains outstanding, the Company shall not, and SkyPath shall not cause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either directly or indirectly by amendment, merger, consolidation, domestication, transfer, continuance, recapitalization, reclassification, waiver, statutory conversion, or otherwise, effect any of the following acts or transactions without the written consent of the Holder, which may be withheld in the Holder’s sole discretion:</w:t>
      </w:r>
    </w:p>
    <w:p>
      <w:pPr>
        <w:spacing w:after="0" w:line="193" w:lineRule="exact"/>
        <w:rPr>
          <w:rFonts w:ascii="Times New Roman" w:cs="Times New Roman" w:eastAsia="Times New Roman" w:hAnsi="Times New Roman"/>
          <w:sz w:val="20"/>
          <w:szCs w:val="20"/>
          <w:b w:val="1"/>
          <w:bCs w:val="1"/>
          <w:color w:val="auto"/>
        </w:rPr>
      </w:pPr>
    </w:p>
    <w:p>
      <w:pPr>
        <w:jc w:val="both"/>
        <w:ind w:firstLine="2254"/>
        <w:spacing w:after="0" w:line="241" w:lineRule="auto"/>
        <w:tabs>
          <w:tab w:leader="none" w:pos="2546"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(1) liquidate, dissolve or wind-up the business and affairs of a Conversion Entity or effect any Change of Control or any other merger, consolidation, statutory conversion, transfer, domestication or continuance of a Conversion Entity; or (2) vote to approve or consent to any such liquidation, dissolution, winding-up, Change of Control, merger, consolidation, statutory conversion, transfer, domestication or continuance of a Conversion Entity or any subsidiary thereof;</w:t>
      </w:r>
    </w:p>
    <w:p>
      <w:pPr>
        <w:spacing w:after="0" w:line="201" w:lineRule="exact"/>
        <w:rPr>
          <w:sz w:val="20"/>
          <w:szCs w:val="20"/>
          <w:color w:val="auto"/>
        </w:rPr>
      </w:pPr>
    </w:p>
    <w:p>
      <w:pPr>
        <w:ind w:left="2560" w:hanging="306"/>
        <w:spacing w:after="0"/>
        <w:tabs>
          <w:tab w:leader="none" w:pos="256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amend, alter or repeal any provision of the Operating Agreement or the Management Agreement;</w:t>
      </w:r>
    </w:p>
    <w:p>
      <w:pPr>
        <w:spacing w:after="0" w:line="1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19"/>
          <w:szCs w:val="19"/>
          <w:color w:val="auto"/>
        </w:rPr>
        <w:t>purchase or redeem (or permit any subsidiary to purchase or redeem) or</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color w:val="auto"/>
        </w:rPr>
        <w:t>pay or declare any distribution on, any equity security or debt security of a Conversion Entity or a subsidiary thereof;</w:t>
      </w:r>
    </w:p>
    <w:p>
      <w:pPr>
        <w:spacing w:after="0" w:line="207"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19"/>
          <w:szCs w:val="19"/>
          <w:color w:val="auto"/>
        </w:rPr>
        <w:t>create any lien or security interest (except for purchase money liens or statutory liens of landlords,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mechanics, materialmen, workmen, warehousemen and other similar persons arising or incurred in the ordinary course of business) on a Conversion Entity, or incur other indebtedness for borrowed money by a Conversion Entity or a subsidiary thereof, including but not limited to obligations and contingent obligations under guarantees, or permit any subsidiary of an Conversion Entity to take any such action with respect to any lien, security interest or other indebtedness for borrowed money;</w:t>
      </w:r>
    </w:p>
    <w:p>
      <w:pPr>
        <w:spacing w:after="0" w:line="188" w:lineRule="exact"/>
        <w:rPr>
          <w:sz w:val="20"/>
          <w:szCs w:val="20"/>
          <w:color w:val="auto"/>
        </w:rPr>
      </w:pPr>
    </w:p>
    <w:p>
      <w:pPr>
        <w:jc w:val="both"/>
        <w:ind w:firstLine="2254"/>
        <w:spacing w:after="0"/>
        <w:tabs>
          <w:tab w:leader="none" w:pos="254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create, or hold any equity security or debt security in, any subsidiary of a Conversion Entity that is not wholly owned (either directly or through one or more other subsidiaries) by a Conversion Entity, or permit any subsidiary to create, or issue or obligate itself to issue, any equity security or debt security, or sell, transfer or otherwise dispose of any equity security or debt security of any direct or indirect subsidiary of a Conversion Entity, or permit any direct or indirect subsidiary to sell, lease, transfer, exclusively license or otherwise dispose (in a single transaction or series of related transactions) of all or substantially all of the assets of such subsidiary; or</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19"/>
          <w:szCs w:val="19"/>
          <w:color w:val="auto"/>
        </w:rPr>
        <w:t>enter into any agreement, arrangement, contract or other similar transaction with a Related Party; or</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19"/>
          <w:szCs w:val="19"/>
          <w:color w:val="auto"/>
        </w:rPr>
        <w:t>cause the Company to change its classification to a corporation or other entity taxable as an entity for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income tax purposes.</w:t>
      </w:r>
    </w:p>
    <w:p>
      <w:pPr>
        <w:spacing w:after="0" w:line="190" w:lineRule="exact"/>
        <w:rPr>
          <w:sz w:val="20"/>
          <w:szCs w:val="20"/>
          <w:color w:val="auto"/>
        </w:rPr>
      </w:pPr>
    </w:p>
    <w:p>
      <w:pPr>
        <w:ind w:left="1020" w:hanging="263"/>
        <w:spacing w:after="0"/>
        <w:tabs>
          <w:tab w:leader="none" w:pos="10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right="20" w:firstLine="1505"/>
        <w:spacing w:after="0" w:line="273" w:lineRule="auto"/>
        <w:tabs>
          <w:tab w:leader="none" w:pos="2036" w:val="left"/>
        </w:tabs>
        <w:numPr>
          <w:ilvl w:val="1"/>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 of the Company</w:t>
      </w:r>
      <w:r>
        <w:rPr>
          <w:rFonts w:ascii="Times New Roman" w:cs="Times New Roman" w:eastAsia="Times New Roman" w:hAnsi="Times New Roman"/>
          <w:sz w:val="20"/>
          <w:szCs w:val="20"/>
          <w:color w:val="auto"/>
        </w:rPr>
        <w:t>. The Company and SkyPath hereby represent and warrant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Holder as of the date the first Note was issued as follows:</w:t>
      </w:r>
    </w:p>
    <w:p>
      <w:pPr>
        <w:spacing w:after="0" w:line="165" w:lineRule="exact"/>
        <w:rPr>
          <w:rFonts w:ascii="Times New Roman" w:cs="Times New Roman" w:eastAsia="Times New Roman" w:hAnsi="Times New Roman"/>
          <w:sz w:val="20"/>
          <w:szCs w:val="20"/>
          <w:b w:val="1"/>
          <w:bCs w:val="1"/>
          <w:color w:val="auto"/>
        </w:rPr>
      </w:pPr>
    </w:p>
    <w:p>
      <w:pPr>
        <w:jc w:val="both"/>
        <w:ind w:firstLine="2254"/>
        <w:spacing w:after="0" w:line="241" w:lineRule="auto"/>
        <w:tabs>
          <w:tab w:leader="none" w:pos="2546"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Organization, Good Standing and Qualification</w:t>
      </w:r>
      <w:r>
        <w:rPr>
          <w:rFonts w:ascii="Times New Roman" w:cs="Times New Roman" w:eastAsia="Times New Roman" w:hAnsi="Times New Roman"/>
          <w:sz w:val="20"/>
          <w:szCs w:val="20"/>
          <w:color w:val="auto"/>
        </w:rPr>
        <w:t>. The Company is a limited liability company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organized, validly existing and in good standing under the laws of the State of Delaware. The Company has the requisite company power to own and operate its properties and assets and to carry on its business as now conducted and as proposed to be conducted. The Company is duly qualified and is authorized to do business and is in good standing as a foreign limited liability company in all jurisdictions in which the nature of its activities and of its properties (both owned and leased) makes such qualification necessary, except for those jurisdictions in which failure to do so would not have a material adverse effect on the Company or its business (a “</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2"/>
          <w:szCs w:val="22"/>
          <w:b w:val="1"/>
          <w:bCs w:val="1"/>
          <w:color w:val="auto"/>
        </w:rPr>
      </w:pPr>
    </w:p>
    <w:p>
      <w:pPr>
        <w:jc w:val="both"/>
        <w:ind w:firstLine="2254"/>
        <w:spacing w:after="0" w:line="242" w:lineRule="auto"/>
        <w:tabs>
          <w:tab w:leader="none" w:pos="2546" w:val="left"/>
        </w:tabs>
        <w:numPr>
          <w:ilvl w:val="2"/>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Company Power</w:t>
      </w:r>
      <w:r>
        <w:rPr>
          <w:rFonts w:ascii="Times New Roman" w:cs="Times New Roman" w:eastAsia="Times New Roman" w:hAnsi="Times New Roman"/>
          <w:sz w:val="20"/>
          <w:szCs w:val="20"/>
          <w:color w:val="auto"/>
        </w:rPr>
        <w:t>. The Company has all requisite company power to issue this Note and to carry out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 its obligations under this Note. SkyPath, the Company’s sole member, has approved the issuance of this Note based upon a reasonable belief that the issuance of this Note is appropriate for the Company after reasonable inquiry concerning the Company’s financing objectives and financial situation.</w:t>
      </w:r>
    </w:p>
    <w:p>
      <w:pPr>
        <w:spacing w:after="0" w:line="179"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19"/>
          <w:szCs w:val="19"/>
          <w:b w:val="1"/>
          <w:bCs w:val="1"/>
          <w:color w:val="auto"/>
        </w:rPr>
        <w:t>Authorization</w:t>
      </w:r>
      <w:r>
        <w:rPr>
          <w:rFonts w:ascii="Times New Roman" w:cs="Times New Roman" w:eastAsia="Times New Roman" w:hAnsi="Times New Roman"/>
          <w:sz w:val="19"/>
          <w:szCs w:val="19"/>
          <w:color w:val="auto"/>
        </w:rPr>
        <w:t>. All company action on the part of the Company and its members necessary for the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delivery of this Note has been taken. This Note constitutes a valid and binding obligation of the Company enforceable in accordance with its terms, subject to laws of general application relating to bankruptcy, insolvency, the relief of debtors and, with respect to rights to indemnity, subject to federal and state securities laws. Any securities issued upon conversion of this Note (the “</w:t>
      </w:r>
      <w:r>
        <w:rPr>
          <w:rFonts w:ascii="Times New Roman" w:cs="Times New Roman" w:eastAsia="Times New Roman" w:hAnsi="Times New Roman"/>
          <w:sz w:val="19"/>
          <w:szCs w:val="19"/>
          <w:b w:val="1"/>
          <w:bCs w:val="1"/>
          <w:i w:val="1"/>
          <w:iCs w:val="1"/>
          <w:color w:val="auto"/>
        </w:rPr>
        <w:t>Conversion Securities</w:t>
      </w:r>
      <w:r>
        <w:rPr>
          <w:rFonts w:ascii="Times New Roman" w:cs="Times New Roman" w:eastAsia="Times New Roman" w:hAnsi="Times New Roman"/>
          <w:sz w:val="19"/>
          <w:szCs w:val="19"/>
          <w:color w:val="auto"/>
        </w:rPr>
        <w:t>”), when issued in compliance with the provisions of this Note, will be validly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issued, fully paid, nonassessable, free of any liens or encumbrances and issued in compliance with all applicable federal and securities laws.</w:t>
      </w:r>
    </w:p>
    <w:p>
      <w:pPr>
        <w:spacing w:after="0" w:line="207" w:lineRule="exact"/>
        <w:rPr>
          <w:sz w:val="20"/>
          <w:szCs w:val="20"/>
          <w:color w:val="auto"/>
        </w:rPr>
      </w:pPr>
    </w:p>
    <w:p>
      <w:pPr>
        <w:jc w:val="both"/>
        <w:ind w:firstLine="2246"/>
        <w:spacing w:after="0" w:line="265"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19"/>
          <w:szCs w:val="19"/>
          <w:b w:val="1"/>
          <w:bCs w:val="1"/>
          <w:color w:val="auto"/>
        </w:rPr>
        <w:t>Governmental Consents</w:t>
      </w:r>
      <w:r>
        <w:rPr>
          <w:rFonts w:ascii="Times New Roman" w:cs="Times New Roman" w:eastAsia="Times New Roman" w:hAnsi="Times New Roman"/>
          <w:sz w:val="19"/>
          <w:szCs w:val="19"/>
          <w:color w:val="auto"/>
        </w:rPr>
        <w:t>. All consents, approvals, orders or authorizations of, or registrations,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qualifications, designations, declarations or filings with, any governmental authority required on the part of the Company in connection with issuance of this Note has been obtained.</w:t>
      </w:r>
    </w:p>
    <w:p>
      <w:pPr>
        <w:spacing w:after="0" w:line="174" w:lineRule="exact"/>
        <w:rPr>
          <w:sz w:val="20"/>
          <w:szCs w:val="20"/>
          <w:color w:val="auto"/>
        </w:rPr>
      </w:pPr>
    </w:p>
    <w:p>
      <w:pPr>
        <w:jc w:val="both"/>
        <w:ind w:firstLine="2254"/>
        <w:spacing w:after="0" w:line="244" w:lineRule="auto"/>
        <w:tabs>
          <w:tab w:leader="none" w:pos="2546"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Compliance with Laws</w:t>
      </w:r>
      <w:r>
        <w:rPr>
          <w:rFonts w:ascii="Times New Roman" w:cs="Times New Roman" w:eastAsia="Times New Roman" w:hAnsi="Times New Roman"/>
          <w:sz w:val="20"/>
          <w:szCs w:val="20"/>
          <w:color w:val="auto"/>
        </w:rPr>
        <w:t>. To its knowledge, the Company is not in violation of any applicable statute, rule,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 order or restriction of any domestic or foreign government or any instrumentality or agency thereof in respect of the conduct of its business or the ownership of its properties, which violation of which would have a Material Adverse Effect.</w:t>
      </w:r>
    </w:p>
    <w:p>
      <w:pPr>
        <w:spacing w:after="0" w:line="175"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19"/>
          <w:szCs w:val="19"/>
          <w:b w:val="1"/>
          <w:bCs w:val="1"/>
          <w:color w:val="auto"/>
        </w:rPr>
        <w:t>Compliance with Other Instruments</w:t>
      </w:r>
      <w:r>
        <w:rPr>
          <w:rFonts w:ascii="Times New Roman" w:cs="Times New Roman" w:eastAsia="Times New Roman" w:hAnsi="Times New Roman"/>
          <w:sz w:val="19"/>
          <w:szCs w:val="19"/>
          <w:color w:val="auto"/>
        </w:rPr>
        <w:t>. The Company is not in violation or default of any term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governing or organizational documents, or of any provision of any mortgage, indenture or contract to which it is a party and by which it is bound or of any judgment, decree, order or writ, other than such violation(s) that would not have a Material Adverse Effect. The execution, delivery and performance of this Note will not result in any such violation or be in conflict with, or constitute, with or without the passage of time and giving of notice, either a default under any such provision, instrument, judgment, decree, order or writ or an event that results in the creation of any lien, charge or encumbrance upon any assets of the Company or the suspension, revocation, impairment, forfeiture or nonrenewal of any material permit, license, authorization or approval applicable to the Company, its business or operations or any of its assets or properties. Without limiting the foregoing, the Company has obtained all waivers reasonably necessary with respect to any preemptive rights, rights of first refusal or similar rights, including any notice or offering periods provided for as part of any such rights, in order for the Company to consummate the transactions contemplated hereunder without any third party obtaining any rights to cause the Company to offer or issue any securities of the Company as a result of the consummation of the transactions contemplated hereunder.</w:t>
      </w:r>
    </w:p>
    <w:p>
      <w:pPr>
        <w:spacing w:after="0" w:line="174" w:lineRule="exact"/>
        <w:rPr>
          <w:sz w:val="20"/>
          <w:szCs w:val="20"/>
          <w:color w:val="auto"/>
        </w:rPr>
      </w:pPr>
    </w:p>
    <w:p>
      <w:pPr>
        <w:jc w:val="both"/>
        <w:ind w:firstLine="2246"/>
        <w:spacing w:after="0" w:line="261" w:lineRule="auto"/>
        <w:rPr>
          <w:sz w:val="20"/>
          <w:szCs w:val="20"/>
          <w:color w:val="auto"/>
        </w:rPr>
      </w:pPr>
      <w:r>
        <w:rPr>
          <w:rFonts w:ascii="Times New Roman" w:cs="Times New Roman" w:eastAsia="Times New Roman" w:hAnsi="Times New Roman"/>
          <w:sz w:val="22"/>
          <w:szCs w:val="22"/>
          <w:b w:val="1"/>
          <w:bCs w:val="1"/>
          <w:color w:val="auto"/>
        </w:rPr>
        <w:t>(vii)</w:t>
      </w:r>
      <w:r>
        <w:rPr>
          <w:rFonts w:ascii="Times New Roman" w:cs="Times New Roman" w:eastAsia="Times New Roman" w:hAnsi="Times New Roman"/>
          <w:sz w:val="19"/>
          <w:szCs w:val="19"/>
          <w:b w:val="1"/>
          <w:bCs w:val="1"/>
          <w:color w:val="auto"/>
        </w:rPr>
        <w:t>Offering</w:t>
      </w:r>
      <w:r>
        <w:rPr>
          <w:rFonts w:ascii="Times New Roman" w:cs="Times New Roman" w:eastAsia="Times New Roman" w:hAnsi="Times New Roman"/>
          <w:sz w:val="19"/>
          <w:szCs w:val="19"/>
          <w:color w:val="auto"/>
        </w:rPr>
        <w:t>. Assuming the accuracy of the representations and warranties of the Holder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subsection (b) below, the offer, issue and sale of this Note and the Conversion Securities (collectively, the “</w:t>
      </w:r>
      <w:r>
        <w:rPr>
          <w:rFonts w:ascii="Times New Roman" w:cs="Times New Roman" w:eastAsia="Times New Roman" w:hAnsi="Times New Roman"/>
          <w:sz w:val="19"/>
          <w:szCs w:val="19"/>
          <w:b w:val="1"/>
          <w:bCs w:val="1"/>
          <w:i w:val="1"/>
          <w:iCs w:val="1"/>
          <w:color w:val="auto"/>
        </w:rPr>
        <w:t>Securities</w:t>
      </w:r>
      <w:r>
        <w:rPr>
          <w:rFonts w:ascii="Times New Roman" w:cs="Times New Roman" w:eastAsia="Times New Roman" w:hAnsi="Times New Roman"/>
          <w:sz w:val="19"/>
          <w:szCs w:val="19"/>
          <w:color w:val="auto"/>
        </w:rPr>
        <w:t>”) are and will be exempt from the registration and prospectus delivery requirements of the Act, and have been registered or qualified (or are exempt from registration and qualification) under the registration, permit or qualification requirements of all applicable state securities laws.</w:t>
      </w:r>
    </w:p>
    <w:p>
      <w:pPr>
        <w:spacing w:after="0" w:line="16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(viii)</w:t>
      </w:r>
      <w:r>
        <w:rPr>
          <w:rFonts w:ascii="Times New Roman" w:cs="Times New Roman" w:eastAsia="Times New Roman" w:hAnsi="Times New Roman"/>
          <w:sz w:val="19"/>
          <w:szCs w:val="19"/>
          <w:b w:val="1"/>
          <w:bCs w:val="1"/>
          <w:color w:val="auto"/>
        </w:rPr>
        <w:t>Sole Member</w:t>
      </w:r>
      <w:r>
        <w:rPr>
          <w:rFonts w:ascii="Times New Roman" w:cs="Times New Roman" w:eastAsia="Times New Roman" w:hAnsi="Times New Roman"/>
          <w:sz w:val="19"/>
          <w:szCs w:val="19"/>
          <w:color w:val="auto"/>
        </w:rPr>
        <w:t>. SkyPath is the sole member of the Company.</w:t>
      </w:r>
    </w:p>
    <w:p>
      <w:pPr>
        <w:spacing w:after="0" w:line="206" w:lineRule="exact"/>
        <w:rPr>
          <w:sz w:val="20"/>
          <w:szCs w:val="20"/>
          <w:color w:val="auto"/>
        </w:rPr>
      </w:pPr>
    </w:p>
    <w:p>
      <w:pPr>
        <w:jc w:val="both"/>
        <w:ind w:firstLine="2246"/>
        <w:spacing w:after="0" w:line="282" w:lineRule="auto"/>
        <w:rPr>
          <w:sz w:val="20"/>
          <w:szCs w:val="20"/>
          <w:color w:val="auto"/>
        </w:rPr>
      </w:pPr>
      <w:r>
        <w:rPr>
          <w:rFonts w:ascii="Times New Roman" w:cs="Times New Roman" w:eastAsia="Times New Roman" w:hAnsi="Times New Roman"/>
          <w:sz w:val="22"/>
          <w:szCs w:val="22"/>
          <w:b w:val="1"/>
          <w:bCs w:val="1"/>
          <w:color w:val="auto"/>
        </w:rPr>
        <w:t>(ix)</w:t>
      </w:r>
      <w:r>
        <w:rPr>
          <w:rFonts w:ascii="Times New Roman" w:cs="Times New Roman" w:eastAsia="Times New Roman" w:hAnsi="Times New Roman"/>
          <w:sz w:val="19"/>
          <w:szCs w:val="19"/>
          <w:b w:val="1"/>
          <w:bCs w:val="1"/>
          <w:color w:val="auto"/>
        </w:rPr>
        <w:t>Effective Agreements</w:t>
      </w:r>
      <w:r>
        <w:rPr>
          <w:rFonts w:ascii="Times New Roman" w:cs="Times New Roman" w:eastAsia="Times New Roman" w:hAnsi="Times New Roman"/>
          <w:sz w:val="19"/>
          <w:szCs w:val="19"/>
          <w:color w:val="auto"/>
        </w:rPr>
        <w:t>. The Operating Agreement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color w:val="auto"/>
        </w:rPr>
        <w:t>Exhibit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has not been revoked,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modified, rescinded or amended and is in full force and effect.</w:t>
      </w:r>
    </w:p>
    <w:p>
      <w:pPr>
        <w:spacing w:after="0" w:line="139" w:lineRule="exact"/>
        <w:rPr>
          <w:sz w:val="20"/>
          <w:szCs w:val="20"/>
          <w:color w:val="auto"/>
        </w:rPr>
      </w:pPr>
    </w:p>
    <w:p>
      <w:pPr>
        <w:ind w:firstLine="1505"/>
        <w:spacing w:after="0" w:line="273" w:lineRule="auto"/>
        <w:tabs>
          <w:tab w:leader="none" w:pos="2036"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 of the Holder</w:t>
      </w:r>
      <w:r>
        <w:rPr>
          <w:rFonts w:ascii="Times New Roman" w:cs="Times New Roman" w:eastAsia="Times New Roman" w:hAnsi="Times New Roman"/>
          <w:sz w:val="20"/>
          <w:szCs w:val="20"/>
          <w:color w:val="auto"/>
        </w:rPr>
        <w:t>. The Holder hereby represents and warrants to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date hereof as follows:</w:t>
      </w:r>
    </w:p>
    <w:p>
      <w:pPr>
        <w:spacing w:after="0" w:line="165" w:lineRule="exact"/>
        <w:rPr>
          <w:rFonts w:ascii="Times New Roman" w:cs="Times New Roman" w:eastAsia="Times New Roman" w:hAnsi="Times New Roman"/>
          <w:sz w:val="20"/>
          <w:szCs w:val="20"/>
          <w:b w:val="1"/>
          <w:bCs w:val="1"/>
          <w:color w:val="auto"/>
        </w:rPr>
      </w:pPr>
    </w:p>
    <w:p>
      <w:pPr>
        <w:jc w:val="both"/>
        <w:ind w:firstLine="2254"/>
        <w:spacing w:after="0" w:line="242" w:lineRule="auto"/>
        <w:tabs>
          <w:tab w:leader="none" w:pos="2546"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Purchase for Own Account</w:t>
      </w:r>
      <w:r>
        <w:rPr>
          <w:rFonts w:ascii="Times New Roman" w:cs="Times New Roman" w:eastAsia="Times New Roman" w:hAnsi="Times New Roman"/>
          <w:sz w:val="20"/>
          <w:szCs w:val="20"/>
          <w:color w:val="auto"/>
        </w:rPr>
        <w:t>. The Holder is acquiring the Securities solely for the Holder’s own account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beneficial interest for investment and not for sale or with a view to distribution of the Securities or any part thereof, has no present intention of selling (in connection with a distribution or otherwise), granting any participation in, or otherwise distributing the same, and does not presently have reason to anticipate a change in such intention.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2254"/>
        <w:spacing w:after="0" w:line="241" w:lineRule="auto"/>
        <w:tabs>
          <w:tab w:leader="none" w:pos="2546"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Information and Sophistication</w:t>
      </w:r>
      <w:r>
        <w:rPr>
          <w:rFonts w:ascii="Times New Roman" w:cs="Times New Roman" w:eastAsia="Times New Roman" w:hAnsi="Times New Roman"/>
          <w:sz w:val="20"/>
          <w:szCs w:val="20"/>
          <w:color w:val="auto"/>
        </w:rPr>
        <w:t>. Without lessening or obviating the representations and warranties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set forth in subsection (a) above, the Holder hereby: (A) acknowledges that the Holder has received all the information the Holder has requested from the Company and the Holder considers necessary or appropriate for deciding whether to acquire the Securities, (B) represents that the Holder has had an opportunity to ask questions and receive answers from the Company regarding the terms and conditions of the offering of the Securities and to obtain any additional information necessary to verify the accuracy of the information given the Holder and (C) further represents that the Holder has such knowledge and experience in financial and business matters that the Holder is capable of evaluating the merits and risk of this investment.</w:t>
      </w:r>
    </w:p>
    <w:p>
      <w:pPr>
        <w:spacing w:after="0" w:line="178"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19"/>
          <w:szCs w:val="19"/>
          <w:b w:val="1"/>
          <w:bCs w:val="1"/>
          <w:color w:val="auto"/>
        </w:rPr>
        <w:t>Ability to Bear Economic Risk</w:t>
      </w:r>
      <w:r>
        <w:rPr>
          <w:rFonts w:ascii="Times New Roman" w:cs="Times New Roman" w:eastAsia="Times New Roman" w:hAnsi="Times New Roman"/>
          <w:sz w:val="19"/>
          <w:szCs w:val="19"/>
          <w:color w:val="auto"/>
        </w:rPr>
        <w:t>. The Holder acknowledges that investment in the Securities involves a high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degree of risk, and represents that the Holder is able, without materially impairing the Holder’s financial condition, to hold the Securities for an indefinite period of time and to suffer a complete loss of the Holder’s investment.</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19"/>
          <w:szCs w:val="19"/>
          <w:b w:val="1"/>
          <w:bCs w:val="1"/>
          <w:color w:val="auto"/>
        </w:rPr>
        <w:t>Further Limitations on Disposition</w:t>
      </w:r>
      <w:r>
        <w:rPr>
          <w:rFonts w:ascii="Times New Roman" w:cs="Times New Roman" w:eastAsia="Times New Roman" w:hAnsi="Times New Roman"/>
          <w:sz w:val="19"/>
          <w:szCs w:val="19"/>
          <w:color w:val="auto"/>
        </w:rPr>
        <w:t>.  Without in any way limiting the representations set forth above,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Holder further agrees not to make any disposition of all or any portion of the Securities unless and until:</w:t>
      </w:r>
    </w:p>
    <w:p>
      <w:pPr>
        <w:spacing w:after="0" w:line="207" w:lineRule="exact"/>
        <w:rPr>
          <w:sz w:val="20"/>
          <w:szCs w:val="20"/>
          <w:color w:val="auto"/>
        </w:rPr>
      </w:pPr>
    </w:p>
    <w:p>
      <w:pPr>
        <w:ind w:firstLine="3003"/>
        <w:spacing w:after="0" w:line="245" w:lineRule="auto"/>
        <w:tabs>
          <w:tab w:leader="none" w:pos="3564"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There is then in effect a registration statement under the Act covering such proposed disposition and such disposition is made in accordance with such registration statement; or</w:t>
      </w:r>
    </w:p>
    <w:p>
      <w:pPr>
        <w:spacing w:after="0" w:line="195" w:lineRule="exact"/>
        <w:rPr>
          <w:rFonts w:ascii="Times New Roman" w:cs="Times New Roman" w:eastAsia="Times New Roman" w:hAnsi="Times New Roman"/>
          <w:sz w:val="22"/>
          <w:szCs w:val="22"/>
          <w:b w:val="1"/>
          <w:bCs w:val="1"/>
          <w:color w:val="auto"/>
        </w:rPr>
      </w:pPr>
    </w:p>
    <w:p>
      <w:pPr>
        <w:jc w:val="both"/>
        <w:ind w:firstLine="3003"/>
        <w:spacing w:after="0"/>
        <w:tabs>
          <w:tab w:leader="none" w:pos="3564"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Holder shall have notified the Company of the proposed disposition and furnished the Company with a detailed statement of the circumstances surrounding the proposed disposition, and if reasonably requested by the Company, the Holder shall have furnished the Company with an opinion of counsel, reasonably satisfactory to the Company, that such disposition will not require registration under the Act or any applicable state securities laws; provided that no such opinion shall be required for dispositions in compliance with Rule 144 under the Act, except in unusual circumstances.</w:t>
      </w:r>
    </w:p>
    <w:p>
      <w:pPr>
        <w:spacing w:after="0" w:line="204" w:lineRule="exact"/>
        <w:rPr>
          <w:rFonts w:ascii="Times New Roman" w:cs="Times New Roman" w:eastAsia="Times New Roman" w:hAnsi="Times New Roman"/>
          <w:sz w:val="22"/>
          <w:szCs w:val="22"/>
          <w:b w:val="1"/>
          <w:bCs w:val="1"/>
          <w:color w:val="auto"/>
        </w:rPr>
      </w:pPr>
    </w:p>
    <w:p>
      <w:pPr>
        <w:jc w:val="both"/>
        <w:ind w:firstLine="3003"/>
        <w:spacing w:after="0"/>
        <w:tabs>
          <w:tab w:leader="none" w:pos="3564"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Notwithstanding the provisions of paragraphs (1) and (2) above, no such registration statement or opinion of counsel shall be necessary for a transfer by the Holder to a partner (or retired partner) or member (or retired member) of the Holder in accordance with partnership or limited liability company interests, or transfers by gift, will or intestate succession to any spouse or lineal descendants or ancestors, if all transferees agree in writing to be subject to the terms hereof to the same extent as if they were the Holders hereunder.</w:t>
      </w:r>
    </w:p>
    <w:p>
      <w:pPr>
        <w:spacing w:after="0" w:line="200"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Accredited Investor Status</w:t>
      </w:r>
      <w:r>
        <w:rPr>
          <w:rFonts w:ascii="Times New Roman" w:cs="Times New Roman" w:eastAsia="Times New Roman" w:hAnsi="Times New Roman"/>
          <w:sz w:val="20"/>
          <w:szCs w:val="20"/>
          <w:color w:val="auto"/>
        </w:rPr>
        <w:t>.  The Holder is an “accredited investor” as such term is defined in Rule 501</w:t>
      </w:r>
    </w:p>
    <w:p>
      <w:pPr>
        <w:spacing w:after="0" w:line="2"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under the Act.</w:t>
      </w:r>
    </w:p>
    <w:p>
      <w:pPr>
        <w:spacing w:after="0" w:line="185" w:lineRule="exact"/>
        <w:rPr>
          <w:sz w:val="20"/>
          <w:szCs w:val="20"/>
          <w:color w:val="auto"/>
        </w:rPr>
      </w:pPr>
    </w:p>
    <w:p>
      <w:pPr>
        <w:jc w:val="both"/>
        <w:ind w:firstLine="2246"/>
        <w:spacing w:after="0" w:line="261"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19"/>
          <w:szCs w:val="19"/>
          <w:b w:val="1"/>
          <w:bCs w:val="1"/>
          <w:color w:val="auto"/>
        </w:rPr>
        <w:t>Forward-Looking Statements</w:t>
      </w:r>
      <w:r>
        <w:rPr>
          <w:rFonts w:ascii="Times New Roman" w:cs="Times New Roman" w:eastAsia="Times New Roman" w:hAnsi="Times New Roman"/>
          <w:sz w:val="19"/>
          <w:szCs w:val="19"/>
          <w:color w:val="auto"/>
        </w:rPr>
        <w:t>. With respect to any forecasts, projections of results and other forward-looking statements and information provided to the Holder, the Holder acknowledges that such statements were prepared based upon assumptions deemed reasonable by the Company at the time of preparation. There is no assurance that such statements will prove accurate, and the Company has no obligation to update such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9" w:name="page40"/>
    <w:bookmarkEnd w:id="39"/>
    <w:p>
      <w:pPr>
        <w:ind w:left="1020" w:hanging="263"/>
        <w:spacing w:after="0"/>
        <w:tabs>
          <w:tab w:leader="none" w:pos="102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Events of Default.</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49" w:lineRule="auto"/>
        <w:tabs>
          <w:tab w:leader="none" w:pos="2036" w:val="left"/>
        </w:tabs>
        <w:numPr>
          <w:ilvl w:val="1"/>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shall be any Event of Default (as defined below) hereunder, at the option and upon the declaration of the Holder and upon written notice to the Company (which election and notice shall not be required in the case of an Event of Default under subsection (ii) or (iii) below), this Note shall accelerate and all principal and unpaid accrued interest shall become due and payable. The occurrence of any one or more of the following shall constitute an “</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b w:val="1"/>
          <w:bCs w:val="1"/>
          <w:color w:val="auto"/>
        </w:rPr>
      </w:pPr>
    </w:p>
    <w:p>
      <w:pPr>
        <w:jc w:val="both"/>
        <w:ind w:firstLine="2254"/>
        <w:spacing w:after="0" w:line="242" w:lineRule="auto"/>
        <w:tabs>
          <w:tab w:leader="none" w:pos="2546" w:val="left"/>
        </w:tabs>
        <w:numPr>
          <w:ilvl w:val="2"/>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Company fails to pay timely any of the principal amount due under this Note on the date the same becomes due and payable or any unpaid accrued interest or other amounts due under this Note on the date the same becomes due and payable;</w:t>
      </w:r>
    </w:p>
    <w:p>
      <w:pPr>
        <w:spacing w:after="0" w:line="199" w:lineRule="exact"/>
        <w:rPr>
          <w:rFonts w:ascii="Times New Roman" w:cs="Times New Roman" w:eastAsia="Times New Roman" w:hAnsi="Times New Roman"/>
          <w:sz w:val="22"/>
          <w:szCs w:val="22"/>
          <w:b w:val="1"/>
          <w:bCs w:val="1"/>
          <w:color w:val="auto"/>
        </w:rPr>
      </w:pPr>
    </w:p>
    <w:p>
      <w:pPr>
        <w:jc w:val="both"/>
        <w:ind w:firstLine="2254"/>
        <w:spacing w:after="0" w:line="242" w:lineRule="auto"/>
        <w:tabs>
          <w:tab w:leader="none" w:pos="2546" w:val="left"/>
        </w:tabs>
        <w:numPr>
          <w:ilvl w:val="2"/>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Company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77" w:lineRule="exact"/>
        <w:rPr>
          <w:sz w:val="20"/>
          <w:szCs w:val="20"/>
          <w:color w:val="auto"/>
        </w:rPr>
      </w:pPr>
    </w:p>
    <w:p>
      <w:pPr>
        <w:jc w:val="both"/>
        <w:ind w:firstLine="2246"/>
        <w:spacing w:after="0" w:line="265"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19"/>
          <w:szCs w:val="19"/>
          <w:color w:val="auto"/>
        </w:rPr>
        <w:t>An involuntary petition is filed against the Company (unless such petition is dismissed or discharged within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60 days under any bankruptcy statute now or hereafter in effect, or a custodian, receiver, trustee or assignee for the benefit of creditors (or other similar official) is appointed to take possession, custody or control of any property of the Company); or</w:t>
      </w:r>
    </w:p>
    <w:p>
      <w:pPr>
        <w:spacing w:after="0" w:line="156" w:lineRule="exact"/>
        <w:rPr>
          <w:sz w:val="20"/>
          <w:szCs w:val="20"/>
          <w:color w:val="auto"/>
        </w:rPr>
      </w:pPr>
    </w:p>
    <w:p>
      <w:pPr>
        <w:jc w:val="both"/>
        <w:ind w:firstLine="2246"/>
        <w:spacing w:after="0" w:line="282"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19"/>
          <w:szCs w:val="19"/>
          <w:color w:val="auto"/>
        </w:rPr>
        <w:t>The breach of any covenant set forth in Section 5 herein or any representation or warranty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Section 6(a) herein, in each case by the Company or SkyPath.</w:t>
      </w:r>
    </w:p>
    <w:p>
      <w:pPr>
        <w:spacing w:after="0" w:line="143" w:lineRule="exact"/>
        <w:rPr>
          <w:sz w:val="20"/>
          <w:szCs w:val="20"/>
          <w:color w:val="auto"/>
        </w:rPr>
      </w:pPr>
    </w:p>
    <w:p>
      <w:pPr>
        <w:ind w:right="20" w:firstLine="1505"/>
        <w:spacing w:after="0" w:line="269" w:lineRule="auto"/>
        <w:tabs>
          <w:tab w:leader="none" w:pos="2036" w:val="left"/>
        </w:tabs>
        <w:numPr>
          <w:ilvl w:val="1"/>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any Event of Default hereunder, the Company shall pay all reasonable attorneys’ fees and court costs incurred by the Holder in enforcing and collecting this Note.</w:t>
      </w:r>
    </w:p>
    <w:p>
      <w:pPr>
        <w:spacing w:after="0" w:line="15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 Provisions.</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Waivers. </w:t>
      </w:r>
      <w:r>
        <w:rPr>
          <w:rFonts w:ascii="Times New Roman" w:cs="Times New Roman" w:eastAsia="Times New Roman" w:hAnsi="Times New Roman"/>
          <w:sz w:val="20"/>
          <w:szCs w:val="20"/>
          <w:color w:val="auto"/>
        </w:rPr>
        <w:t>The Company hereby waives demand, notice, presentment, protest and notice of dishonor.</w:t>
      </w:r>
    </w:p>
    <w:p>
      <w:pPr>
        <w:spacing w:after="0" w:line="215" w:lineRule="exact"/>
        <w:rPr>
          <w:rFonts w:ascii="Times New Roman" w:cs="Times New Roman" w:eastAsia="Times New Roman" w:hAnsi="Times New Roman"/>
          <w:sz w:val="20"/>
          <w:szCs w:val="20"/>
          <w:b w:val="1"/>
          <w:bCs w:val="1"/>
          <w:color w:val="auto"/>
        </w:rPr>
      </w:pPr>
    </w:p>
    <w:p>
      <w:pPr>
        <w:jc w:val="both"/>
        <w:ind w:firstLine="1505"/>
        <w:spacing w:after="0" w:line="250" w:lineRule="auto"/>
        <w:tabs>
          <w:tab w:leader="none" w:pos="2036"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Assurances</w:t>
      </w:r>
      <w:r>
        <w:rPr>
          <w:rFonts w:ascii="Times New Roman" w:cs="Times New Roman" w:eastAsia="Times New Roman" w:hAnsi="Times New Roman"/>
          <w:sz w:val="20"/>
          <w:szCs w:val="20"/>
          <w:color w:val="auto"/>
        </w:rPr>
        <w:t>. The Holder agrees and covenants that at any time and from time to time the Holder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promptly execute and deliver to the Company such further instruments and documents and take such further action as the Company may reasonably require in order to carry out the full intent and purpose of this Note and to comply with state or federal securities laws or other regulatory approvals.</w:t>
      </w:r>
    </w:p>
    <w:p>
      <w:pPr>
        <w:spacing w:after="0" w:line="175" w:lineRule="exact"/>
        <w:rPr>
          <w:rFonts w:ascii="Times New Roman" w:cs="Times New Roman" w:eastAsia="Times New Roman" w:hAnsi="Times New Roman"/>
          <w:sz w:val="20"/>
          <w:szCs w:val="20"/>
          <w:b w:val="1"/>
          <w:bCs w:val="1"/>
          <w:color w:val="auto"/>
        </w:rPr>
      </w:pPr>
    </w:p>
    <w:p>
      <w:pPr>
        <w:jc w:val="both"/>
        <w:ind w:firstLine="1505"/>
        <w:spacing w:after="0" w:line="247" w:lineRule="auto"/>
        <w:tabs>
          <w:tab w:leader="none" w:pos="2036"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Transfers of Notes</w:t>
      </w:r>
      <w:r>
        <w:rPr>
          <w:rFonts w:ascii="Times New Roman" w:cs="Times New Roman" w:eastAsia="Times New Roman" w:hAnsi="Times New Roman"/>
          <w:sz w:val="20"/>
          <w:szCs w:val="20"/>
          <w:color w:val="auto"/>
        </w:rPr>
        <w:t>. This Note may be transferred only upon its surrender to the Company for registration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duly endorsed, or accompanied by a duly executed written instrument of transfer in form satisfactory to the Company. Thereupon, this Note shall be reissued to, and registered in the name of, the transferee, or a new Note for like principal amount and interest shall be issued to, and registered in the name of, the transferee. Interest and principal shall be paid solely to the registered holder of this Note. Such payment shall constitute full discharge of the Company’s obligation to pay such interest and principal.</w:t>
      </w:r>
    </w:p>
    <w:p>
      <w:pPr>
        <w:spacing w:after="0" w:line="180" w:lineRule="exact"/>
        <w:rPr>
          <w:rFonts w:ascii="Times New Roman" w:cs="Times New Roman" w:eastAsia="Times New Roman" w:hAnsi="Times New Roman"/>
          <w:sz w:val="20"/>
          <w:szCs w:val="20"/>
          <w:b w:val="1"/>
          <w:bCs w:val="1"/>
          <w:color w:val="auto"/>
        </w:rPr>
      </w:pPr>
    </w:p>
    <w:p>
      <w:pPr>
        <w:jc w:val="both"/>
        <w:ind w:firstLine="1505"/>
        <w:spacing w:after="0" w:line="256" w:lineRule="auto"/>
        <w:tabs>
          <w:tab w:leader="none" w:pos="2036" w:val="left"/>
        </w:tabs>
        <w:numPr>
          <w:ilvl w:val="1"/>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To the extent requested by the Company or an underwriter of securities of the Company,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 and any permitted transferee thereof shall not, without the prior written consent of the managing underwriters in the IPO (as hereafter defined), offer, sell, make any short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0" w:name="page41"/>
    <w:bookmarkEnd w:id="40"/>
    <w:p>
      <w:pPr>
        <w:jc w:val="both"/>
        <w:spacing w:after="0" w:line="241" w:lineRule="auto"/>
        <w:rPr>
          <w:sz w:val="20"/>
          <w:szCs w:val="20"/>
          <w:color w:val="auto"/>
        </w:rPr>
      </w:pPr>
      <w:r>
        <w:rPr>
          <w:rFonts w:ascii="Times New Roman" w:cs="Times New Roman" w:eastAsia="Times New Roman" w:hAnsi="Times New Roman"/>
          <w:sz w:val="20"/>
          <w:szCs w:val="20"/>
          <w:color w:val="auto"/>
        </w:rPr>
        <w:t>sale of, grant or sell any option for the purchase of, lend, pledge, otherwise transfer or dispose of (directly or indirectly), enter into any swap or other arrangement that transfers to another, in whole or in part, any of the economic consequences of ownership (whether any such transaction is described above or is to be settled by delivery of Securities or other securities, in cash, or otherwise), any Securities or other securities of the Company then owned by the Holder or any transferee thereof, or enter into an agreement to do any of the foregoing, for up to 180 days following the effective date of the registration statement of the initial public offering of the Company (the “</w:t>
      </w:r>
      <w:r>
        <w:rPr>
          <w:rFonts w:ascii="Times New Roman" w:cs="Times New Roman" w:eastAsia="Times New Roman" w:hAnsi="Times New Roman"/>
          <w:sz w:val="20"/>
          <w:szCs w:val="20"/>
          <w:b w:val="1"/>
          <w:bCs w:val="1"/>
          <w:i w:val="1"/>
          <w:iCs w:val="1"/>
          <w:color w:val="auto"/>
        </w:rPr>
        <w:t>IPO</w:t>
      </w:r>
      <w:r>
        <w:rPr>
          <w:rFonts w:ascii="Times New Roman" w:cs="Times New Roman" w:eastAsia="Times New Roman" w:hAnsi="Times New Roman"/>
          <w:sz w:val="20"/>
          <w:szCs w:val="20"/>
          <w:color w:val="auto"/>
        </w:rPr>
        <w:t>”) filed under the Securities Act. For purposes of this paragraph,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includes any wholly owned subsidiary of the Company into which the Company merges or consolidates. The Company may place restrictive legends on the certificates representing the securities subject to this paragraph and may impose stop transfer instructions with respect to the Securities and such other securities of the Holder and any transferee thereof (and the securities of every other person subject to the foregoing restriction) until the end of such period. The Holder and any transferee thereof shall enter into any agreement reasonably required by the underwriters to the IPO to implement the foregoing within any reasonable timeframe so requested. The underwriters for any IPO are intended third party beneficiaries of this paragraph and shall have the right, power and authority to enforce the provisions of this paragraph as though they were parties hereto. The provisions of this paragraph shall survive any conversion and/or repayment of this Note.</w:t>
      </w:r>
    </w:p>
    <w:p>
      <w:pPr>
        <w:spacing w:after="0" w:line="193" w:lineRule="exact"/>
        <w:rPr>
          <w:sz w:val="20"/>
          <w:szCs w:val="20"/>
          <w:color w:val="auto"/>
        </w:rPr>
      </w:pPr>
    </w:p>
    <w:p>
      <w:pPr>
        <w:ind w:firstLine="1505"/>
        <w:spacing w:after="0" w:line="273" w:lineRule="auto"/>
        <w:tabs>
          <w:tab w:leader="none" w:pos="203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and Waiver</w:t>
      </w:r>
      <w:r>
        <w:rPr>
          <w:rFonts w:ascii="Times New Roman" w:cs="Times New Roman" w:eastAsia="Times New Roman" w:hAnsi="Times New Roman"/>
          <w:sz w:val="20"/>
          <w:szCs w:val="20"/>
          <w:color w:val="auto"/>
        </w:rPr>
        <w:t>. Any term of this Note may be amended or waived with the written consent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the Holder.</w:t>
      </w:r>
    </w:p>
    <w:p>
      <w:pPr>
        <w:spacing w:after="0" w:line="151" w:lineRule="exact"/>
        <w:rPr>
          <w:rFonts w:ascii="Times New Roman" w:cs="Times New Roman" w:eastAsia="Times New Roman" w:hAnsi="Times New Roman"/>
          <w:sz w:val="20"/>
          <w:szCs w:val="20"/>
          <w:b w:val="1"/>
          <w:bCs w:val="1"/>
          <w:color w:val="auto"/>
        </w:rPr>
      </w:pPr>
    </w:p>
    <w:p>
      <w:pPr>
        <w:jc w:val="both"/>
        <w:ind w:firstLine="1505"/>
        <w:spacing w:after="0" w:line="256" w:lineRule="auto"/>
        <w:tabs>
          <w:tab w:leader="none" w:pos="203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Note shall be governed by and construed under the laws of the State of Delaware, as applied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agreements among Delaware residents, made and to be performed entirely within the State of Delaware, without giving effect to conflicts of laws principles.</w:t>
      </w:r>
    </w:p>
    <w:p>
      <w:pPr>
        <w:spacing w:after="0" w:line="168" w:lineRule="exact"/>
        <w:rPr>
          <w:rFonts w:ascii="Times New Roman" w:cs="Times New Roman" w:eastAsia="Times New Roman" w:hAnsi="Times New Roman"/>
          <w:sz w:val="20"/>
          <w:szCs w:val="20"/>
          <w:b w:val="1"/>
          <w:bCs w:val="1"/>
          <w:color w:val="auto"/>
        </w:rPr>
      </w:pPr>
    </w:p>
    <w:p>
      <w:pPr>
        <w:jc w:val="both"/>
        <w:ind w:firstLine="1505"/>
        <w:spacing w:after="0" w:line="256" w:lineRule="auto"/>
        <w:tabs>
          <w:tab w:leader="none" w:pos="203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Agreement</w:t>
      </w:r>
      <w:r>
        <w:rPr>
          <w:rFonts w:ascii="Times New Roman" w:cs="Times New Roman" w:eastAsia="Times New Roman" w:hAnsi="Times New Roman"/>
          <w:sz w:val="20"/>
          <w:szCs w:val="20"/>
          <w:color w:val="auto"/>
        </w:rPr>
        <w:t>. The terms and conditions of this Note shall inure to the benefit of and be binding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successors and assigns of the parties. Nothing in this Note, expressed or implied, is intended to confer upon any third party any rights, remedies, obligations or liabilities under or by reason of this Note, except as expressly provided in this Note.</w:t>
      </w:r>
    </w:p>
    <w:p>
      <w:pPr>
        <w:spacing w:after="0" w:line="168" w:lineRule="exact"/>
        <w:rPr>
          <w:rFonts w:ascii="Times New Roman" w:cs="Times New Roman" w:eastAsia="Times New Roman" w:hAnsi="Times New Roman"/>
          <w:sz w:val="20"/>
          <w:szCs w:val="20"/>
          <w:b w:val="1"/>
          <w:bCs w:val="1"/>
          <w:color w:val="auto"/>
        </w:rPr>
      </w:pPr>
    </w:p>
    <w:p>
      <w:pPr>
        <w:jc w:val="both"/>
        <w:ind w:firstLine="1505"/>
        <w:spacing w:after="0" w:line="247" w:lineRule="auto"/>
        <w:tabs>
          <w:tab w:leader="none" w:pos="203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 Manner of Delivery</w:t>
      </w:r>
      <w:r>
        <w:rPr>
          <w:rFonts w:ascii="Times New Roman" w:cs="Times New Roman" w:eastAsia="Times New Roman" w:hAnsi="Times New Roman"/>
          <w:sz w:val="20"/>
          <w:szCs w:val="20"/>
          <w:color w:val="auto"/>
        </w:rPr>
        <w:t>. This Note may be executed in two or more counterparts, each of which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deemed an original, but all of which together shall constitute one and the same instrument. Counterparts may be delivered via electronic mail (including pdf or any electronic signature complying with the U.S. federal ESIGN Act of 2000,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www.docusign.com) or other transmission method and any counterpart so delivered shall be deemed to have been duly and validly delivered and be valid and effective for all purposes.</w:t>
      </w:r>
    </w:p>
    <w:p>
      <w:pPr>
        <w:spacing w:after="0" w:line="180" w:lineRule="exact"/>
        <w:rPr>
          <w:rFonts w:ascii="Times New Roman" w:cs="Times New Roman" w:eastAsia="Times New Roman" w:hAnsi="Times New Roman"/>
          <w:sz w:val="20"/>
          <w:szCs w:val="20"/>
          <w:b w:val="1"/>
          <w:bCs w:val="1"/>
          <w:color w:val="auto"/>
        </w:rPr>
      </w:pPr>
    </w:p>
    <w:p>
      <w:pPr>
        <w:ind w:firstLine="1505"/>
        <w:spacing w:after="0" w:line="273" w:lineRule="auto"/>
        <w:tabs>
          <w:tab w:leader="none" w:pos="203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Titles and Subtitles</w:t>
      </w:r>
      <w:r>
        <w:rPr>
          <w:rFonts w:ascii="Times New Roman" w:cs="Times New Roman" w:eastAsia="Times New Roman" w:hAnsi="Times New Roman"/>
          <w:sz w:val="20"/>
          <w:szCs w:val="20"/>
          <w:color w:val="auto"/>
        </w:rPr>
        <w:t>. The titles and subtitles used in this Note are used for convenience only and are not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considered in construing or interpreting this Note.</w:t>
      </w:r>
    </w:p>
    <w:p>
      <w:pPr>
        <w:spacing w:after="0" w:line="151" w:lineRule="exact"/>
        <w:rPr>
          <w:rFonts w:ascii="Times New Roman" w:cs="Times New Roman" w:eastAsia="Times New Roman" w:hAnsi="Times New Roman"/>
          <w:sz w:val="20"/>
          <w:szCs w:val="20"/>
          <w:b w:val="1"/>
          <w:bCs w:val="1"/>
          <w:color w:val="auto"/>
        </w:rPr>
      </w:pPr>
    </w:p>
    <w:p>
      <w:pPr>
        <w:jc w:val="both"/>
        <w:ind w:firstLine="1505"/>
        <w:spacing w:after="0" w:line="243" w:lineRule="auto"/>
        <w:tabs>
          <w:tab w:leader="none" w:pos="2036"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All notices and other communications given or made pursuant to this Note shall be in writing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 mail as permitted in this Note)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to such e-mail address or address as subsequently modified by written notice given in accordance with this Section 8(j). Each party consents to the delivery of any notice pursuant to this Note by electronic mail at the e-mail address set forth below on the signature page, as updated from time to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46" w:lineRule="auto"/>
        <w:rPr>
          <w:sz w:val="20"/>
          <w:szCs w:val="20"/>
          <w:color w:val="auto"/>
        </w:rPr>
      </w:pPr>
      <w:r>
        <w:rPr>
          <w:rFonts w:ascii="Times New Roman" w:cs="Times New Roman" w:eastAsia="Times New Roman" w:hAnsi="Times New Roman"/>
          <w:sz w:val="20"/>
          <w:szCs w:val="20"/>
          <w:color w:val="auto"/>
        </w:rPr>
        <w:t>by notice to the other party.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party of any change in its e-mail address, and that failure to do so shall not affect the foregoing. The terms of this Section 8(j) shall survive any conversion and/or repayment of this Note.</w:t>
      </w:r>
    </w:p>
    <w:p>
      <w:pPr>
        <w:spacing w:after="0" w:line="181" w:lineRule="exact"/>
        <w:rPr>
          <w:sz w:val="20"/>
          <w:szCs w:val="20"/>
          <w:color w:val="auto"/>
        </w:rPr>
      </w:pPr>
    </w:p>
    <w:p>
      <w:pPr>
        <w:ind w:firstLine="1505"/>
        <w:spacing w:after="0" w:line="273" w:lineRule="auto"/>
        <w:tabs>
          <w:tab w:leader="none" w:pos="2036"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Each of the Company and the Holder shall bear such party’s respective expenses and legal fees incurred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the negotiation, execution and delivery of this Note and the transactions contemplated herein.</w:t>
      </w:r>
    </w:p>
    <w:p>
      <w:pPr>
        <w:spacing w:after="0" w:line="151" w:lineRule="exact"/>
        <w:rPr>
          <w:rFonts w:ascii="Times New Roman" w:cs="Times New Roman" w:eastAsia="Times New Roman" w:hAnsi="Times New Roman"/>
          <w:sz w:val="20"/>
          <w:szCs w:val="20"/>
          <w:b w:val="1"/>
          <w:bCs w:val="1"/>
          <w:color w:val="auto"/>
        </w:rPr>
      </w:pPr>
    </w:p>
    <w:p>
      <w:pPr>
        <w:jc w:val="both"/>
        <w:ind w:firstLine="1505"/>
        <w:spacing w:after="0" w:line="243" w:lineRule="auto"/>
        <w:tabs>
          <w:tab w:leader="none" w:pos="2036"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of Conflicts</w:t>
      </w:r>
      <w:r>
        <w:rPr>
          <w:rFonts w:ascii="Times New Roman" w:cs="Times New Roman" w:eastAsia="Times New Roman" w:hAnsi="Times New Roman"/>
          <w:sz w:val="20"/>
          <w:szCs w:val="20"/>
          <w:color w:val="auto"/>
        </w:rPr>
        <w:t>. Each party to this Note acknowledges that Cooley LLP (“</w:t>
      </w:r>
      <w:r>
        <w:rPr>
          <w:rFonts w:ascii="Times New Roman" w:cs="Times New Roman" w:eastAsia="Times New Roman" w:hAnsi="Times New Roman"/>
          <w:sz w:val="20"/>
          <w:szCs w:val="20"/>
          <w:b w:val="1"/>
          <w:bCs w:val="1"/>
          <w:i w:val="1"/>
          <w:iCs w:val="1"/>
          <w:color w:val="auto"/>
        </w:rPr>
        <w:t>Cooley</w:t>
      </w:r>
      <w:r>
        <w:rPr>
          <w:rFonts w:ascii="Times New Roman" w:cs="Times New Roman" w:eastAsia="Times New Roman" w:hAnsi="Times New Roman"/>
          <w:sz w:val="20"/>
          <w:szCs w:val="20"/>
          <w:color w:val="auto"/>
        </w:rPr>
        <w:t>”) has acted as counsel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solely to the Holder with respect to this Note and the transactions contemplated hereby (together, the “</w:t>
      </w:r>
      <w:r>
        <w:rPr>
          <w:rFonts w:ascii="Times New Roman" w:cs="Times New Roman" w:eastAsia="Times New Roman" w:hAnsi="Times New Roman"/>
          <w:sz w:val="20"/>
          <w:szCs w:val="20"/>
          <w:b w:val="1"/>
          <w:bCs w:val="1"/>
          <w:i w:val="1"/>
          <w:iCs w:val="1"/>
          <w:color w:val="auto"/>
        </w:rPr>
        <w:t>Note Financing</w:t>
      </w:r>
      <w:r>
        <w:rPr>
          <w:rFonts w:ascii="Times New Roman" w:cs="Times New Roman" w:eastAsia="Times New Roman" w:hAnsi="Times New Roman"/>
          <w:sz w:val="20"/>
          <w:szCs w:val="20"/>
          <w:color w:val="auto"/>
        </w:rPr>
        <w:t>”), and has negotiated the terms of the Note Financing solely on behalf of the Holder. Cooley may have, in the past, represented and/or may, now or in the future, represent the Company and/or its affiliates in other matters, including matters that are similar, but not substantially related, to the Note Financing. The applicable rules of professional conduct require that Cooley inform its clients of these representations and obtain their waivers of the conflicts that may arise from such representations. Each of the Company and the Holder hereby (i) acknowledges that such party has been advised about such circumstances and has had an opportunity to ask for additional information, (ii) acknowledges that, with respect to the Note Financing, Cooley has represented solely the Holder and no other party, and (iii) gives its informed consent to Cooley’s representation of the Holder in the Note Financing and Cooley’s representation of the Company and/or its affiliates in other matters.</w:t>
      </w:r>
    </w:p>
    <w:p>
      <w:pPr>
        <w:spacing w:after="0" w:line="185" w:lineRule="exact"/>
        <w:rPr>
          <w:rFonts w:ascii="Times New Roman" w:cs="Times New Roman" w:eastAsia="Times New Roman" w:hAnsi="Times New Roman"/>
          <w:sz w:val="20"/>
          <w:szCs w:val="20"/>
          <w:b w:val="1"/>
          <w:bCs w:val="1"/>
          <w:color w:val="auto"/>
        </w:rPr>
      </w:pPr>
    </w:p>
    <w:p>
      <w:pPr>
        <w:jc w:val="both"/>
        <w:ind w:firstLine="1505"/>
        <w:spacing w:after="0" w:line="243" w:lineRule="auto"/>
        <w:tabs>
          <w:tab w:leader="none" w:pos="2036"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Delays or Omissions</w:t>
      </w:r>
      <w:r>
        <w:rPr>
          <w:rFonts w:ascii="Times New Roman" w:cs="Times New Roman" w:eastAsia="Times New Roman" w:hAnsi="Times New Roman"/>
          <w:sz w:val="20"/>
          <w:szCs w:val="20"/>
          <w:color w:val="auto"/>
        </w:rPr>
        <w:t>. It is agreed that no delay or omission to exercise any right, power or remedy accruing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 upon any breach or default of the Company under this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the Holder of any breach or default under this Note, or any waiver by the Holder of any provisions or conditions of this Note, must be in writing and shall be effective only to the extent specifically set forth in writing and that all remedies, either under this Note, or by law or otherwise afforded to the Holder, shall be cumulative and not alternative. This Note shall be void and of no force or effect in the event that the Holder fails to remit the full principal amount to the Company within five calendar days of the date of this Note.</w:t>
      </w:r>
    </w:p>
    <w:p>
      <w:pPr>
        <w:spacing w:after="0" w:line="185" w:lineRule="exact"/>
        <w:rPr>
          <w:rFonts w:ascii="Times New Roman" w:cs="Times New Roman" w:eastAsia="Times New Roman" w:hAnsi="Times New Roman"/>
          <w:sz w:val="20"/>
          <w:szCs w:val="20"/>
          <w:b w:val="1"/>
          <w:bCs w:val="1"/>
          <w:color w:val="auto"/>
        </w:rPr>
      </w:pPr>
    </w:p>
    <w:p>
      <w:pPr>
        <w:jc w:val="both"/>
        <w:ind w:firstLine="1505"/>
        <w:spacing w:after="0" w:line="250" w:lineRule="auto"/>
        <w:tabs>
          <w:tab w:leader="none" w:pos="2036"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Note, the Operating Agreement, the Management Agreement, the Form of Amended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Restated Operating Agreement and the Form of SkyPath Restriction Agreement constitute the full and entire understanding and agreement between the parties with regard to the subjects hereof, and no party shall be liable or bound to any other party in any manner by any representations, warranties, covenants and agreements except as specifically set forth herein and therein.</w:t>
      </w:r>
    </w:p>
    <w:p>
      <w:pPr>
        <w:spacing w:after="0" w:line="175" w:lineRule="exact"/>
        <w:rPr>
          <w:rFonts w:ascii="Times New Roman" w:cs="Times New Roman" w:eastAsia="Times New Roman" w:hAnsi="Times New Roman"/>
          <w:sz w:val="20"/>
          <w:szCs w:val="20"/>
          <w:b w:val="1"/>
          <w:bCs w:val="1"/>
          <w:color w:val="auto"/>
        </w:rPr>
      </w:pPr>
    </w:p>
    <w:p>
      <w:pPr>
        <w:jc w:val="both"/>
        <w:ind w:firstLine="1505"/>
        <w:spacing w:after="0" w:line="250" w:lineRule="auto"/>
        <w:tabs>
          <w:tab w:leader="none" w:pos="2036"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Broker’s Fees</w:t>
      </w:r>
      <w:r>
        <w:rPr>
          <w:rFonts w:ascii="Times New Roman" w:cs="Times New Roman" w:eastAsia="Times New Roman" w:hAnsi="Times New Roman"/>
          <w:sz w:val="20"/>
          <w:szCs w:val="20"/>
          <w:color w:val="auto"/>
        </w:rPr>
        <w:t>. Each party hereto represents and warrants that no agent, broker, investment banker, person or firm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acting on behalf of or under the authority of such party hereto is or will be entitled to any broker’s or finder’s fee or any other commission directly or indirectly in connection with the transactions contemplated herein. Each party hereto further agrees to indemnify each other party for any claims, losses or expenses incurred by such other party as a result of the representation in this subsection being untrue.</w:t>
      </w:r>
    </w:p>
    <w:p>
      <w:pPr>
        <w:spacing w:after="0" w:line="17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California Corporate Securities Law</w:t>
      </w:r>
      <w:r>
        <w:rPr>
          <w:rFonts w:ascii="Times New Roman" w:cs="Times New Roman" w:eastAsia="Times New Roman" w:hAnsi="Times New Roman"/>
          <w:sz w:val="20"/>
          <w:szCs w:val="20"/>
          <w:color w:val="auto"/>
        </w:rPr>
        <w:t>. THE SALE OF THE SECURITIES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45" w:lineRule="auto"/>
        <w:rPr>
          <w:sz w:val="20"/>
          <w:szCs w:val="20"/>
          <w:color w:val="auto"/>
        </w:rPr>
      </w:pPr>
      <w:r>
        <w:rPr>
          <w:rFonts w:ascii="Times New Roman" w:cs="Times New Roman" w:eastAsia="Times New Roman" w:hAnsi="Times New Roman"/>
          <w:sz w:val="20"/>
          <w:szCs w:val="20"/>
          <w:color w:val="auto"/>
        </w:rPr>
        <w:t>WHICH ARE THE SUBJECT OF THIS NOTE HAS NOT BEEN QUALIFIED WITH THE COMMISSIONER OF CORPORATIONS OF THE STATE OF CALIFORNIA AND THE ISSUANCE OF SUCH SECURITIES OR THE PAYMENT OR RECEIPT OF ANY PART OF THE CONSIDERATION THEREFOR PRIOR TO SUCH QUALIFICATION OR IN THE ABSENCE OF AN EXEMPTION FROM SUCH QUALIFICATION IS UNLAWFUL. PRIOR TO ACCEPTANCE OF SUCH CONSIDERATION BY THE COMPANY, THE RIGHTS OF ALL PARTIES TO THIS NOTE ARE EXPRESSLY CONDITIONED UPON SUCH QUALIFICATION BEING OBTAINED OR AN EXEMPTION FROM SUCH QUALIFICATION BEING AVAILABLE.</w:t>
      </w:r>
    </w:p>
    <w:p>
      <w:pPr>
        <w:spacing w:after="0" w:line="180" w:lineRule="exact"/>
        <w:rPr>
          <w:sz w:val="20"/>
          <w:szCs w:val="20"/>
          <w:color w:val="auto"/>
        </w:rPr>
      </w:pPr>
    </w:p>
    <w:p>
      <w:pPr>
        <w:ind w:left="2040" w:hanging="535"/>
        <w:spacing w:after="0"/>
        <w:tabs>
          <w:tab w:leader="none" w:pos="204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ind w:left="2560" w:hanging="306"/>
        <w:spacing w:after="0"/>
        <w:tabs>
          <w:tab w:leader="none" w:pos="2560"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2"/>
          <w:szCs w:val="22"/>
          <w:b w:val="1"/>
          <w:bCs w:val="1"/>
          <w:color w:val="auto"/>
        </w:rPr>
      </w:pPr>
    </w:p>
    <w:p>
      <w:pPr>
        <w:ind w:firstLine="1505"/>
        <w:spacing w:after="0" w:line="273" w:lineRule="auto"/>
        <w:tabs>
          <w:tab w:leader="none" w:pos="2036"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Reporting. </w:t>
      </w:r>
      <w:r>
        <w:rPr>
          <w:rFonts w:ascii="Times New Roman" w:cs="Times New Roman" w:eastAsia="Times New Roman" w:hAnsi="Times New Roman"/>
          <w:sz w:val="20"/>
          <w:szCs w:val="20"/>
          <w:color w:val="auto"/>
        </w:rPr>
        <w:t>The Company agrees to provide the information that the Holder requests from time to time to permit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holder to comply with its tax reporting requirements.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 xml:space="preserve">The parties have executed this </w:t>
      </w:r>
      <w:r>
        <w:rPr>
          <w:rFonts w:ascii="Times New Roman" w:cs="Times New Roman" w:eastAsia="Times New Roman" w:hAnsi="Times New Roman"/>
          <w:sz w:val="20"/>
          <w:szCs w:val="20"/>
          <w:b w:val="1"/>
          <w:bCs w:val="1"/>
          <w:color w:val="auto"/>
        </w:rPr>
        <w:t>Convertible Promissory Note</w:t>
      </w:r>
      <w:r>
        <w:rPr>
          <w:rFonts w:ascii="Times New Roman" w:cs="Times New Roman" w:eastAsia="Times New Roman" w:hAnsi="Times New Roman"/>
          <w:sz w:val="20"/>
          <w:szCs w:val="20"/>
          <w:color w:val="auto"/>
        </w:rPr>
        <w:t xml:space="preserve"> as of the date first noted above.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SP Healthcare SPV I,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00" w:type="dxa"/>
        <w:tblCellMar>
          <w:top w:w="0" w:type="dxa"/>
          <w:left w:w="0" w:type="dxa"/>
          <w:bottom w:w="0" w:type="dxa"/>
          <w:right w:w="0" w:type="dxa"/>
        </w:tblCellMar>
      </w:tblPr>
      <w:tr>
        <w:trPr>
          <w:trHeight w:val="252"/>
        </w:trPr>
        <w:tc>
          <w:tcPr>
            <w:tcW w:w="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Johnathan Lee</w:t>
            </w:r>
          </w:p>
        </w:tc>
      </w:tr>
      <w:tr>
        <w:trPr>
          <w:trHeight w:val="43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Johnathan Lee</w:t>
            </w:r>
          </w:p>
        </w:tc>
      </w:tr>
      <w:tr>
        <w:trPr>
          <w:trHeight w:val="258"/>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413"/>
        </w:trPr>
        <w:tc>
          <w:tcPr>
            <w:tcW w:w="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E-mail:</w:t>
            </w:r>
          </w:p>
        </w:tc>
        <w:tc>
          <w:tcPr>
            <w:tcW w:w="9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r>
      <w:tr>
        <w:trPr>
          <w:trHeight w:val="412"/>
        </w:trPr>
        <w:tc>
          <w:tcPr>
            <w:tcW w:w="7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Address:</w:t>
            </w:r>
          </w:p>
        </w:tc>
        <w:tc>
          <w:tcPr>
            <w:tcW w:w="9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166 Geary Street</w:t>
            </w:r>
          </w:p>
        </w:tc>
      </w:tr>
      <w:tr>
        <w:trPr>
          <w:trHeight w:val="227"/>
        </w:trPr>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2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Suite 1500 #2031</w:t>
            </w:r>
          </w:p>
        </w:tc>
      </w:tr>
      <w:tr>
        <w:trPr>
          <w:trHeight w:val="258"/>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San Francisco, California 94108</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SIGNATURE PAGE TO</w:t>
      </w:r>
    </w:p>
    <w:p>
      <w:pPr>
        <w:jc w:val="center"/>
        <w:ind w:right="-559"/>
        <w:spacing w:after="0" w:line="226" w:lineRule="auto"/>
        <w:rPr>
          <w:sz w:val="20"/>
          <w:szCs w:val="20"/>
          <w:color w:val="auto"/>
        </w:rPr>
      </w:pPr>
      <w:r>
        <w:rPr>
          <w:rFonts w:ascii="Times New Roman" w:cs="Times New Roman" w:eastAsia="Times New Roman" w:hAnsi="Times New Roman"/>
          <w:sz w:val="14"/>
          <w:szCs w:val="14"/>
          <w:color w:val="auto"/>
        </w:rPr>
        <w:t>SP HEALTHCARE SPV I, LLC</w:t>
      </w:r>
    </w:p>
    <w:p>
      <w:pPr>
        <w:jc w:val="center"/>
        <w:ind w:right="-559"/>
        <w:spacing w:after="0"/>
        <w:rPr>
          <w:sz w:val="20"/>
          <w:szCs w:val="20"/>
          <w:color w:val="auto"/>
        </w:rPr>
      </w:pPr>
      <w:r>
        <w:rPr>
          <w:rFonts w:ascii="Times New Roman" w:cs="Times New Roman" w:eastAsia="Times New Roman" w:hAnsi="Times New Roman"/>
          <w:sz w:val="14"/>
          <w:szCs w:val="14"/>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09" w:right="8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color w:val="auto"/>
        </w:rPr>
        <w:t xml:space="preserve">The parties have executed this </w:t>
      </w:r>
      <w:r>
        <w:rPr>
          <w:rFonts w:ascii="Times New Roman" w:cs="Times New Roman" w:eastAsia="Times New Roman" w:hAnsi="Times New Roman"/>
          <w:sz w:val="20"/>
          <w:szCs w:val="20"/>
          <w:b w:val="1"/>
          <w:bCs w:val="1"/>
          <w:color w:val="auto"/>
        </w:rPr>
        <w:t>Convertible Promissory Note</w:t>
      </w:r>
      <w:r>
        <w:rPr>
          <w:rFonts w:ascii="Times New Roman" w:cs="Times New Roman" w:eastAsia="Times New Roman" w:hAnsi="Times New Roman"/>
          <w:sz w:val="20"/>
          <w:szCs w:val="20"/>
          <w:color w:val="auto"/>
        </w:rPr>
        <w:t xml:space="preserve"> as of the date first noted above.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HOLDER:</w:t>
      </w:r>
    </w:p>
    <w:p>
      <w:pPr>
        <w:spacing w:after="0" w:line="229" w:lineRule="exact"/>
        <w:rPr>
          <w:sz w:val="20"/>
          <w:szCs w:val="20"/>
          <w:color w:val="auto"/>
        </w:rPr>
      </w:pPr>
    </w:p>
    <w:p>
      <w:pPr>
        <w:jc w:val="center"/>
        <w:ind w:right="160"/>
        <w:spacing w:after="0"/>
        <w:tabs>
          <w:tab w:leader="none" w:pos="180" w:val="left"/>
        </w:tabs>
        <w:rPr>
          <w:sz w:val="20"/>
          <w:szCs w:val="20"/>
          <w:color w:val="auto"/>
        </w:rPr>
      </w:pPr>
      <w:r>
        <w:rPr>
          <w:rFonts w:ascii="Times New Roman" w:cs="Times New Roman" w:eastAsia="Times New Roman" w:hAnsi="Times New Roman"/>
          <w:sz w:val="20"/>
          <w:szCs w:val="20"/>
          <w:color w:val="auto"/>
        </w:rPr>
        <w:t>Name of Holder:</w:t>
      </w:r>
      <w:r>
        <w:rPr>
          <w:sz w:val="20"/>
          <w:szCs w:val="20"/>
          <w:color w:val="auto"/>
        </w:rPr>
        <w:tab/>
      </w:r>
      <w:r>
        <w:rPr>
          <w:rFonts w:ascii="Times New Roman" w:cs="Times New Roman" w:eastAsia="Times New Roman" w:hAnsi="Times New Roman"/>
          <w:sz w:val="19"/>
          <w:szCs w:val="19"/>
          <w:b w:val="1"/>
          <w:bCs w:val="1"/>
          <w:color w:val="auto"/>
        </w:rPr>
        <w:t>SafeGuard Healthcare,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16510</wp:posOffset>
            </wp:positionV>
            <wp:extent cx="38830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27" w:lineRule="exact"/>
        <w:rPr>
          <w:sz w:val="20"/>
          <w:szCs w:val="20"/>
          <w:color w:val="auto"/>
        </w:rPr>
      </w:pPr>
    </w:p>
    <w:tbl>
      <w:tblPr>
        <w:tblLayout w:type="fixed"/>
        <w:tblInd w:w="5000" w:type="dxa"/>
        <w:tblCellMar>
          <w:top w:w="0" w:type="dxa"/>
          <w:left w:w="0" w:type="dxa"/>
          <w:bottom w:w="0" w:type="dxa"/>
          <w:right w:w="0" w:type="dxa"/>
        </w:tblCellMar>
      </w:tblPr>
      <w:tr>
        <w:trPr>
          <w:trHeight w:val="252"/>
        </w:trPr>
        <w:tc>
          <w:tcPr>
            <w:tcW w:w="7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w:t>
            </w:r>
          </w:p>
        </w:tc>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Josh Patterson</w:t>
            </w:r>
          </w:p>
        </w:tc>
      </w:tr>
      <w:tr>
        <w:trPr>
          <w:trHeight w:val="453"/>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Name:</w:t>
            </w:r>
          </w:p>
        </w:tc>
        <w:tc>
          <w:tcPr>
            <w:tcW w:w="44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Josh Patterson</w:t>
            </w:r>
          </w:p>
        </w:tc>
      </w:tr>
      <w:tr>
        <w:trPr>
          <w:trHeight w:val="223"/>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Title:</w:t>
            </w:r>
          </w:p>
        </w:tc>
        <w:tc>
          <w:tcPr>
            <w:tcW w:w="44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Authorized Signatory</w:t>
            </w:r>
          </w:p>
        </w:tc>
      </w:tr>
      <w:tr>
        <w:trPr>
          <w:trHeight w:val="412"/>
        </w:trPr>
        <w:tc>
          <w:tcPr>
            <w:tcW w:w="7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E-mail:</w:t>
            </w:r>
          </w:p>
        </w:tc>
        <w:tc>
          <w:tcPr>
            <w:tcW w:w="860" w:type="dxa"/>
            <w:vAlign w:val="bottom"/>
          </w:tcPr>
          <w:p>
            <w:pPr>
              <w:spacing w:after="0"/>
              <w:rPr>
                <w:sz w:val="24"/>
                <w:szCs w:val="24"/>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412"/>
        </w:trPr>
        <w:tc>
          <w:tcPr>
            <w:tcW w:w="7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5"/>
              </w:rPr>
              <w:t>Address:</w:t>
            </w:r>
          </w:p>
        </w:tc>
        <w:tc>
          <w:tcPr>
            <w:tcW w:w="860" w:type="dxa"/>
            <w:vAlign w:val="bottom"/>
          </w:tcPr>
          <w:p>
            <w:pPr>
              <w:spacing w:after="0"/>
              <w:rPr>
                <w:sz w:val="24"/>
                <w:szCs w:val="24"/>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400 Spectrum Center Drive, Suite 2040</w:t>
            </w: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Irvine, CA 92618</w:t>
            </w:r>
          </w:p>
        </w:tc>
      </w:tr>
      <w:tr>
        <w:trPr>
          <w:trHeight w:val="223"/>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r>
    </w:tbl>
    <w:p>
      <w:pPr>
        <w:spacing w:after="0" w:line="1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SIGNATURE PAGE TO</w:t>
      </w:r>
    </w:p>
    <w:p>
      <w:pPr>
        <w:jc w:val="center"/>
        <w:ind w:right="-219"/>
        <w:spacing w:after="0" w:line="226" w:lineRule="auto"/>
        <w:rPr>
          <w:sz w:val="20"/>
          <w:szCs w:val="20"/>
          <w:color w:val="auto"/>
        </w:rPr>
      </w:pPr>
      <w:r>
        <w:rPr>
          <w:rFonts w:ascii="Times New Roman" w:cs="Times New Roman" w:eastAsia="Times New Roman" w:hAnsi="Times New Roman"/>
          <w:sz w:val="14"/>
          <w:szCs w:val="14"/>
          <w:color w:val="auto"/>
        </w:rPr>
        <w:t>SP HEALTHCARE SPV I, LLC</w:t>
      </w:r>
    </w:p>
    <w:p>
      <w:pPr>
        <w:jc w:val="center"/>
        <w:ind w:right="-219"/>
        <w:spacing w:after="0"/>
        <w:rPr>
          <w:sz w:val="20"/>
          <w:szCs w:val="20"/>
          <w:color w:val="auto"/>
        </w:rPr>
      </w:pPr>
      <w:r>
        <w:rPr>
          <w:rFonts w:ascii="Times New Roman" w:cs="Times New Roman" w:eastAsia="Times New Roman" w:hAnsi="Times New Roman"/>
          <w:sz w:val="14"/>
          <w:szCs w:val="14"/>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9"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 xml:space="preserve">The parties have executed this </w:t>
      </w:r>
      <w:r>
        <w:rPr>
          <w:rFonts w:ascii="Times New Roman" w:cs="Times New Roman" w:eastAsia="Times New Roman" w:hAnsi="Times New Roman"/>
          <w:sz w:val="20"/>
          <w:szCs w:val="20"/>
          <w:b w:val="1"/>
          <w:bCs w:val="1"/>
          <w:color w:val="auto"/>
        </w:rPr>
        <w:t>Convertible Promissory Note</w:t>
      </w:r>
      <w:r>
        <w:rPr>
          <w:rFonts w:ascii="Times New Roman" w:cs="Times New Roman" w:eastAsia="Times New Roman" w:hAnsi="Times New Roman"/>
          <w:sz w:val="20"/>
          <w:szCs w:val="20"/>
          <w:color w:val="auto"/>
        </w:rPr>
        <w:t xml:space="preserve"> as of the date first noted above.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SKYPATH (solely for the purposes of Sections 5, 6(a) and 8(q)</w:t>
      </w:r>
    </w:p>
    <w:p>
      <w:pPr>
        <w:spacing w:after="0" w:line="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herein):</w:t>
      </w:r>
    </w:p>
    <w:p>
      <w:pPr>
        <w:spacing w:after="0" w:line="20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SkyPath Partners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000" w:type="dxa"/>
        <w:tblCellMar>
          <w:top w:w="0" w:type="dxa"/>
          <w:left w:w="0" w:type="dxa"/>
          <w:bottom w:w="0" w:type="dxa"/>
          <w:right w:w="0" w:type="dxa"/>
        </w:tblCellMar>
      </w:tblPr>
      <w:tr>
        <w:trPr>
          <w:trHeight w:val="252"/>
        </w:trPr>
        <w:tc>
          <w:tcPr>
            <w:tcW w:w="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 Johnathan Lee</w:t>
            </w:r>
          </w:p>
        </w:tc>
      </w:tr>
      <w:tr>
        <w:trPr>
          <w:trHeight w:val="430"/>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Johnathan Lee</w:t>
            </w:r>
          </w:p>
        </w:tc>
      </w:tr>
      <w:tr>
        <w:trPr>
          <w:trHeight w:val="258"/>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413"/>
        </w:trPr>
        <w:tc>
          <w:tcPr>
            <w:tcW w:w="7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E-mail:</w:t>
            </w:r>
          </w:p>
        </w:tc>
        <w:tc>
          <w:tcPr>
            <w:tcW w:w="9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21"/>
        </w:trPr>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r>
      <w:tr>
        <w:trPr>
          <w:trHeight w:val="412"/>
        </w:trPr>
        <w:tc>
          <w:tcPr>
            <w:tcW w:w="7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Address:</w:t>
            </w:r>
          </w:p>
        </w:tc>
        <w:tc>
          <w:tcPr>
            <w:tcW w:w="9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166 Geary Street</w:t>
            </w:r>
          </w:p>
        </w:tc>
      </w:tr>
      <w:tr>
        <w:trPr>
          <w:trHeight w:val="227"/>
        </w:trPr>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2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Suite 1500 #2031</w:t>
            </w:r>
          </w:p>
        </w:tc>
      </w:tr>
      <w:tr>
        <w:trPr>
          <w:trHeight w:val="258"/>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San Francisco, California 94108</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SIGNATURE PAGE TO</w:t>
      </w:r>
    </w:p>
    <w:p>
      <w:pPr>
        <w:jc w:val="center"/>
        <w:ind w:right="-559"/>
        <w:spacing w:after="0" w:line="226" w:lineRule="auto"/>
        <w:rPr>
          <w:sz w:val="20"/>
          <w:szCs w:val="20"/>
          <w:color w:val="auto"/>
        </w:rPr>
      </w:pPr>
      <w:r>
        <w:rPr>
          <w:rFonts w:ascii="Times New Roman" w:cs="Times New Roman" w:eastAsia="Times New Roman" w:hAnsi="Times New Roman"/>
          <w:sz w:val="14"/>
          <w:szCs w:val="14"/>
          <w:color w:val="auto"/>
        </w:rPr>
        <w:t>SP HEALTHCARE SPV I, LLC</w:t>
      </w:r>
    </w:p>
    <w:p>
      <w:pPr>
        <w:jc w:val="center"/>
        <w:ind w:right="-559"/>
        <w:spacing w:after="0"/>
        <w:rPr>
          <w:sz w:val="20"/>
          <w:szCs w:val="20"/>
          <w:color w:val="auto"/>
        </w:rPr>
      </w:pPr>
      <w:r>
        <w:rPr>
          <w:rFonts w:ascii="Times New Roman" w:cs="Times New Roman" w:eastAsia="Times New Roman" w:hAnsi="Times New Roman"/>
          <w:sz w:val="14"/>
          <w:szCs w:val="14"/>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09" w:right="89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Contributions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895350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of Amended and Restated Operating Agreement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1169670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SkyPath Restriction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1169670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Operating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1306830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Subscription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2421255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Kuan, certify that:</w:t>
      </w:r>
    </w:p>
    <w:p>
      <w:pPr>
        <w:spacing w:after="0" w:line="117"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7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520" w:type="dxa"/>
            <w:vAlign w:val="bottom"/>
          </w:tcPr>
          <w:p>
            <w:pPr>
              <w:spacing w:after="0"/>
              <w:rPr>
                <w:sz w:val="16"/>
                <w:szCs w:val="16"/>
                <w:color w:val="auto"/>
              </w:rPr>
            </w:pPr>
          </w:p>
        </w:tc>
        <w:tc>
          <w:tcPr>
            <w:tcW w:w="274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520" w:type="dxa"/>
            <w:vAlign w:val="bottom"/>
          </w:tcPr>
          <w:p>
            <w:pPr>
              <w:spacing w:after="0"/>
              <w:rPr>
                <w:sz w:val="18"/>
                <w:szCs w:val="18"/>
                <w:color w:val="auto"/>
              </w:rPr>
            </w:pPr>
          </w:p>
        </w:tc>
        <w:tc>
          <w:tcPr>
            <w:tcW w:w="27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5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13"/>
        </w:trPr>
        <w:tc>
          <w:tcPr>
            <w:tcW w:w="35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Corleen Roche, certify that:</w:t>
      </w:r>
    </w:p>
    <w:p>
      <w:pPr>
        <w:spacing w:after="0" w:line="11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7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Corleen Roche</w:t>
            </w:r>
          </w:p>
        </w:tc>
      </w:tr>
      <w:tr>
        <w:trPr>
          <w:trHeight w:val="191"/>
        </w:trPr>
        <w:tc>
          <w:tcPr>
            <w:tcW w:w="3520" w:type="dxa"/>
            <w:vAlign w:val="bottom"/>
          </w:tcPr>
          <w:p>
            <w:pPr>
              <w:spacing w:after="0"/>
              <w:rPr>
                <w:sz w:val="16"/>
                <w:szCs w:val="16"/>
                <w:color w:val="auto"/>
              </w:rPr>
            </w:pPr>
          </w:p>
        </w:tc>
        <w:tc>
          <w:tcPr>
            <w:tcW w:w="274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Corleen Roche</w:t>
            </w:r>
          </w:p>
        </w:tc>
      </w:tr>
      <w:tr>
        <w:trPr>
          <w:trHeight w:val="216"/>
        </w:trPr>
        <w:tc>
          <w:tcPr>
            <w:tcW w:w="3520" w:type="dxa"/>
            <w:vAlign w:val="bottom"/>
          </w:tcPr>
          <w:p>
            <w:pPr>
              <w:spacing w:after="0"/>
              <w:rPr>
                <w:sz w:val="18"/>
                <w:szCs w:val="18"/>
                <w:color w:val="auto"/>
              </w:rPr>
            </w:pPr>
          </w:p>
        </w:tc>
        <w:tc>
          <w:tcPr>
            <w:tcW w:w="27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35"/>
        </w:trPr>
        <w:tc>
          <w:tcPr>
            <w:tcW w:w="35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March 31, 2025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Kuan</w:t>
            </w:r>
          </w:p>
        </w:tc>
      </w:tr>
      <w:tr>
        <w:trPr>
          <w:trHeight w:val="191"/>
        </w:trPr>
        <w:tc>
          <w:tcPr>
            <w:tcW w:w="3840" w:type="dxa"/>
            <w:vAlign w:val="bottom"/>
          </w:tcPr>
          <w:p>
            <w:pPr>
              <w:spacing w:after="0"/>
              <w:rPr>
                <w:sz w:val="16"/>
                <w:szCs w:val="16"/>
                <w:color w:val="auto"/>
              </w:rPr>
            </w:pPr>
          </w:p>
        </w:tc>
        <w:tc>
          <w:tcPr>
            <w:tcW w:w="2920" w:type="dxa"/>
            <w:vAlign w:val="bottom"/>
          </w:tcPr>
          <w:p>
            <w:pPr>
              <w:ind w:left="2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Kuan</w:t>
            </w:r>
          </w:p>
        </w:tc>
      </w:tr>
      <w:tr>
        <w:trPr>
          <w:trHeight w:val="216"/>
        </w:trPr>
        <w:tc>
          <w:tcPr>
            <w:tcW w:w="3840" w:type="dxa"/>
            <w:vAlign w:val="bottom"/>
          </w:tcPr>
          <w:p>
            <w:pPr>
              <w:spacing w:after="0"/>
              <w:rPr>
                <w:sz w:val="18"/>
                <w:szCs w:val="18"/>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8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2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March 31, 2025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Corleen Roche</w:t>
            </w:r>
          </w:p>
        </w:tc>
      </w:tr>
      <w:tr>
        <w:trPr>
          <w:trHeight w:val="191"/>
        </w:trPr>
        <w:tc>
          <w:tcPr>
            <w:tcW w:w="3840" w:type="dxa"/>
            <w:vAlign w:val="bottom"/>
          </w:tcPr>
          <w:p>
            <w:pPr>
              <w:spacing w:after="0"/>
              <w:rPr>
                <w:sz w:val="16"/>
                <w:szCs w:val="16"/>
                <w:color w:val="auto"/>
              </w:rPr>
            </w:pPr>
          </w:p>
        </w:tc>
        <w:tc>
          <w:tcPr>
            <w:tcW w:w="2920" w:type="dxa"/>
            <w:vAlign w:val="bottom"/>
          </w:tcPr>
          <w:p>
            <w:pPr>
              <w:ind w:left="2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Corleen Roche</w:t>
            </w:r>
          </w:p>
        </w:tc>
      </w:tr>
      <w:tr>
        <w:trPr>
          <w:trHeight w:val="216"/>
        </w:trPr>
        <w:tc>
          <w:tcPr>
            <w:tcW w:w="3840" w:type="dxa"/>
            <w:vAlign w:val="bottom"/>
          </w:tcPr>
          <w:p>
            <w:pPr>
              <w:spacing w:after="0"/>
              <w:rPr>
                <w:sz w:val="18"/>
                <w:szCs w:val="18"/>
                <w:color w:val="auto"/>
              </w:rPr>
            </w:pPr>
          </w:p>
        </w:tc>
        <w:tc>
          <w:tcPr>
            <w:tcW w:w="29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2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lvl w:ilvl="1">
      <w:lvlJc w:val="left"/>
      <w:lvlText w:val="%2"/>
      <w:numFmt w:val="decimal"/>
      <w:start w:val="104"/>
    </w:lvl>
  </w:abstractNum>
  <w:abstractNum w:abstractNumId="7">
    <w:nsid w:val="436C6125"/>
    <w:multiLevelType w:val="hybridMultilevel"/>
    <w:lvl w:ilvl="0">
      <w:lvlJc w:val="left"/>
      <w:lvlText w:val="**"/>
      <w:numFmt w:val="bullet"/>
      <w:start w:val="1"/>
    </w:lvl>
    <w:lvl w:ilvl="1">
      <w:lvlJc w:val="left"/>
      <w:lvlText w:val="%2"/>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decimal"/>
      <w:start w:val="1"/>
    </w:lvl>
    <w:lvl w:ilvl="1">
      <w:lvlJc w:val="left"/>
      <w:lvlText w:val="(%2)"/>
      <w:numFmt w:val="lowerLetter"/>
      <w:start w:val="12"/>
    </w:lvl>
  </w:abstractNum>
  <w:abstractNum w:abstractNumId="11">
    <w:nsid w:val="2443A858"/>
    <w:multiLevelType w:val="hybridMultilevel"/>
    <w:lvl w:ilvl="0">
      <w:lvlJc w:val="left"/>
      <w:lvlText w:val="%1."/>
      <w:numFmt w:val="decimal"/>
      <w:start w:val="3"/>
    </w:lvl>
    <w:lvl w:ilvl="1">
      <w:lvlJc w:val="left"/>
      <w:lvlText w:val="(%2)"/>
      <w:numFmt w:val="lowerLetter"/>
      <w:start w:val="1"/>
    </w:lvl>
  </w:abstractNum>
  <w:abstractNum w:abstractNumId="12">
    <w:nsid w:val="2D1D5A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
    <w:nsid w:val="6763845E"/>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14">
    <w:nsid w:val="75A2A8D4"/>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15">
    <w:nsid w:val="8EDBDAB"/>
    <w:multiLevelType w:val="hybridMultilevel"/>
    <w:lvl w:ilvl="0">
      <w:lvlJc w:val="left"/>
      <w:lvlText w:val="(%1)"/>
      <w:numFmt w:val="lowerRoman"/>
      <w:start w:val="2"/>
    </w:lvl>
  </w:abstractNum>
  <w:abstractNum w:abstractNumId="16">
    <w:nsid w:val="79838CB2"/>
    <w:multiLevelType w:val="hybridMultilevel"/>
    <w:lvl w:ilvl="0">
      <w:lvlJc w:val="left"/>
      <w:lvlText w:val="(%1)"/>
      <w:numFmt w:val="lowerRoman"/>
      <w:start w:val="5"/>
    </w:lvl>
  </w:abstractNum>
  <w:abstractNum w:abstractNumId="17">
    <w:nsid w:val="4353D0C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
    <w:nsid w:val="B03E0C6"/>
    <w:multiLevelType w:val="hybridMultilevel"/>
    <w:lvl w:ilvl="0">
      <w:lvlJc w:val="left"/>
      <w:lvlText w:val="(%1)"/>
      <w:numFmt w:val="lowerRoman"/>
      <w:start w:val="5"/>
    </w:lvl>
  </w:abstractNum>
  <w:abstractNum w:abstractNumId="19">
    <w:nsid w:val="189A769B"/>
    <w:multiLevelType w:val="hybridMultilevel"/>
    <w:lvl w:ilvl="0">
      <w:lvlJc w:val="left"/>
      <w:lvlText w:val="(%1)"/>
      <w:numFmt w:val="lowerLetter"/>
      <w:start w:val="2"/>
    </w:lvl>
    <w:lvl w:ilvl="1">
      <w:lvlJc w:val="left"/>
      <w:lvlText w:val="(%2)"/>
      <w:numFmt w:val="lowerLetter"/>
      <w:start w:val="9"/>
    </w:lvl>
  </w:abstractNum>
  <w:abstractNum w:abstractNumId="20">
    <w:nsid w:val="54E49EB4"/>
    <w:multiLevelType w:val="hybridMultilevel"/>
    <w:lvl w:ilvl="0">
      <w:lvlJc w:val="left"/>
      <w:lvlText w:val="(%1)"/>
      <w:numFmt w:val="lowerRoman"/>
      <w:start w:val="2"/>
    </w:lvl>
  </w:abstractNum>
  <w:abstractNum w:abstractNumId="21">
    <w:nsid w:val="71F32454"/>
    <w:multiLevelType w:val="hybridMultilevel"/>
    <w:lvl w:ilvl="0">
      <w:lvlJc w:val="left"/>
      <w:lvlText w:val="%1"/>
      <w:numFmt w:val="lowerRoman"/>
      <w:start w:val="1"/>
    </w:lvl>
    <w:lvl w:ilvl="1">
      <w:lvlJc w:val="left"/>
      <w:lvlText w:val="(%2)"/>
      <w:numFmt w:val="decimal"/>
      <w:start w:val="1"/>
    </w:lvl>
  </w:abstractNum>
  <w:abstractNum w:abstractNumId="22">
    <w:nsid w:val="2CA88611"/>
    <w:multiLevelType w:val="hybridMultilevel"/>
    <w:lvl w:ilvl="0">
      <w:lvlJc w:val="left"/>
      <w:lvlText w:val="(%1)"/>
      <w:numFmt w:val="lowerRoman"/>
      <w:start w:val="5"/>
    </w:lvl>
    <w:lvl w:ilvl="1">
      <w:lvlJc w:val="left"/>
      <w:lvlText w:val="%2"/>
      <w:numFmt w:val="decimal"/>
      <w:start w:val="1"/>
    </w:lvl>
  </w:abstractNum>
  <w:abstractNum w:abstractNumId="23">
    <w:nsid w:val="836C40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
    <w:nsid w:val="2901D82"/>
    <w:multiLevelType w:val="hybridMultilevel"/>
    <w:lvl w:ilvl="0">
      <w:lvlJc w:val="left"/>
      <w:lvlText w:val="%1"/>
      <w:numFmt w:val="decimal"/>
      <w:start w:val="1"/>
    </w:lvl>
    <w:lvl w:ilvl="1">
      <w:lvlJc w:val="left"/>
      <w:lvlText w:val="(%2)"/>
      <w:numFmt w:val="lowerLetter"/>
      <w:start w:val="2"/>
    </w:lvl>
  </w:abstractNum>
  <w:abstractNum w:abstractNumId="25">
    <w:nsid w:val="3A95F874"/>
    <w:multiLevelType w:val="hybridMultilevel"/>
    <w:lvl w:ilvl="0">
      <w:lvlJc w:val="left"/>
      <w:lvlText w:val="%1."/>
      <w:numFmt w:val="decimal"/>
      <w:start w:val="8"/>
    </w:lvl>
    <w:lvl w:ilvl="1">
      <w:lvlJc w:val="left"/>
      <w:lvlText w:val="(%2)"/>
      <w:numFmt w:val="lowerLetter"/>
      <w:start w:val="1"/>
    </w:lvl>
  </w:abstractNum>
  <w:abstractNum w:abstractNumId="26">
    <w:nsid w:val="8138641"/>
    <w:multiLevelType w:val="hybridMultilevel"/>
    <w:lvl w:ilvl="0">
      <w:lvlJc w:val="left"/>
      <w:lvlText w:val="(%1)"/>
      <w:numFmt w:val="lowerLetter"/>
      <w:start w:val="5"/>
    </w:lvl>
  </w:abstractNum>
  <w:abstractNum w:abstractNumId="27">
    <w:nsid w:val="1E7FF521"/>
    <w:multiLevelType w:val="hybridMultilevel"/>
    <w:lvl w:ilvl="0">
      <w:lvlJc w:val="left"/>
      <w:lvlText w:val="(%1)"/>
      <w:numFmt w:val="lowerLetter"/>
      <w:start w:val="11"/>
    </w:lvl>
  </w:abstractNum>
  <w:abstractNum w:abstractNumId="28">
    <w:nsid w:val="7C3DBD3D"/>
    <w:multiLevelType w:val="hybridMultilevel"/>
    <w:lvl w:ilvl="0">
      <w:lvlJc w:val="left"/>
      <w:lvlText w:val="(%1)"/>
      <w:numFmt w:val="lowerLetter"/>
      <w:start w:val="17"/>
    </w:lvl>
    <w:lvl w:ilvl="1">
      <w:lvlJc w:val="left"/>
      <w:lvlText w:val="(%2)"/>
      <w:numFmt w:val="lowerRoman"/>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179" Type="http://schemas.openxmlformats.org/officeDocument/2006/relationships/hyperlink" Target="https://www.sec.gov/Archives/edgar/data/1991792/000119312524009621/d551455dex33.htm" TargetMode="External"/><Relationship Id="rId180" Type="http://schemas.openxmlformats.org/officeDocument/2006/relationships/hyperlink" Target="https://www.sec.gov/Archives/edgar/data/1991792/000119312524000766/d551455dex34.htm" TargetMode="External"/><Relationship Id="rId181" Type="http://schemas.openxmlformats.org/officeDocument/2006/relationships/hyperlink" Target="https://www.sec.gov/Archives/edgar/data/1991792/000119312524009621/d551455dex41.htm" TargetMode="External"/><Relationship Id="rId182" Type="http://schemas.openxmlformats.org/officeDocument/2006/relationships/hyperlink" Target="https://www.sec.gov/Archives/edgar/data/1991792/000119312524009621/d551455dex42.htm" TargetMode="External"/><Relationship Id="rId183" Type="http://schemas.openxmlformats.org/officeDocument/2006/relationships/hyperlink" Target="https://www.sec.gov/Archives/edgar/data/1991792/000095017025046351/ck0001991792-ex10_5.htm" TargetMode="External"/><Relationship Id="rId184" Type="http://schemas.openxmlformats.org/officeDocument/2006/relationships/hyperlink" Target="https://www.sec.gov/Archives/edgar/data/1991792/000095017025046351/ck0001991792-ex10_11.htm" TargetMode="External"/><Relationship Id="rId185" Type="http://schemas.openxmlformats.org/officeDocument/2006/relationships/hyperlink" Target="https://www.sec.gov/Archives/edgar/data/1991792/000095017025046351/ck0001991792-ex10_12.htm" TargetMode="External"/><Relationship Id="rId186" Type="http://schemas.openxmlformats.org/officeDocument/2006/relationships/hyperlink" Target="https://www.sec.gov/Archives/edgar/data/1991792/000095017025046351/ck0001991792-ex10_13.htm" TargetMode="External"/><Relationship Id="rId187" Type="http://schemas.openxmlformats.org/officeDocument/2006/relationships/hyperlink" Target="https://www.sec.gov/Archives/edgar/data/1991792/000095017025046351/ck0001991792-ex10_14.htm" TargetMode="External"/><Relationship Id="rId188" Type="http://schemas.openxmlformats.org/officeDocument/2006/relationships/hyperlink" Target="https://www.sec.gov/Archives/edgar/data/1991792/000095017025046351/ck0001991792-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2025-05-13T07:38:31Z</dcterms:created>
  <dcterms:modified xsi:type="dcterms:W3CDTF">2025-05-13T07:38:31Z</dcterms:modified>
</cp:coreProperties>
</file>