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October 27, 2023</w:t>
      </w:r>
    </w:p>
    <w:p>
      <w:pPr>
        <w:spacing w:after="0" w:line="3" w:lineRule="exact"/>
        <w:rPr>
          <w:sz w:val="24"/>
          <w:szCs w:val="24"/>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138430</wp:posOffset>
            </wp:positionH>
            <wp:positionV relativeFrom="paragraph">
              <wp:posOffset>78740</wp:posOffset>
            </wp:positionV>
            <wp:extent cx="686562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5620" cy="336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154305</wp:posOffset>
            </wp:positionV>
            <wp:extent cx="6865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7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137795</wp:posOffset>
            </wp:positionV>
            <wp:extent cx="1447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8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FORM S-1</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REGISTRATION STATEMENT</w:t>
      </w:r>
    </w:p>
    <w:p>
      <w:pPr>
        <w:jc w:val="center"/>
        <w:ind w:right="-219"/>
        <w:spacing w:after="0" w:line="218" w:lineRule="auto"/>
        <w:rPr>
          <w:sz w:val="20"/>
          <w:szCs w:val="20"/>
          <w:color w:val="auto"/>
        </w:rPr>
      </w:pPr>
      <w:r>
        <w:rPr>
          <w:rFonts w:ascii="Times New Roman" w:cs="Times New Roman" w:eastAsia="Times New Roman" w:hAnsi="Times New Roman"/>
          <w:sz w:val="14"/>
          <w:szCs w:val="14"/>
          <w:b w:val="1"/>
          <w:bCs w:val="1"/>
          <w:color w:val="auto"/>
        </w:rPr>
        <w:t>UNDER</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137795</wp:posOffset>
            </wp:positionV>
            <wp:extent cx="1447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8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CG ONCOLOGY, INC.</w:t>
      </w:r>
    </w:p>
    <w:p>
      <w:pPr>
        <w:spacing w:after="0" w:line="2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146050</wp:posOffset>
            </wp:positionV>
            <wp:extent cx="1447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331"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700" w:type="dxa"/>
            <w:vAlign w:val="bottom"/>
          </w:tcPr>
          <w:p>
            <w:pPr>
              <w:jc w:val="center"/>
              <w:ind w:right="92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2836</w:t>
            </w:r>
          </w:p>
        </w:tc>
        <w:tc>
          <w:tcPr>
            <w:tcW w:w="2180" w:type="dxa"/>
            <w:vAlign w:val="bottom"/>
          </w:tcPr>
          <w:p>
            <w:pPr>
              <w:jc w:val="center"/>
              <w:ind w:left="1069"/>
              <w:spacing w:after="0"/>
              <w:rPr>
                <w:sz w:val="20"/>
                <w:szCs w:val="20"/>
                <w:color w:val="auto"/>
              </w:rPr>
            </w:pPr>
            <w:r>
              <w:rPr>
                <w:rFonts w:ascii="Times New Roman" w:cs="Times New Roman" w:eastAsia="Times New Roman" w:hAnsi="Times New Roman"/>
                <w:sz w:val="14"/>
                <w:szCs w:val="14"/>
                <w:b w:val="1"/>
                <w:bCs w:val="1"/>
                <w:color w:val="auto"/>
              </w:rPr>
              <w:t>37-1611499</w:t>
            </w:r>
          </w:p>
        </w:tc>
      </w:tr>
      <w:tr>
        <w:trPr>
          <w:trHeight w:val="146"/>
        </w:trPr>
        <w:tc>
          <w:tcPr>
            <w:tcW w:w="2700" w:type="dxa"/>
            <w:vAlign w:val="bottom"/>
          </w:tcPr>
          <w:p>
            <w:pPr>
              <w:jc w:val="center"/>
              <w:ind w:right="949"/>
              <w:spacing w:after="0" w:line="146"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78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color w:val="auto"/>
              </w:rPr>
              <w:t>(Primary Standard Industrial</w:t>
            </w:r>
          </w:p>
        </w:tc>
        <w:tc>
          <w:tcPr>
            <w:tcW w:w="2180" w:type="dxa"/>
            <w:vAlign w:val="bottom"/>
          </w:tcPr>
          <w:p>
            <w:pPr>
              <w:jc w:val="center"/>
              <w:ind w:left="1069"/>
              <w:spacing w:after="0" w:line="146" w:lineRule="exact"/>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2700" w:type="dxa"/>
            <w:vAlign w:val="bottom"/>
          </w:tcPr>
          <w:p>
            <w:pPr>
              <w:jc w:val="center"/>
              <w:ind w:right="92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7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2180" w:type="dxa"/>
            <w:vAlign w:val="bottom"/>
          </w:tcPr>
          <w:p>
            <w:pPr>
              <w:jc w:val="center"/>
              <w:ind w:left="1069"/>
              <w:spacing w:after="0"/>
              <w:rPr>
                <w:sz w:val="20"/>
                <w:szCs w:val="20"/>
                <w:color w:val="auto"/>
              </w:rPr>
            </w:pPr>
            <w:r>
              <w:rPr>
                <w:rFonts w:ascii="Times New Roman" w:cs="Times New Roman" w:eastAsia="Times New Roman" w:hAnsi="Times New Roman"/>
                <w:sz w:val="14"/>
                <w:szCs w:val="14"/>
                <w:color w:val="auto"/>
                <w:w w:val="99"/>
              </w:rPr>
              <w:t>Identification No.)</w:t>
            </w:r>
          </w:p>
        </w:tc>
      </w:tr>
    </w:tbl>
    <w:p>
      <w:pPr>
        <w:spacing w:after="0" w:line="7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400 Spectrum Center Drive, Suite 2040</w:t>
      </w:r>
    </w:p>
    <w:p>
      <w:pPr>
        <w:jc w:val="center"/>
        <w:ind w:right="-219"/>
        <w:spacing w:after="0" w:line="221" w:lineRule="auto"/>
        <w:rPr>
          <w:sz w:val="20"/>
          <w:szCs w:val="20"/>
          <w:color w:val="auto"/>
        </w:rPr>
      </w:pPr>
      <w:r>
        <w:rPr>
          <w:rFonts w:ascii="Times New Roman" w:cs="Times New Roman" w:eastAsia="Times New Roman" w:hAnsi="Times New Roman"/>
          <w:sz w:val="14"/>
          <w:szCs w:val="14"/>
          <w:b w:val="1"/>
          <w:bCs w:val="1"/>
          <w:color w:val="auto"/>
        </w:rPr>
        <w:t>Irvine, CA 92618</w:t>
      </w:r>
    </w:p>
    <w:p>
      <w:pPr>
        <w:jc w:val="center"/>
        <w:ind w:right="-219"/>
        <w:spacing w:after="0" w:line="217" w:lineRule="auto"/>
        <w:rPr>
          <w:sz w:val="20"/>
          <w:szCs w:val="20"/>
          <w:color w:val="auto"/>
        </w:rPr>
      </w:pPr>
      <w:r>
        <w:rPr>
          <w:rFonts w:ascii="Times New Roman" w:cs="Times New Roman" w:eastAsia="Times New Roman" w:hAnsi="Times New Roman"/>
          <w:sz w:val="14"/>
          <w:szCs w:val="14"/>
          <w:b w:val="1"/>
          <w:bCs w:val="1"/>
          <w:color w:val="auto"/>
        </w:rPr>
        <w:t>(949) 409-3700</w:t>
      </w:r>
    </w:p>
    <w:p>
      <w:pPr>
        <w:jc w:val="center"/>
        <w:ind w:right="-21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146050</wp:posOffset>
            </wp:positionV>
            <wp:extent cx="1447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3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Arthur Kuan</w:t>
      </w:r>
    </w:p>
    <w:p>
      <w:pPr>
        <w:jc w:val="center"/>
        <w:ind w:right="-219"/>
        <w:spacing w:after="0" w:line="221"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219"/>
        <w:spacing w:after="0" w:line="217" w:lineRule="auto"/>
        <w:rPr>
          <w:sz w:val="20"/>
          <w:szCs w:val="20"/>
          <w:color w:val="auto"/>
        </w:rPr>
      </w:pPr>
      <w:r>
        <w:rPr>
          <w:rFonts w:ascii="Times New Roman" w:cs="Times New Roman" w:eastAsia="Times New Roman" w:hAnsi="Times New Roman"/>
          <w:sz w:val="14"/>
          <w:szCs w:val="14"/>
          <w:b w:val="1"/>
          <w:bCs w:val="1"/>
          <w:color w:val="auto"/>
        </w:rPr>
        <w:t>400 Spectrum Center Drive, Suite 2040</w:t>
      </w:r>
    </w:p>
    <w:p>
      <w:pPr>
        <w:jc w:val="center"/>
        <w:ind w:right="-219"/>
        <w:spacing w:after="0" w:line="217" w:lineRule="auto"/>
        <w:rPr>
          <w:sz w:val="20"/>
          <w:szCs w:val="20"/>
          <w:color w:val="auto"/>
        </w:rPr>
      </w:pPr>
      <w:r>
        <w:rPr>
          <w:rFonts w:ascii="Times New Roman" w:cs="Times New Roman" w:eastAsia="Times New Roman" w:hAnsi="Times New Roman"/>
          <w:sz w:val="14"/>
          <w:szCs w:val="14"/>
          <w:b w:val="1"/>
          <w:bCs w:val="1"/>
          <w:color w:val="auto"/>
        </w:rPr>
        <w:t>Irvine, CA 92618</w:t>
      </w:r>
    </w:p>
    <w:p>
      <w:pPr>
        <w:jc w:val="center"/>
        <w:ind w:right="-219"/>
        <w:spacing w:after="0" w:line="218" w:lineRule="auto"/>
        <w:rPr>
          <w:sz w:val="20"/>
          <w:szCs w:val="20"/>
          <w:color w:val="auto"/>
        </w:rPr>
      </w:pPr>
      <w:r>
        <w:rPr>
          <w:rFonts w:ascii="Times New Roman" w:cs="Times New Roman" w:eastAsia="Times New Roman" w:hAnsi="Times New Roman"/>
          <w:sz w:val="14"/>
          <w:szCs w:val="14"/>
          <w:b w:val="1"/>
          <w:bCs w:val="1"/>
          <w:color w:val="auto"/>
        </w:rPr>
        <w:t>(949) 409-3700</w:t>
      </w:r>
    </w:p>
    <w:p>
      <w:pPr>
        <w:jc w:val="center"/>
        <w:ind w:right="-21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137795</wp:posOffset>
            </wp:positionV>
            <wp:extent cx="1447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91" w:lineRule="exact"/>
        <w:rPr>
          <w:sz w:val="24"/>
          <w:szCs w:val="24"/>
          <w:color w:val="auto"/>
        </w:rPr>
      </w:pPr>
    </w:p>
    <w:tbl>
      <w:tblPr>
        <w:tblLayout w:type="fixed"/>
        <w:tblInd w:w="220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4740" w:type="dxa"/>
            <w:vAlign w:val="bottom"/>
          </w:tcPr>
          <w:p>
            <w:pPr>
              <w:ind w:left="840"/>
              <w:spacing w:after="0"/>
              <w:rPr>
                <w:sz w:val="20"/>
                <w:szCs w:val="20"/>
                <w:color w:val="auto"/>
              </w:rPr>
            </w:pPr>
            <w:r>
              <w:rPr>
                <w:rFonts w:ascii="Times New Roman" w:cs="Times New Roman" w:eastAsia="Times New Roman" w:hAnsi="Times New Roman"/>
                <w:sz w:val="14"/>
                <w:szCs w:val="14"/>
                <w:i w:val="1"/>
                <w:iCs w:val="1"/>
                <w:color w:val="auto"/>
              </w:rPr>
              <w:t>Copies to:</w:t>
            </w:r>
          </w:p>
        </w:tc>
      </w:tr>
      <w:tr>
        <w:trPr>
          <w:trHeight w:val="225"/>
        </w:trPr>
        <w:tc>
          <w:tcPr>
            <w:tcW w:w="2300" w:type="dxa"/>
            <w:vAlign w:val="bottom"/>
          </w:tcPr>
          <w:p>
            <w:pPr>
              <w:jc w:val="center"/>
              <w:ind w:right="729"/>
              <w:spacing w:after="0"/>
              <w:rPr>
                <w:sz w:val="20"/>
                <w:szCs w:val="20"/>
                <w:color w:val="auto"/>
              </w:rPr>
            </w:pPr>
            <w:r>
              <w:rPr>
                <w:rFonts w:ascii="Times New Roman" w:cs="Times New Roman" w:eastAsia="Times New Roman" w:hAnsi="Times New Roman"/>
                <w:sz w:val="14"/>
                <w:szCs w:val="14"/>
                <w:b w:val="1"/>
                <w:bCs w:val="1"/>
                <w:color w:val="auto"/>
              </w:rPr>
              <w:t>Cheston J. Larson</w:t>
            </w:r>
          </w:p>
        </w:tc>
        <w:tc>
          <w:tcPr>
            <w:tcW w:w="4740" w:type="dxa"/>
            <w:vAlign w:val="bottom"/>
          </w:tcPr>
          <w:p>
            <w:pPr>
              <w:jc w:val="center"/>
              <w:ind w:left="2989"/>
              <w:spacing w:after="0"/>
              <w:rPr>
                <w:sz w:val="20"/>
                <w:szCs w:val="20"/>
                <w:color w:val="auto"/>
              </w:rPr>
            </w:pPr>
            <w:r>
              <w:rPr>
                <w:rFonts w:ascii="Times New Roman" w:cs="Times New Roman" w:eastAsia="Times New Roman" w:hAnsi="Times New Roman"/>
                <w:sz w:val="14"/>
                <w:szCs w:val="14"/>
                <w:b w:val="1"/>
                <w:bCs w:val="1"/>
                <w:color w:val="auto"/>
              </w:rPr>
              <w:t>Charles S. Kim</w:t>
            </w:r>
          </w:p>
        </w:tc>
      </w:tr>
      <w:tr>
        <w:trPr>
          <w:trHeight w:val="146"/>
        </w:trPr>
        <w:tc>
          <w:tcPr>
            <w:tcW w:w="2300" w:type="dxa"/>
            <w:vAlign w:val="bottom"/>
          </w:tcPr>
          <w:p>
            <w:pPr>
              <w:jc w:val="center"/>
              <w:ind w:right="749"/>
              <w:spacing w:after="0" w:line="146" w:lineRule="exact"/>
              <w:rPr>
                <w:sz w:val="20"/>
                <w:szCs w:val="20"/>
                <w:color w:val="auto"/>
              </w:rPr>
            </w:pPr>
            <w:r>
              <w:rPr>
                <w:rFonts w:ascii="Times New Roman" w:cs="Times New Roman" w:eastAsia="Times New Roman" w:hAnsi="Times New Roman"/>
                <w:sz w:val="14"/>
                <w:szCs w:val="14"/>
                <w:b w:val="1"/>
                <w:bCs w:val="1"/>
                <w:color w:val="auto"/>
              </w:rPr>
              <w:t>Matthew T. Bush</w:t>
            </w:r>
          </w:p>
        </w:tc>
        <w:tc>
          <w:tcPr>
            <w:tcW w:w="4740" w:type="dxa"/>
            <w:vAlign w:val="bottom"/>
          </w:tcPr>
          <w:p>
            <w:pPr>
              <w:jc w:val="center"/>
              <w:ind w:left="3009"/>
              <w:spacing w:after="0" w:line="146" w:lineRule="exact"/>
              <w:rPr>
                <w:sz w:val="20"/>
                <w:szCs w:val="20"/>
                <w:color w:val="auto"/>
              </w:rPr>
            </w:pPr>
            <w:r>
              <w:rPr>
                <w:rFonts w:ascii="Times New Roman" w:cs="Times New Roman" w:eastAsia="Times New Roman" w:hAnsi="Times New Roman"/>
                <w:sz w:val="14"/>
                <w:szCs w:val="14"/>
                <w:b w:val="1"/>
                <w:bCs w:val="1"/>
                <w:color w:val="auto"/>
                <w:w w:val="98"/>
              </w:rPr>
              <w:t>Denny Won</w:t>
            </w:r>
          </w:p>
        </w:tc>
      </w:tr>
      <w:tr>
        <w:trPr>
          <w:trHeight w:val="146"/>
        </w:trPr>
        <w:tc>
          <w:tcPr>
            <w:tcW w:w="2300" w:type="dxa"/>
            <w:vAlign w:val="bottom"/>
          </w:tcPr>
          <w:p>
            <w:pPr>
              <w:jc w:val="center"/>
              <w:ind w:right="729"/>
              <w:spacing w:after="0" w:line="146" w:lineRule="exact"/>
              <w:rPr>
                <w:sz w:val="20"/>
                <w:szCs w:val="20"/>
                <w:color w:val="auto"/>
              </w:rPr>
            </w:pPr>
            <w:r>
              <w:rPr>
                <w:rFonts w:ascii="Times New Roman" w:cs="Times New Roman" w:eastAsia="Times New Roman" w:hAnsi="Times New Roman"/>
                <w:sz w:val="14"/>
                <w:szCs w:val="14"/>
                <w:b w:val="1"/>
                <w:bCs w:val="1"/>
                <w:color w:val="auto"/>
              </w:rPr>
              <w:t>Anthony Gostanian</w:t>
            </w:r>
          </w:p>
        </w:tc>
        <w:tc>
          <w:tcPr>
            <w:tcW w:w="4740" w:type="dxa"/>
            <w:vAlign w:val="bottom"/>
          </w:tcPr>
          <w:p>
            <w:pPr>
              <w:jc w:val="center"/>
              <w:ind w:left="2989"/>
              <w:spacing w:after="0" w:line="146" w:lineRule="exact"/>
              <w:rPr>
                <w:sz w:val="20"/>
                <w:szCs w:val="20"/>
                <w:color w:val="auto"/>
              </w:rPr>
            </w:pPr>
            <w:r>
              <w:rPr>
                <w:rFonts w:ascii="Times New Roman" w:cs="Times New Roman" w:eastAsia="Times New Roman" w:hAnsi="Times New Roman"/>
                <w:sz w:val="14"/>
                <w:szCs w:val="14"/>
                <w:b w:val="1"/>
                <w:bCs w:val="1"/>
                <w:color w:val="auto"/>
                <w:w w:val="99"/>
              </w:rPr>
              <w:t>Kristin VanderPas</w:t>
            </w:r>
          </w:p>
        </w:tc>
      </w:tr>
      <w:tr>
        <w:trPr>
          <w:trHeight w:val="146"/>
        </w:trPr>
        <w:tc>
          <w:tcPr>
            <w:tcW w:w="2300" w:type="dxa"/>
            <w:vAlign w:val="bottom"/>
          </w:tcPr>
          <w:p>
            <w:pPr>
              <w:jc w:val="center"/>
              <w:ind w:right="749"/>
              <w:spacing w:after="0" w:line="146" w:lineRule="exact"/>
              <w:rPr>
                <w:sz w:val="20"/>
                <w:szCs w:val="20"/>
                <w:color w:val="auto"/>
              </w:rPr>
            </w:pPr>
            <w:r>
              <w:rPr>
                <w:rFonts w:ascii="Times New Roman" w:cs="Times New Roman" w:eastAsia="Times New Roman" w:hAnsi="Times New Roman"/>
                <w:sz w:val="14"/>
                <w:szCs w:val="14"/>
                <w:b w:val="1"/>
                <w:bCs w:val="1"/>
                <w:color w:val="auto"/>
              </w:rPr>
              <w:t>Latham &amp; Watkins LLP</w:t>
            </w:r>
          </w:p>
        </w:tc>
        <w:tc>
          <w:tcPr>
            <w:tcW w:w="4740" w:type="dxa"/>
            <w:vAlign w:val="bottom"/>
          </w:tcPr>
          <w:p>
            <w:pPr>
              <w:jc w:val="center"/>
              <w:ind w:left="3009"/>
              <w:spacing w:after="0" w:line="146" w:lineRule="exact"/>
              <w:rPr>
                <w:sz w:val="20"/>
                <w:szCs w:val="20"/>
                <w:color w:val="auto"/>
              </w:rPr>
            </w:pPr>
            <w:r>
              <w:rPr>
                <w:rFonts w:ascii="Times New Roman" w:cs="Times New Roman" w:eastAsia="Times New Roman" w:hAnsi="Times New Roman"/>
                <w:sz w:val="14"/>
                <w:szCs w:val="14"/>
                <w:b w:val="1"/>
                <w:bCs w:val="1"/>
                <w:color w:val="auto"/>
              </w:rPr>
              <w:t>Dave Peinsipp</w:t>
            </w:r>
          </w:p>
        </w:tc>
      </w:tr>
      <w:tr>
        <w:trPr>
          <w:trHeight w:val="146"/>
        </w:trPr>
        <w:tc>
          <w:tcPr>
            <w:tcW w:w="2300" w:type="dxa"/>
            <w:vAlign w:val="bottom"/>
          </w:tcPr>
          <w:p>
            <w:pPr>
              <w:jc w:val="center"/>
              <w:ind w:right="749"/>
              <w:spacing w:after="0" w:line="146" w:lineRule="exact"/>
              <w:rPr>
                <w:sz w:val="20"/>
                <w:szCs w:val="20"/>
                <w:color w:val="auto"/>
              </w:rPr>
            </w:pPr>
            <w:r>
              <w:rPr>
                <w:rFonts w:ascii="Times New Roman" w:cs="Times New Roman" w:eastAsia="Times New Roman" w:hAnsi="Times New Roman"/>
                <w:sz w:val="14"/>
                <w:szCs w:val="14"/>
                <w:b w:val="1"/>
                <w:bCs w:val="1"/>
                <w:color w:val="auto"/>
              </w:rPr>
              <w:t>12670 High Bluff Drive</w:t>
            </w:r>
          </w:p>
        </w:tc>
        <w:tc>
          <w:tcPr>
            <w:tcW w:w="4740" w:type="dxa"/>
            <w:vAlign w:val="bottom"/>
          </w:tcPr>
          <w:p>
            <w:pPr>
              <w:jc w:val="center"/>
              <w:ind w:left="2989"/>
              <w:spacing w:after="0" w:line="146" w:lineRule="exact"/>
              <w:rPr>
                <w:sz w:val="20"/>
                <w:szCs w:val="20"/>
                <w:color w:val="auto"/>
              </w:rPr>
            </w:pPr>
            <w:r>
              <w:rPr>
                <w:rFonts w:ascii="Times New Roman" w:cs="Times New Roman" w:eastAsia="Times New Roman" w:hAnsi="Times New Roman"/>
                <w:sz w:val="14"/>
                <w:szCs w:val="14"/>
                <w:b w:val="1"/>
                <w:bCs w:val="1"/>
                <w:color w:val="auto"/>
              </w:rPr>
              <w:t>Cooley LLP</w:t>
            </w:r>
          </w:p>
        </w:tc>
      </w:tr>
      <w:tr>
        <w:trPr>
          <w:trHeight w:val="146"/>
        </w:trPr>
        <w:tc>
          <w:tcPr>
            <w:tcW w:w="2300" w:type="dxa"/>
            <w:vAlign w:val="bottom"/>
          </w:tcPr>
          <w:p>
            <w:pPr>
              <w:jc w:val="center"/>
              <w:ind w:right="729"/>
              <w:spacing w:after="0" w:line="146" w:lineRule="exact"/>
              <w:rPr>
                <w:sz w:val="20"/>
                <w:szCs w:val="20"/>
                <w:color w:val="auto"/>
              </w:rPr>
            </w:pPr>
            <w:r>
              <w:rPr>
                <w:rFonts w:ascii="Times New Roman" w:cs="Times New Roman" w:eastAsia="Times New Roman" w:hAnsi="Times New Roman"/>
                <w:sz w:val="14"/>
                <w:szCs w:val="14"/>
                <w:b w:val="1"/>
                <w:bCs w:val="1"/>
                <w:color w:val="auto"/>
                <w:w w:val="99"/>
              </w:rPr>
              <w:t>San Diego, CA 92130</w:t>
            </w:r>
          </w:p>
        </w:tc>
        <w:tc>
          <w:tcPr>
            <w:tcW w:w="4740" w:type="dxa"/>
            <w:vAlign w:val="bottom"/>
          </w:tcPr>
          <w:p>
            <w:pPr>
              <w:jc w:val="center"/>
              <w:ind w:left="3009"/>
              <w:spacing w:after="0" w:line="146" w:lineRule="exact"/>
              <w:rPr>
                <w:sz w:val="20"/>
                <w:szCs w:val="20"/>
                <w:color w:val="auto"/>
              </w:rPr>
            </w:pPr>
            <w:r>
              <w:rPr>
                <w:rFonts w:ascii="Times New Roman" w:cs="Times New Roman" w:eastAsia="Times New Roman" w:hAnsi="Times New Roman"/>
                <w:sz w:val="14"/>
                <w:szCs w:val="14"/>
                <w:b w:val="1"/>
                <w:bCs w:val="1"/>
                <w:color w:val="auto"/>
              </w:rPr>
              <w:t>10265 Science Center Drive</w:t>
            </w:r>
          </w:p>
        </w:tc>
      </w:tr>
      <w:tr>
        <w:trPr>
          <w:trHeight w:val="146"/>
        </w:trPr>
        <w:tc>
          <w:tcPr>
            <w:tcW w:w="2300" w:type="dxa"/>
            <w:vAlign w:val="bottom"/>
          </w:tcPr>
          <w:p>
            <w:pPr>
              <w:jc w:val="center"/>
              <w:ind w:right="749"/>
              <w:spacing w:after="0" w:line="146" w:lineRule="exact"/>
              <w:rPr>
                <w:sz w:val="20"/>
                <w:szCs w:val="20"/>
                <w:color w:val="auto"/>
              </w:rPr>
            </w:pPr>
            <w:r>
              <w:rPr>
                <w:rFonts w:ascii="Times New Roman" w:cs="Times New Roman" w:eastAsia="Times New Roman" w:hAnsi="Times New Roman"/>
                <w:sz w:val="14"/>
                <w:szCs w:val="14"/>
                <w:b w:val="1"/>
                <w:bCs w:val="1"/>
                <w:color w:val="auto"/>
              </w:rPr>
              <w:t>(858) 523-5400</w:t>
            </w:r>
          </w:p>
        </w:tc>
        <w:tc>
          <w:tcPr>
            <w:tcW w:w="4740" w:type="dxa"/>
            <w:vAlign w:val="bottom"/>
          </w:tcPr>
          <w:p>
            <w:pPr>
              <w:jc w:val="center"/>
              <w:ind w:left="3009"/>
              <w:spacing w:after="0" w:line="146" w:lineRule="exact"/>
              <w:rPr>
                <w:sz w:val="20"/>
                <w:szCs w:val="20"/>
                <w:color w:val="auto"/>
              </w:rPr>
            </w:pPr>
            <w:r>
              <w:rPr>
                <w:rFonts w:ascii="Times New Roman" w:cs="Times New Roman" w:eastAsia="Times New Roman" w:hAnsi="Times New Roman"/>
                <w:sz w:val="14"/>
                <w:szCs w:val="14"/>
                <w:b w:val="1"/>
                <w:bCs w:val="1"/>
                <w:color w:val="auto"/>
                <w:w w:val="99"/>
              </w:rPr>
              <w:t>San Diego, CA 92121</w:t>
            </w:r>
          </w:p>
        </w:tc>
      </w:tr>
      <w:tr>
        <w:trPr>
          <w:trHeight w:val="186"/>
        </w:trPr>
        <w:tc>
          <w:tcPr>
            <w:tcW w:w="2300" w:type="dxa"/>
            <w:vAlign w:val="bottom"/>
          </w:tcPr>
          <w:p>
            <w:pPr>
              <w:spacing w:after="0"/>
              <w:rPr>
                <w:sz w:val="16"/>
                <w:szCs w:val="16"/>
                <w:color w:val="auto"/>
              </w:rPr>
            </w:pPr>
          </w:p>
        </w:tc>
        <w:tc>
          <w:tcPr>
            <w:tcW w:w="4740" w:type="dxa"/>
            <w:vAlign w:val="bottom"/>
          </w:tcPr>
          <w:p>
            <w:pPr>
              <w:jc w:val="center"/>
              <w:ind w:left="2989"/>
              <w:spacing w:after="0"/>
              <w:rPr>
                <w:sz w:val="20"/>
                <w:szCs w:val="20"/>
                <w:color w:val="auto"/>
              </w:rPr>
            </w:pPr>
            <w:r>
              <w:rPr>
                <w:rFonts w:ascii="Times New Roman" w:cs="Times New Roman" w:eastAsia="Times New Roman" w:hAnsi="Times New Roman"/>
                <w:sz w:val="14"/>
                <w:szCs w:val="14"/>
                <w:b w:val="1"/>
                <w:bCs w:val="1"/>
                <w:color w:val="auto"/>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141605</wp:posOffset>
            </wp:positionV>
            <wp:extent cx="1447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9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this Registration Statement is declared effective.</w:t>
      </w:r>
    </w:p>
    <w:p>
      <w:pPr>
        <w:spacing w:after="0" w:line="93" w:lineRule="exact"/>
        <w:rPr>
          <w:sz w:val="24"/>
          <w:szCs w:val="24"/>
          <w:color w:val="auto"/>
        </w:rPr>
      </w:pPr>
    </w:p>
    <w:p>
      <w:pPr>
        <w:jc w:val="both"/>
        <w:ind w:left="220" w:right="20"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left="220" w:right="20"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left="220" w:right="20"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left="220" w:right="20"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p>
      <w:pPr>
        <w:ind w:left="220"/>
        <w:spacing w:after="0" w:line="161" w:lineRule="exact"/>
        <w:tabs>
          <w:tab w:leader="none" w:pos="2800" w:val="left"/>
          <w:tab w:leader="none" w:pos="5620" w:val="left"/>
          <w:tab w:leader="none" w:pos="84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117" w:lineRule="exact"/>
        <w:rPr>
          <w:sz w:val="24"/>
          <w:szCs w:val="24"/>
          <w:color w:val="auto"/>
        </w:rPr>
      </w:pPr>
    </w:p>
    <w:p>
      <w:pPr>
        <w:ind w:left="2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5" w:lineRule="exact"/>
        <w:rPr>
          <w:sz w:val="24"/>
          <w:szCs w:val="24"/>
          <w:color w:val="auto"/>
        </w:rPr>
      </w:pPr>
    </w:p>
    <w:p>
      <w:pPr>
        <w:jc w:val="both"/>
        <w:ind w:left="220"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137160</wp:posOffset>
            </wp:positionV>
            <wp:extent cx="1447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90" w:lineRule="exact"/>
        <w:rPr>
          <w:sz w:val="24"/>
          <w:szCs w:val="24"/>
          <w:color w:val="auto"/>
        </w:rPr>
      </w:pPr>
    </w:p>
    <w:p>
      <w:pPr>
        <w:jc w:val="both"/>
        <w:ind w:left="220"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138430</wp:posOffset>
            </wp:positionH>
            <wp:positionV relativeFrom="paragraph">
              <wp:posOffset>24130</wp:posOffset>
            </wp:positionV>
            <wp:extent cx="6865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5620"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91440</wp:posOffset>
            </wp:positionV>
            <wp:extent cx="686562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65620" cy="33655"/>
                    </a:xfrm>
                    <a:prstGeom prst="rect">
                      <a:avLst/>
                    </a:prstGeom>
                    <a:noFill/>
                  </pic:spPr>
                </pic:pic>
              </a:graphicData>
            </a:graphic>
          </wp:anchor>
        </w:drawing>
      </w:r>
    </w:p>
    <w:p>
      <w:pPr>
        <w:sectPr>
          <w:pgSz w:w="11900" w:h="16838" w:orient="portrait"/>
          <w:cols w:equalWidth="0" w:num="1">
            <w:col w:w="11040"/>
          </w:cols>
          <w:pgMar w:left="320" w:top="226"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5" w:lineRule="exact"/>
        <w:rPr>
          <w:sz w:val="20"/>
          <w:szCs w:val="20"/>
          <w:color w:val="auto"/>
        </w:rPr>
      </w:pPr>
    </w:p>
    <w:p>
      <w:pPr>
        <w:jc w:val="both"/>
        <w:ind w:left="220" w:right="20"/>
        <w:spacing w:after="0" w:line="239" w:lineRule="auto"/>
        <w:rPr>
          <w:sz w:val="20"/>
          <w:szCs w:val="20"/>
          <w:color w:val="auto"/>
        </w:rPr>
      </w:pPr>
      <w:r>
        <w:rPr>
          <w:rFonts w:ascii="Times New Roman" w:cs="Times New Roman" w:eastAsia="Times New Roman" w:hAnsi="Times New Roman"/>
          <w:sz w:val="15"/>
          <w:szCs w:val="15"/>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99"/>
        <w:spacing w:after="0"/>
        <w:tabs>
          <w:tab w:leader="none" w:pos="160" w:val="left"/>
        </w:tabs>
        <w:rPr>
          <w:sz w:val="20"/>
          <w:szCs w:val="20"/>
          <w:color w:val="auto"/>
        </w:rPr>
      </w:pPr>
      <w:r>
        <w:rPr>
          <w:rFonts w:ascii="Times New Roman" w:cs="Times New Roman" w:eastAsia="Times New Roman" w:hAnsi="Times New Roman"/>
          <w:sz w:val="18"/>
          <w:szCs w:val="18"/>
          <w:b w:val="1"/>
          <w:bCs w:val="1"/>
          <w:color w:val="CC062A"/>
        </w:rPr>
        <w:t xml:space="preserve">SUBJECT TO COMPLETION, DATED          </w:t>
      </w:r>
      <w:r>
        <w:rPr>
          <w:sz w:val="20"/>
          <w:szCs w:val="20"/>
          <w:color w:val="auto"/>
        </w:rPr>
        <w:tab/>
      </w:r>
      <w:r>
        <w:rPr>
          <w:rFonts w:ascii="Times New Roman" w:cs="Times New Roman" w:eastAsia="Times New Roman" w:hAnsi="Times New Roman"/>
          <w:sz w:val="17"/>
          <w:szCs w:val="17"/>
          <w:b w:val="1"/>
          <w:bCs w:val="1"/>
          <w:color w:val="CC062A"/>
        </w:rPr>
        <w:t>, 2023</w:t>
      </w:r>
    </w:p>
    <w:p>
      <w:pPr>
        <w:spacing w:after="0" w:line="190" w:lineRule="exact"/>
        <w:rPr>
          <w:sz w:val="20"/>
          <w:szCs w:val="20"/>
          <w:color w:val="auto"/>
        </w:rPr>
      </w:pPr>
    </w:p>
    <w:p>
      <w:pPr>
        <w:jc w:val="center"/>
        <w:ind w:right="-219"/>
        <w:spacing w:after="0"/>
        <w:tabs>
          <w:tab w:leader="none" w:pos="300" w:val="left"/>
        </w:tabs>
        <w:rPr>
          <w:sz w:val="20"/>
          <w:szCs w:val="20"/>
          <w:color w:val="auto"/>
        </w:rPr>
      </w:pPr>
      <w:r>
        <w:rPr>
          <w:rFonts w:ascii="Times New Roman" w:cs="Times New Roman" w:eastAsia="Times New Roman" w:hAnsi="Times New Roman"/>
          <w:sz w:val="32"/>
          <w:szCs w:val="32"/>
          <w:b w:val="1"/>
          <w:bCs w:val="1"/>
          <w:color w:val="auto"/>
        </w:rPr>
        <w:t xml:space="preserve">                </w:t>
      </w:r>
      <w:r>
        <w:rPr>
          <w:sz w:val="20"/>
          <w:szCs w:val="20"/>
          <w:color w:val="auto"/>
        </w:rPr>
        <w:tab/>
      </w:r>
      <w:r>
        <w:rPr>
          <w:rFonts w:ascii="Times New Roman" w:cs="Times New Roman" w:eastAsia="Times New Roman" w:hAnsi="Times New Roman"/>
          <w:sz w:val="31"/>
          <w:szCs w:val="3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174625</wp:posOffset>
            </wp:positionV>
            <wp:extent cx="2684145" cy="521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4145" cy="52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247015</wp:posOffset>
            </wp:positionV>
            <wp:extent cx="1447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This is an initial public offering of shares of common stock of CG Oncology, Inc.</w:t>
      </w:r>
    </w:p>
    <w:p>
      <w:pPr>
        <w:spacing w:after="0" w:line="217" w:lineRule="exact"/>
        <w:rPr>
          <w:sz w:val="20"/>
          <w:szCs w:val="20"/>
          <w:color w:val="auto"/>
        </w:rPr>
      </w:pPr>
    </w:p>
    <w:p>
      <w:pPr>
        <w:jc w:val="both"/>
        <w:ind w:left="220" w:right="20"/>
        <w:spacing w:after="0" w:line="259" w:lineRule="auto"/>
        <w:rPr>
          <w:sz w:val="20"/>
          <w:szCs w:val="20"/>
          <w:color w:val="auto"/>
        </w:rPr>
      </w:pPr>
      <w:r>
        <w:rPr>
          <w:rFonts w:ascii="Times New Roman" w:cs="Times New Roman" w:eastAsia="Times New Roman" w:hAnsi="Times New Roman"/>
          <w:sz w:val="18"/>
          <w:szCs w:val="18"/>
          <w:color w:val="auto"/>
        </w:rPr>
        <w:t>We are offering        shares of our common stock. Prior to this offering, there has been no public market for our common stock. We anticipate that the initial public offering price will be between $      and $      per share. We have applied to list our common stock on the Nasdaq Global Market (Nasdaq) under the symbol “CGON,” and this offering is contingent upon obtaining approval of such listing.</w:t>
      </w:r>
    </w:p>
    <w:p>
      <w:pPr>
        <w:spacing w:after="0" w:line="178" w:lineRule="exact"/>
        <w:rPr>
          <w:sz w:val="20"/>
          <w:szCs w:val="20"/>
          <w:color w:val="auto"/>
        </w:rPr>
      </w:pPr>
    </w:p>
    <w:p>
      <w:pPr>
        <w:jc w:val="both"/>
        <w:ind w:left="220" w:right="20"/>
        <w:spacing w:after="0" w:line="274"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the federal securities laws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199390</wp:posOffset>
            </wp:positionV>
            <wp:extent cx="1447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the section 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13.</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w:t>
            </w:r>
          </w:p>
        </w:tc>
        <w:tc>
          <w:tcPr>
            <w:tcW w:w="1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0"/>
        </w:trPr>
        <w:tc>
          <w:tcPr>
            <w:tcW w:w="87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7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70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740" w:type="dxa"/>
            <w:vAlign w:val="bottom"/>
          </w:tcPr>
          <w:p>
            <w:pPr>
              <w:spacing w:after="0" w:line="212"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4"/>
                <w:szCs w:val="24"/>
                <w:color w:val="auto"/>
                <w:vertAlign w:val="superscript"/>
              </w:rPr>
              <w:t>(1)</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92710</wp:posOffset>
            </wp:positionV>
            <wp:extent cx="7569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43" w:lineRule="exact"/>
        <w:rPr>
          <w:sz w:val="20"/>
          <w:szCs w:val="20"/>
          <w:color w:val="auto"/>
        </w:rPr>
      </w:pPr>
    </w:p>
    <w:p>
      <w:pPr>
        <w:ind w:left="640" w:hanging="422"/>
        <w:spacing w:after="0"/>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“Underwriting” for additional disclosure regarding the estimated underwriting discounts and commissions and estimated offering expenses.</w:t>
      </w:r>
    </w:p>
    <w:p>
      <w:pPr>
        <w:spacing w:after="0" w:line="201" w:lineRule="exact"/>
        <w:rPr>
          <w:sz w:val="20"/>
          <w:szCs w:val="20"/>
          <w:color w:val="auto"/>
        </w:rPr>
      </w:pPr>
    </w:p>
    <w:p>
      <w:pPr>
        <w:ind w:left="220" w:right="20"/>
        <w:spacing w:after="0" w:line="274"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shares of our common stock solely to cover over-allotments, if any.</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to purchasers on             , 2023.</w:t>
      </w:r>
    </w:p>
    <w:p>
      <w:pPr>
        <w:spacing w:after="0" w:line="215" w:lineRule="exact"/>
        <w:rPr>
          <w:sz w:val="20"/>
          <w:szCs w:val="20"/>
          <w:color w:val="auto"/>
        </w:rPr>
      </w:pPr>
    </w:p>
    <w:p>
      <w:pPr>
        <w:ind w:left="220" w:right="20"/>
        <w:spacing w:after="0" w:line="27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282575</wp:posOffset>
            </wp:positionV>
            <wp:extent cx="1447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tabs>
          <w:tab w:leader="none" w:pos="4100" w:val="left"/>
          <w:tab w:leader="none" w:pos="10140" w:val="left"/>
        </w:tabs>
        <w:rPr>
          <w:sz w:val="20"/>
          <w:szCs w:val="20"/>
          <w:color w:val="auto"/>
        </w:rPr>
      </w:pPr>
      <w:r>
        <w:rPr>
          <w:rFonts w:ascii="Times New Roman" w:cs="Times New Roman" w:eastAsia="Times New Roman" w:hAnsi="Times New Roman"/>
          <w:sz w:val="28"/>
          <w:szCs w:val="28"/>
          <w:b w:val="1"/>
          <w:bCs w:val="1"/>
          <w:color w:val="auto"/>
        </w:rPr>
        <w:t>Morgan Stanley</w:t>
      </w:r>
      <w:r>
        <w:rPr>
          <w:sz w:val="20"/>
          <w:szCs w:val="20"/>
          <w:color w:val="auto"/>
        </w:rPr>
        <w:tab/>
      </w:r>
      <w:r>
        <w:rPr>
          <w:rFonts w:ascii="Times New Roman" w:cs="Times New Roman" w:eastAsia="Times New Roman" w:hAnsi="Times New Roman"/>
          <w:sz w:val="28"/>
          <w:szCs w:val="28"/>
          <w:b w:val="1"/>
          <w:bCs w:val="1"/>
          <w:color w:val="auto"/>
        </w:rPr>
        <w:t>Goldman Sachs &amp; Co. LLC</w:t>
      </w:r>
      <w:r>
        <w:rPr>
          <w:sz w:val="20"/>
          <w:szCs w:val="20"/>
          <w:color w:val="auto"/>
        </w:rPr>
        <w:tab/>
      </w:r>
      <w:r>
        <w:rPr>
          <w:rFonts w:ascii="Times New Roman" w:cs="Times New Roman" w:eastAsia="Times New Roman" w:hAnsi="Times New Roman"/>
          <w:sz w:val="28"/>
          <w:szCs w:val="28"/>
          <w:b w:val="1"/>
          <w:bCs w:val="1"/>
          <w:color w:val="auto"/>
        </w:rPr>
        <w:t>Cantor</w:t>
      </w: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LifeSci Capital</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date of this prospectus is             , 2023</w:t>
      </w:r>
    </w:p>
    <w:p>
      <w:pPr>
        <w:sectPr>
          <w:pgSz w:w="11900" w:h="16838" w:orient="portrait"/>
          <w:cols w:equalWidth="0" w:num="1">
            <w:col w:w="11040"/>
          </w:cols>
          <w:pgMar w:left="320" w:top="451"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2"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300" w:type="dxa"/>
            <w:vAlign w:val="bottom"/>
            <w:gridSpan w:val="8"/>
            <w:vMerge w:val="restart"/>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100" w:type="dxa"/>
            <w:vAlign w:val="bottom"/>
            <w:gridSpan w:val="16"/>
            <w:vMerge w:val="restart"/>
          </w:tcPr>
          <w:p>
            <w:pPr>
              <w:ind w:left="200"/>
              <w:spacing w:after="0"/>
              <w:rPr>
                <w:sz w:val="20"/>
                <w:szCs w:val="20"/>
                <w:color w:val="auto"/>
              </w:rPr>
            </w:pPr>
            <w:r>
              <w:rPr>
                <w:rFonts w:ascii="Times New Roman" w:cs="Times New Roman" w:eastAsia="Times New Roman" w:hAnsi="Times New Roman"/>
                <w:sz w:val="18"/>
                <w:szCs w:val="18"/>
                <w:color w:val="0000EE"/>
              </w:rPr>
              <w:t>Executive and Director Compensation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6"/>
        </w:trPr>
        <w:tc>
          <w:tcPr>
            <w:tcW w:w="1500" w:type="dxa"/>
            <w:vAlign w:val="bottom"/>
            <w:gridSpan w:val="8"/>
            <w:vMerge w:val="continue"/>
          </w:tcPr>
          <w:p>
            <w:pPr>
              <w:spacing w:after="0"/>
              <w:rPr>
                <w:sz w:val="14"/>
                <w:szCs w:val="14"/>
                <w:color w:val="auto"/>
              </w:rPr>
            </w:pPr>
          </w:p>
        </w:tc>
        <w:tc>
          <w:tcPr>
            <w:tcW w:w="3300" w:type="dxa"/>
            <w:vAlign w:val="bottom"/>
            <w:gridSpan w:val="8"/>
            <w:vMerge w:val="continue"/>
          </w:tcPr>
          <w:p>
            <w:pPr>
              <w:spacing w:after="0"/>
              <w:rPr>
                <w:sz w:val="14"/>
                <w:szCs w:val="14"/>
                <w:color w:val="auto"/>
              </w:rPr>
            </w:pPr>
          </w:p>
        </w:tc>
        <w:tc>
          <w:tcPr>
            <w:tcW w:w="3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100" w:type="dxa"/>
            <w:vAlign w:val="bottom"/>
            <w:gridSpan w:val="16"/>
            <w:vMerge w:val="continue"/>
          </w:tcPr>
          <w:p>
            <w:pPr>
              <w:spacing w:after="0"/>
              <w:rPr>
                <w:sz w:val="14"/>
                <w:szCs w:val="14"/>
                <w:color w:val="auto"/>
              </w:rPr>
            </w:pPr>
          </w:p>
        </w:tc>
        <w:tc>
          <w:tcPr>
            <w:tcW w:w="3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0000EE"/>
                <w:w w:val="94"/>
              </w:rPr>
              <w:t>Risk Factors</w:t>
            </w:r>
          </w:p>
        </w:tc>
        <w:tc>
          <w:tcPr>
            <w:tcW w:w="600" w:type="dxa"/>
            <w:vAlign w:val="bottom"/>
            <w:gridSpan w:val="4"/>
          </w:tcPr>
          <w:p>
            <w:pPr>
              <w:spacing w:after="0"/>
              <w:rPr>
                <w:sz w:val="16"/>
                <w:szCs w:val="16"/>
                <w:color w:val="auto"/>
              </w:rPr>
            </w:pPr>
          </w:p>
        </w:tc>
        <w:tc>
          <w:tcPr>
            <w:tcW w:w="3300" w:type="dxa"/>
            <w:vAlign w:val="bottom"/>
            <w:gridSpan w:val="8"/>
          </w:tcPr>
          <w:p>
            <w:pPr>
              <w:spacing w:after="0"/>
              <w:rPr>
                <w:sz w:val="16"/>
                <w:szCs w:val="16"/>
                <w:color w:val="auto"/>
              </w:rPr>
            </w:pPr>
          </w:p>
        </w:tc>
        <w:tc>
          <w:tcPr>
            <w:tcW w:w="520" w:type="dxa"/>
            <w:vAlign w:val="bottom"/>
            <w:gridSpan w:val="2"/>
          </w:tcPr>
          <w:p>
            <w:pPr>
              <w:jc w:val="right"/>
              <w:ind w:right="200"/>
              <w:spacing w:after="0" w:line="192" w:lineRule="exact"/>
              <w:rPr>
                <w:sz w:val="20"/>
                <w:szCs w:val="20"/>
                <w:color w:val="auto"/>
              </w:rPr>
            </w:pPr>
            <w:r>
              <w:rPr>
                <w:rFonts w:ascii="Times New Roman" w:cs="Times New Roman" w:eastAsia="Times New Roman" w:hAnsi="Times New Roman"/>
                <w:sz w:val="18"/>
                <w:szCs w:val="18"/>
                <w:color w:val="auto"/>
              </w:rPr>
              <w:t>13</w:t>
            </w:r>
          </w:p>
        </w:tc>
        <w:tc>
          <w:tcPr>
            <w:tcW w:w="5100" w:type="dxa"/>
            <w:vAlign w:val="bottom"/>
            <w:gridSpan w:val="16"/>
          </w:tcPr>
          <w:p>
            <w:pPr>
              <w:ind w:left="200"/>
              <w:spacing w:after="0" w:line="192"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20" w:type="dxa"/>
            <w:vAlign w:val="bottom"/>
            <w:gridSpan w:val="2"/>
          </w:tcPr>
          <w:p>
            <w:pPr>
              <w:jc w:val="right"/>
              <w:ind w:right="200"/>
              <w:spacing w:after="0" w:line="192" w:lineRule="exact"/>
              <w:rPr>
                <w:sz w:val="20"/>
                <w:szCs w:val="20"/>
                <w:color w:val="auto"/>
              </w:rPr>
            </w:pPr>
            <w:r>
              <w:rPr>
                <w:rFonts w:ascii="Times New Roman" w:cs="Times New Roman" w:eastAsia="Times New Roman" w:hAnsi="Times New Roman"/>
                <w:sz w:val="18"/>
                <w:szCs w:val="18"/>
                <w:color w:val="auto"/>
              </w:rPr>
              <w:t>74</w:t>
            </w:r>
          </w:p>
        </w:tc>
        <w:tc>
          <w:tcPr>
            <w:tcW w:w="5100" w:type="dxa"/>
            <w:vAlign w:val="bottom"/>
            <w:gridSpan w:val="16"/>
          </w:tcPr>
          <w:p>
            <w:pPr>
              <w:ind w:left="200"/>
              <w:spacing w:after="0" w:line="192" w:lineRule="exact"/>
              <w:rPr>
                <w:sz w:val="20"/>
                <w:szCs w:val="20"/>
                <w:color w:val="auto"/>
              </w:rPr>
            </w:pPr>
            <w:r>
              <w:rPr>
                <w:rFonts w:ascii="Times New Roman" w:cs="Times New Roman" w:eastAsia="Times New Roman" w:hAnsi="Times New Roman"/>
                <w:sz w:val="18"/>
                <w:szCs w:val="18"/>
                <w:color w:val="0000EE"/>
              </w:rPr>
              <w:t>Principal Stockholders</w:t>
            </w:r>
          </w:p>
        </w:tc>
        <w:tc>
          <w:tcPr>
            <w:tcW w:w="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80" w:type="dxa"/>
            <w:vAlign w:val="bottom"/>
            <w:gridSpan w:val="11"/>
          </w:tcPr>
          <w:p>
            <w:pPr>
              <w:spacing w:after="0" w:line="192" w:lineRule="exact"/>
              <w:rPr>
                <w:sz w:val="20"/>
                <w:szCs w:val="20"/>
                <w:color w:val="auto"/>
              </w:rPr>
            </w:pPr>
            <w:r>
              <w:rPr>
                <w:rFonts w:ascii="Times New Roman" w:cs="Times New Roman" w:eastAsia="Times New Roman" w:hAnsi="Times New Roman"/>
                <w:sz w:val="18"/>
                <w:szCs w:val="18"/>
                <w:color w:val="0000EE"/>
              </w:rPr>
              <w:t>Market and Industry Data</w:t>
            </w:r>
          </w:p>
        </w:tc>
        <w:tc>
          <w:tcPr>
            <w:tcW w:w="8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520" w:type="dxa"/>
            <w:vAlign w:val="bottom"/>
            <w:gridSpan w:val="2"/>
          </w:tcPr>
          <w:p>
            <w:pPr>
              <w:jc w:val="right"/>
              <w:ind w:right="200"/>
              <w:spacing w:after="0" w:line="192" w:lineRule="exact"/>
              <w:rPr>
                <w:sz w:val="20"/>
                <w:szCs w:val="20"/>
                <w:color w:val="auto"/>
              </w:rPr>
            </w:pPr>
            <w:r>
              <w:rPr>
                <w:rFonts w:ascii="Times New Roman" w:cs="Times New Roman" w:eastAsia="Times New Roman" w:hAnsi="Times New Roman"/>
                <w:sz w:val="18"/>
                <w:szCs w:val="18"/>
                <w:color w:val="auto"/>
              </w:rPr>
              <w:t>75</w:t>
            </w:r>
          </w:p>
        </w:tc>
        <w:tc>
          <w:tcPr>
            <w:tcW w:w="5100" w:type="dxa"/>
            <w:vAlign w:val="bottom"/>
            <w:gridSpan w:val="16"/>
          </w:tcPr>
          <w:p>
            <w:pPr>
              <w:ind w:left="200"/>
              <w:spacing w:after="0" w:line="19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Use of Proceeds</w:t>
            </w:r>
          </w:p>
        </w:tc>
        <w:tc>
          <w:tcPr>
            <w:tcW w:w="2980" w:type="dxa"/>
            <w:vAlign w:val="bottom"/>
            <w:gridSpan w:val="7"/>
          </w:tcPr>
          <w:p>
            <w:pPr>
              <w:spacing w:after="0"/>
              <w:rPr>
                <w:sz w:val="16"/>
                <w:szCs w:val="16"/>
                <w:color w:val="auto"/>
              </w:rPr>
            </w:pPr>
          </w:p>
        </w:tc>
        <w:tc>
          <w:tcPr>
            <w:tcW w:w="520" w:type="dxa"/>
            <w:vAlign w:val="bottom"/>
            <w:gridSpan w:val="2"/>
          </w:tcPr>
          <w:p>
            <w:pPr>
              <w:jc w:val="right"/>
              <w:ind w:right="200"/>
              <w:spacing w:after="0" w:line="192" w:lineRule="exact"/>
              <w:rPr>
                <w:sz w:val="20"/>
                <w:szCs w:val="20"/>
                <w:color w:val="auto"/>
              </w:rPr>
            </w:pPr>
            <w:r>
              <w:rPr>
                <w:rFonts w:ascii="Times New Roman" w:cs="Times New Roman" w:eastAsia="Times New Roman" w:hAnsi="Times New Roman"/>
                <w:sz w:val="18"/>
                <w:szCs w:val="18"/>
                <w:color w:val="auto"/>
              </w:rPr>
              <w:t>76</w:t>
            </w:r>
          </w:p>
        </w:tc>
        <w:tc>
          <w:tcPr>
            <w:tcW w:w="5100" w:type="dxa"/>
            <w:vAlign w:val="bottom"/>
            <w:gridSpan w:val="16"/>
          </w:tcPr>
          <w:p>
            <w:pPr>
              <w:ind w:left="200"/>
              <w:spacing w:after="0" w:line="19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60" w:type="dxa"/>
            <w:vAlign w:val="bottom"/>
            <w:gridSpan w:val="7"/>
          </w:tcPr>
          <w:p>
            <w:pPr>
              <w:spacing w:after="0" w:line="192" w:lineRule="exact"/>
              <w:rPr>
                <w:sz w:val="20"/>
                <w:szCs w:val="20"/>
                <w:color w:val="auto"/>
              </w:rPr>
            </w:pPr>
            <w:r>
              <w:rPr>
                <w:rFonts w:ascii="Times New Roman" w:cs="Times New Roman" w:eastAsia="Times New Roman" w:hAnsi="Times New Roman"/>
                <w:sz w:val="18"/>
                <w:szCs w:val="18"/>
                <w:color w:val="0000EE"/>
                <w:w w:val="96"/>
              </w:rPr>
              <w:t>Dividend Policy</w:t>
            </w:r>
          </w:p>
        </w:tc>
        <w:tc>
          <w:tcPr>
            <w:tcW w:w="3640" w:type="dxa"/>
            <w:vAlign w:val="bottom"/>
            <w:gridSpan w:val="9"/>
          </w:tcPr>
          <w:p>
            <w:pPr>
              <w:spacing w:after="0"/>
              <w:rPr>
                <w:sz w:val="16"/>
                <w:szCs w:val="16"/>
                <w:color w:val="auto"/>
              </w:rPr>
            </w:pPr>
          </w:p>
        </w:tc>
        <w:tc>
          <w:tcPr>
            <w:tcW w:w="520" w:type="dxa"/>
            <w:vAlign w:val="bottom"/>
            <w:gridSpan w:val="2"/>
          </w:tcPr>
          <w:p>
            <w:pPr>
              <w:jc w:val="right"/>
              <w:ind w:right="200"/>
              <w:spacing w:after="0" w:line="192" w:lineRule="exact"/>
              <w:rPr>
                <w:sz w:val="20"/>
                <w:szCs w:val="20"/>
                <w:color w:val="auto"/>
              </w:rPr>
            </w:pPr>
            <w:r>
              <w:rPr>
                <w:rFonts w:ascii="Times New Roman" w:cs="Times New Roman" w:eastAsia="Times New Roman" w:hAnsi="Times New Roman"/>
                <w:sz w:val="18"/>
                <w:szCs w:val="18"/>
                <w:color w:val="auto"/>
              </w:rPr>
              <w:t>78</w:t>
            </w:r>
          </w:p>
        </w:tc>
        <w:tc>
          <w:tcPr>
            <w:tcW w:w="5100" w:type="dxa"/>
            <w:vAlign w:val="bottom"/>
            <w:gridSpan w:val="16"/>
          </w:tcPr>
          <w:p>
            <w:pPr>
              <w:ind w:left="200"/>
              <w:spacing w:after="0" w:line="192" w:lineRule="exact"/>
              <w:rPr>
                <w:sz w:val="20"/>
                <w:szCs w:val="20"/>
                <w:color w:val="auto"/>
              </w:rPr>
            </w:pPr>
            <w:r>
              <w:rPr>
                <w:rFonts w:ascii="Times New Roman" w:cs="Times New Roman" w:eastAsia="Times New Roman" w:hAnsi="Times New Roman"/>
                <w:sz w:val="18"/>
                <w:szCs w:val="18"/>
                <w:color w:val="0000EE"/>
              </w:rPr>
              <w:t>Material United States Federal Income Tax Consequences to</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00" w:type="dxa"/>
            <w:vAlign w:val="bottom"/>
            <w:tcBorders>
              <w:top w:val="single" w:sz="8" w:color="0000EE"/>
            </w:tcBorders>
            <w:gridSpan w:val="5"/>
          </w:tcPr>
          <w:p>
            <w:pPr>
              <w:spacing w:after="0" w:line="192" w:lineRule="exact"/>
              <w:rPr>
                <w:sz w:val="20"/>
                <w:szCs w:val="20"/>
                <w:color w:val="auto"/>
              </w:rPr>
            </w:pPr>
            <w:r>
              <w:rPr>
                <w:rFonts w:ascii="Times New Roman" w:cs="Times New Roman" w:eastAsia="Times New Roman" w:hAnsi="Times New Roman"/>
                <w:sz w:val="18"/>
                <w:szCs w:val="18"/>
                <w:color w:val="0000EE"/>
                <w:w w:val="96"/>
              </w:rPr>
              <w:t>Capitalization</w:t>
            </w:r>
          </w:p>
        </w:tc>
        <w:tc>
          <w:tcPr>
            <w:tcW w:w="160" w:type="dxa"/>
            <w:vAlign w:val="bottom"/>
            <w:tcBorders>
              <w:top w:val="single" w:sz="8" w:color="0000EE"/>
            </w:tcBorders>
            <w:gridSpan w:val="2"/>
          </w:tcPr>
          <w:p>
            <w:pPr>
              <w:spacing w:after="0"/>
              <w:rPr>
                <w:sz w:val="16"/>
                <w:szCs w:val="16"/>
                <w:color w:val="auto"/>
              </w:rPr>
            </w:pPr>
          </w:p>
        </w:tc>
        <w:tc>
          <w:tcPr>
            <w:tcW w:w="3640" w:type="dxa"/>
            <w:vAlign w:val="bottom"/>
            <w:gridSpan w:val="9"/>
          </w:tcPr>
          <w:p>
            <w:pPr>
              <w:spacing w:after="0"/>
              <w:rPr>
                <w:sz w:val="16"/>
                <w:szCs w:val="16"/>
                <w:color w:val="auto"/>
              </w:rPr>
            </w:pPr>
          </w:p>
        </w:tc>
        <w:tc>
          <w:tcPr>
            <w:tcW w:w="520" w:type="dxa"/>
            <w:vAlign w:val="bottom"/>
            <w:gridSpan w:val="2"/>
          </w:tcPr>
          <w:p>
            <w:pPr>
              <w:jc w:val="right"/>
              <w:ind w:right="200"/>
              <w:spacing w:after="0" w:line="192" w:lineRule="exact"/>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6"/>
                <w:szCs w:val="16"/>
                <w:color w:val="auto"/>
              </w:rPr>
            </w:pPr>
          </w:p>
        </w:tc>
        <w:tc>
          <w:tcPr>
            <w:tcW w:w="3080" w:type="dxa"/>
            <w:vAlign w:val="bottom"/>
            <w:tcBorders>
              <w:top w:val="single" w:sz="8" w:color="0000EE"/>
            </w:tcBorders>
            <w:gridSpan w:val="12"/>
          </w:tcPr>
          <w:p>
            <w:pPr>
              <w:ind w:left="180"/>
              <w:spacing w:after="0" w:line="192" w:lineRule="exact"/>
              <w:rPr>
                <w:sz w:val="20"/>
                <w:szCs w:val="20"/>
                <w:color w:val="auto"/>
              </w:rPr>
            </w:pPr>
            <w:r>
              <w:rPr>
                <w:rFonts w:ascii="Times New Roman" w:cs="Times New Roman" w:eastAsia="Times New Roman" w:hAnsi="Times New Roman"/>
                <w:sz w:val="18"/>
                <w:szCs w:val="18"/>
                <w:color w:val="0000EE"/>
              </w:rPr>
              <w:t>Non-U.S. Holders</w:t>
            </w:r>
          </w:p>
        </w:tc>
        <w:tc>
          <w:tcPr>
            <w:tcW w:w="1200" w:type="dxa"/>
            <w:vAlign w:val="bottom"/>
            <w:tcBorders>
              <w:top w:val="single" w:sz="8" w:color="0000EE"/>
            </w:tcBorders>
            <w:gridSpan w:val="2"/>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0000EE"/>
                <w:w w:val="96"/>
              </w:rPr>
              <w:t>Dilution</w:t>
            </w:r>
          </w:p>
        </w:tc>
        <w:tc>
          <w:tcPr>
            <w:tcW w:w="400" w:type="dxa"/>
            <w:vAlign w:val="bottom"/>
            <w:gridSpan w:val="3"/>
          </w:tcPr>
          <w:p>
            <w:pPr>
              <w:spacing w:after="0"/>
              <w:rPr>
                <w:sz w:val="16"/>
                <w:szCs w:val="16"/>
                <w:color w:val="auto"/>
              </w:rPr>
            </w:pPr>
          </w:p>
        </w:tc>
        <w:tc>
          <w:tcPr>
            <w:tcW w:w="3800" w:type="dxa"/>
            <w:vAlign w:val="bottom"/>
            <w:gridSpan w:val="11"/>
          </w:tcPr>
          <w:p>
            <w:pPr>
              <w:spacing w:after="0"/>
              <w:rPr>
                <w:sz w:val="16"/>
                <w:szCs w:val="16"/>
                <w:color w:val="auto"/>
              </w:rPr>
            </w:pPr>
          </w:p>
        </w:tc>
        <w:tc>
          <w:tcPr>
            <w:tcW w:w="520" w:type="dxa"/>
            <w:vAlign w:val="bottom"/>
            <w:gridSpan w:val="2"/>
          </w:tcPr>
          <w:p>
            <w:pPr>
              <w:jc w:val="right"/>
              <w:ind w:right="200"/>
              <w:spacing w:after="0" w:line="192" w:lineRule="exact"/>
              <w:rPr>
                <w:sz w:val="20"/>
                <w:szCs w:val="20"/>
                <w:color w:val="auto"/>
              </w:rPr>
            </w:pPr>
            <w:r>
              <w:rPr>
                <w:rFonts w:ascii="Times New Roman" w:cs="Times New Roman" w:eastAsia="Times New Roman" w:hAnsi="Times New Roman"/>
                <w:sz w:val="18"/>
                <w:szCs w:val="18"/>
                <w:color w:val="auto"/>
              </w:rPr>
              <w:t>81</w:t>
            </w:r>
          </w:p>
        </w:tc>
        <w:tc>
          <w:tcPr>
            <w:tcW w:w="5100" w:type="dxa"/>
            <w:vAlign w:val="bottom"/>
            <w:gridSpan w:val="16"/>
          </w:tcPr>
          <w:p>
            <w:pPr>
              <w:ind w:left="200"/>
              <w:spacing w:after="0" w:line="192" w:lineRule="exact"/>
              <w:rPr>
                <w:sz w:val="20"/>
                <w:szCs w:val="20"/>
                <w:color w:val="auto"/>
              </w:rPr>
            </w:pPr>
            <w:r>
              <w:rPr>
                <w:rFonts w:ascii="Times New Roman" w:cs="Times New Roman" w:eastAsia="Times New Roman" w:hAnsi="Times New Roman"/>
                <w:sz w:val="18"/>
                <w:szCs w:val="18"/>
                <w:color w:val="0000EE"/>
              </w:rPr>
              <w:t>Underwriting</w:t>
            </w:r>
          </w:p>
        </w:tc>
        <w:tc>
          <w:tcPr>
            <w:tcW w:w="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00" w:type="dxa"/>
            <w:vAlign w:val="bottom"/>
            <w:gridSpan w:val="16"/>
          </w:tcPr>
          <w:p>
            <w:pPr>
              <w:ind w:left="200"/>
              <w:spacing w:after="0" w:line="192" w:lineRule="exact"/>
              <w:rPr>
                <w:sz w:val="20"/>
                <w:szCs w:val="20"/>
                <w:color w:val="auto"/>
              </w:rPr>
            </w:pPr>
            <w:r>
              <w:rPr>
                <w:rFonts w:ascii="Times New Roman" w:cs="Times New Roman" w:eastAsia="Times New Roman" w:hAnsi="Times New Roman"/>
                <w:sz w:val="18"/>
                <w:szCs w:val="18"/>
                <w:color w:val="0000EE"/>
              </w:rPr>
              <w:t>Legal Matters</w:t>
            </w:r>
          </w:p>
        </w:tc>
        <w:tc>
          <w:tcPr>
            <w:tcW w:w="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6"/>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2840" w:type="dxa"/>
            <w:vAlign w:val="bottom"/>
            <w:gridSpan w:val="11"/>
          </w:tcPr>
          <w:p>
            <w:pPr>
              <w:spacing w:after="0" w:line="192" w:lineRule="exact"/>
              <w:rPr>
                <w:sz w:val="20"/>
                <w:szCs w:val="20"/>
                <w:color w:val="auto"/>
              </w:rPr>
            </w:pPr>
            <w:r>
              <w:rPr>
                <w:rFonts w:ascii="Times New Roman" w:cs="Times New Roman" w:eastAsia="Times New Roman" w:hAnsi="Times New Roman"/>
                <w:sz w:val="18"/>
                <w:szCs w:val="18"/>
                <w:color w:val="0000EE"/>
              </w:rPr>
              <w:t>and Results of Operations</w:t>
            </w:r>
          </w:p>
        </w:tc>
        <w:tc>
          <w:tcPr>
            <w:tcW w:w="40" w:type="dxa"/>
            <w:vAlign w:val="bottom"/>
          </w:tcPr>
          <w:p>
            <w:pPr>
              <w:spacing w:after="0"/>
              <w:rPr>
                <w:sz w:val="16"/>
                <w:szCs w:val="16"/>
                <w:color w:val="auto"/>
              </w:rPr>
            </w:pPr>
          </w:p>
        </w:tc>
        <w:tc>
          <w:tcPr>
            <w:tcW w:w="14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gridSpan w:val="2"/>
          </w:tcPr>
          <w:p>
            <w:pPr>
              <w:jc w:val="right"/>
              <w:ind w:right="200"/>
              <w:spacing w:after="0" w:line="192" w:lineRule="exact"/>
              <w:rPr>
                <w:sz w:val="20"/>
                <w:szCs w:val="20"/>
                <w:color w:val="auto"/>
              </w:rPr>
            </w:pPr>
            <w:r>
              <w:rPr>
                <w:rFonts w:ascii="Times New Roman" w:cs="Times New Roman" w:eastAsia="Times New Roman" w:hAnsi="Times New Roman"/>
                <w:sz w:val="18"/>
                <w:szCs w:val="18"/>
                <w:color w:val="auto"/>
              </w:rPr>
              <w:t>84</w:t>
            </w:r>
          </w:p>
        </w:tc>
        <w:tc>
          <w:tcPr>
            <w:tcW w:w="5100" w:type="dxa"/>
            <w:vAlign w:val="bottom"/>
            <w:gridSpan w:val="16"/>
          </w:tcPr>
          <w:p>
            <w:pPr>
              <w:ind w:left="200"/>
              <w:spacing w:after="0" w:line="192"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6"/>
            <w:shd w:val="clear" w:color="auto" w:fill="0000EE"/>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0000EE"/>
                <w:w w:val="96"/>
              </w:rPr>
              <w:t>Business</w:t>
            </w:r>
          </w:p>
        </w:tc>
        <w:tc>
          <w:tcPr>
            <w:tcW w:w="4160" w:type="dxa"/>
            <w:vAlign w:val="bottom"/>
            <w:gridSpan w:val="13"/>
          </w:tcPr>
          <w:p>
            <w:pPr>
              <w:spacing w:after="0"/>
              <w:rPr>
                <w:sz w:val="16"/>
                <w:szCs w:val="16"/>
                <w:color w:val="auto"/>
              </w:rPr>
            </w:pPr>
          </w:p>
        </w:tc>
        <w:tc>
          <w:tcPr>
            <w:tcW w:w="520" w:type="dxa"/>
            <w:vAlign w:val="bottom"/>
            <w:gridSpan w:val="2"/>
          </w:tcPr>
          <w:p>
            <w:pPr>
              <w:jc w:val="right"/>
              <w:ind w:right="200"/>
              <w:spacing w:after="0" w:line="192" w:lineRule="exact"/>
              <w:rPr>
                <w:sz w:val="20"/>
                <w:szCs w:val="20"/>
                <w:color w:val="auto"/>
              </w:rPr>
            </w:pPr>
            <w:r>
              <w:rPr>
                <w:rFonts w:ascii="Times New Roman" w:cs="Times New Roman" w:eastAsia="Times New Roman" w:hAnsi="Times New Roman"/>
                <w:sz w:val="18"/>
                <w:szCs w:val="18"/>
                <w:color w:val="auto"/>
              </w:rPr>
              <w:t>98</w:t>
            </w:r>
          </w:p>
        </w:tc>
        <w:tc>
          <w:tcPr>
            <w:tcW w:w="5100" w:type="dxa"/>
            <w:vAlign w:val="bottom"/>
            <w:gridSpan w:val="16"/>
          </w:tcPr>
          <w:p>
            <w:pPr>
              <w:ind w:left="200"/>
              <w:spacing w:after="0" w:line="19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00" w:type="dxa"/>
            <w:vAlign w:val="bottom"/>
            <w:gridSpan w:val="1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0000EE"/>
              </w:rPr>
              <w:t>Management</w:t>
            </w:r>
          </w:p>
        </w:tc>
        <w:tc>
          <w:tcPr>
            <w:tcW w:w="520" w:type="dxa"/>
            <w:vAlign w:val="bottom"/>
            <w:gridSpan w:val="2"/>
          </w:tcPr>
          <w:p>
            <w:pPr>
              <w:jc w:val="right"/>
              <w:ind w:right="200"/>
              <w:spacing w:after="0" w:line="192" w:lineRule="exact"/>
              <w:rPr>
                <w:sz w:val="20"/>
                <w:szCs w:val="20"/>
                <w:color w:val="auto"/>
              </w:rPr>
            </w:pPr>
            <w:r>
              <w:rPr>
                <w:rFonts w:ascii="Times New Roman" w:cs="Times New Roman" w:eastAsia="Times New Roman" w:hAnsi="Times New Roman"/>
                <w:sz w:val="18"/>
                <w:szCs w:val="18"/>
                <w:color w:val="auto"/>
              </w:rPr>
              <w:t>129</w:t>
            </w:r>
          </w:p>
        </w:tc>
        <w:tc>
          <w:tcPr>
            <w:tcW w:w="5100" w:type="dxa"/>
            <w:vAlign w:val="bottom"/>
            <w:gridSpan w:val="16"/>
          </w:tcPr>
          <w:p>
            <w:pPr>
              <w:ind w:left="200"/>
              <w:spacing w:after="0" w:line="192"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328295</wp:posOffset>
            </wp:positionV>
            <wp:extent cx="14471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shares of our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18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320" w:top="451"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198755</wp:posOffset>
            </wp:positionV>
            <wp:extent cx="6870065" cy="5481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0065" cy="54813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7" w:lineRule="exact"/>
        <w:rPr>
          <w:sz w:val="20"/>
          <w:szCs w:val="20"/>
          <w:color w:val="auto"/>
        </w:rPr>
      </w:pPr>
    </w:p>
    <w:p>
      <w:pPr>
        <w:jc w:val="both"/>
        <w:ind w:left="400" w:right="20" w:firstLine="41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This summary does not contain all of the information you should consider before investing in our common stock. You should carefully read this entire prospectus, including the information in the sections titled “Risk Factors,” “Management’s Discussion and Analysis of Financial Condition and Results of Operations” and “Special Note Regarding Forward-Looking Statements,” and our financial statements and related notes included elsewhere in this prospectus, before making an investment decision. Unless the context requires otherwise, references in this prospectus to “CG Oncology,” the “Company,” “we,” “us,” and “our” refer to CG Oncology, Inc.</w:t>
      </w:r>
    </w:p>
    <w:p>
      <w:pPr>
        <w:spacing w:after="0" w:line="2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jc w:val="both"/>
        <w:ind w:left="400" w:firstLine="418"/>
        <w:spacing w:after="0" w:line="247"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a potential backbone bladder-sparing therapeutic for patients afflicted with bladder cancer. Our product candidate, cretostimogene, is initially in clinical development for the treatment of patients with high-risk Non-Muscle Invasive Bladder Cancer (NMIBC) who are unresponsive to Bacillus Calmette Guerin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our ongoing Phase 3 clinical trial in high-risk BCG-unresponsive NMIBC patients. We have completed enrollment for this trial and expect to report topline data by          . If successful, we believe that this trial could serve as the basis for a Biologics License Application (BLA) submission to the U.S. Food and Drug Administration (FDA). We are also evaluating the use of cretostimogene when administered to this same patient population in combination with FDA-approved pembrolizumab in CORE-001, our ongoing Phase 2 clinical trial. Moreover, we intend to assess the safety and efficacy of cretostimogene in treating a range of other bladder cancer indications as an alternative to BCG therapy and in patients who are not categorized as BCG-unresponsive, including our second Phase 3 clinical trial, PIVOT-006, evaluating adjuvant cretostimogene in intermediate-risk NMIBC patients following transurethral resection of the bladder tumor (TURBT). We believe cretostimogene, if approved, has the potential to serve as first-line therapy, thereby alleviating the current need to prioritize treatment recipients and ration administration of BCG given its significant market shortage.</w:t>
      </w:r>
    </w:p>
    <w:p>
      <w:pPr>
        <w:spacing w:after="0" w:line="198" w:lineRule="exact"/>
        <w:rPr>
          <w:sz w:val="20"/>
          <w:szCs w:val="20"/>
          <w:color w:val="auto"/>
        </w:rPr>
      </w:pPr>
    </w:p>
    <w:p>
      <w:pPr>
        <w:jc w:val="both"/>
        <w:ind w:left="400" w:firstLine="418"/>
        <w:spacing w:after="0" w:line="248" w:lineRule="auto"/>
        <w:rPr>
          <w:sz w:val="20"/>
          <w:szCs w:val="20"/>
          <w:color w:val="auto"/>
        </w:rPr>
      </w:pPr>
      <w:r>
        <w:rPr>
          <w:rFonts w:ascii="Times New Roman" w:cs="Times New Roman" w:eastAsia="Times New Roman" w:hAnsi="Times New Roman"/>
          <w:sz w:val="18"/>
          <w:szCs w:val="18"/>
          <w:color w:val="auto"/>
        </w:rPr>
        <w:t xml:space="preserve">Cretostimogene has shown clinical benefit and has been generally well-tolerated as both a monotherapy and in combination with other therapies in clinical trials to date. In BOND-002, our completed open-label Phase 2 clinical trial which evaluated the use of cretostimogene as monotherapy to treat patients with high-risk NMIBC who had failed BCG therapy with a specific high-risk bladder cancer profile designated as carcinoma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(CIS), 65% of the 46 patients with CIS-containing NMIBC achieved a complete response (CR), meaning no detectable tumor lesions, at any time after the administration of cretostimogene. The duration of response (DOR) was also notable, with 44% and 28% of patients maintaining a CR at six months and 12 months, respectively. Cretostimogene was generally well-tolerated in this trial, with two Grade 3 (dysuria and hypotension) and no Grade 4 or 5 treatment-related adverse effects (TRAEs) observed or patient discontinuations due to TRAEs. We have also observed encouraging interim results in our ongoing open-label Phase 2 CORE-001 clinical trial of cretostimogene in combination with pembrolizumab in high-risk BCG-unresponsive NMIBC patients. In this trial, 29 of the 34 (85%) patients evaluable as of the March 3, 2023 data cutoff achieved a CR after an initial induction course of therapy, with 82% (n=27/33) of patients maintaining a CR at six months, and 68% (n=17/25) of patients maintaining a CR at 12 months. Cretostimogene was generally well-tolerated in this trial as of the January 31, 2023 safety data cutoff, with one TRAE leading to a patient discontinuation of pembrolizumab.</w:t>
      </w:r>
    </w:p>
    <w:p>
      <w:pPr>
        <w:spacing w:after="0" w:line="2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60"/>
          </w:cols>
          <w:pgMar w:left="320" w:top="451" w:right="7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198755</wp:posOffset>
            </wp:positionV>
            <wp:extent cx="6870065" cy="639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0065" cy="63988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1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We intend to evaluate cretostimogene for use in a variety of bladder cancer treatment settings, as shown in our pipeline below.</w:t>
      </w:r>
    </w:p>
    <w:p>
      <w:pPr>
        <w:spacing w:after="0" w:line="3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Our Cretostimogene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0" w:hanging="403"/>
        <w:spacing w:after="0"/>
        <w:tabs>
          <w:tab w:leader="none" w:pos="80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Planned clinical trials to be conducted under existing Investigational New Drug application (IND) previously cleared by the FDA.</w:t>
      </w:r>
    </w:p>
    <w:p>
      <w:pPr>
        <w:spacing w:after="0" w:line="3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13" w:lineRule="exact"/>
        <w:rPr>
          <w:sz w:val="20"/>
          <w:szCs w:val="20"/>
          <w:color w:val="auto"/>
        </w:rPr>
      </w:pPr>
    </w:p>
    <w:p>
      <w:pPr>
        <w:ind w:left="400" w:firstLine="418"/>
        <w:spacing w:after="0" w:line="274" w:lineRule="auto"/>
        <w:rPr>
          <w:sz w:val="20"/>
          <w:szCs w:val="20"/>
          <w:color w:val="auto"/>
        </w:rPr>
      </w:pPr>
      <w:r>
        <w:rPr>
          <w:rFonts w:ascii="Times New Roman" w:cs="Times New Roman" w:eastAsia="Times New Roman" w:hAnsi="Times New Roman"/>
          <w:sz w:val="18"/>
          <w:szCs w:val="18"/>
          <w:color w:val="auto"/>
        </w:rPr>
        <w:t>We believe our product candidate is differentiated by several strengths that support our vision of cretostimogene as a potential backbone therapy in bladder cancer, including:</w:t>
      </w:r>
    </w:p>
    <w:p>
      <w:pPr>
        <w:spacing w:after="0" w:line="71" w:lineRule="exact"/>
        <w:rPr>
          <w:sz w:val="20"/>
          <w:szCs w:val="20"/>
          <w:color w:val="auto"/>
        </w:rPr>
      </w:pPr>
    </w:p>
    <w:p>
      <w:pPr>
        <w:ind w:left="1320" w:right="20" w:hanging="512"/>
        <w:spacing w:after="0" w:line="274"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monotherapy clinical utility and durability of response, with a 65% CR at any time, in addition to 44% and 28% CR at six months and 12 months, respectively, in our completed Phase 2 BOND-002 cretostimogene monotherapy trial.</w:t>
      </w:r>
    </w:p>
    <w:p>
      <w:pPr>
        <w:spacing w:after="0" w:line="70" w:lineRule="exact"/>
        <w:rPr>
          <w:rFonts w:ascii="Times New Roman" w:cs="Times New Roman" w:eastAsia="Times New Roman" w:hAnsi="Times New Roman"/>
          <w:sz w:val="18"/>
          <w:szCs w:val="18"/>
          <w:color w:val="auto"/>
        </w:rPr>
      </w:pPr>
    </w:p>
    <w:p>
      <w:pPr>
        <w:ind w:left="1320" w:hanging="512"/>
        <w:spacing w:after="0" w:line="274"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Observed tolerability, with two Grade 3 TRAEs and no Grade 4 or 5 TRAEs or patient discontinuations due to TRAEs in our completed BOND-002 cretostimogene monotherapy trial.</w:t>
      </w:r>
    </w:p>
    <w:p>
      <w:pPr>
        <w:spacing w:after="0" w:line="70" w:lineRule="exact"/>
        <w:rPr>
          <w:rFonts w:ascii="Times New Roman" w:cs="Times New Roman" w:eastAsia="Times New Roman" w:hAnsi="Times New Roman"/>
          <w:sz w:val="18"/>
          <w:szCs w:val="18"/>
          <w:color w:val="auto"/>
        </w:rPr>
      </w:pPr>
    </w:p>
    <w:p>
      <w:pPr>
        <w:jc w:val="both"/>
        <w:ind w:left="1320" w:hanging="512"/>
        <w:spacing w:after="0" w:line="259"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Cretostimogene is administered intravesically and uses a similar route of administration as standard-of-care BCG therapy which urology practices perform regularly. This is unlike some treatment procedures that require a urologist to perform a cystoscopic examination that involves local anesthesia.</w:t>
      </w:r>
    </w:p>
    <w:p>
      <w:pPr>
        <w:spacing w:after="0" w:line="85" w:lineRule="exact"/>
        <w:rPr>
          <w:rFonts w:ascii="Times New Roman" w:cs="Times New Roman" w:eastAsia="Times New Roman" w:hAnsi="Times New Roman"/>
          <w:sz w:val="18"/>
          <w:szCs w:val="18"/>
          <w:color w:val="auto"/>
        </w:rPr>
      </w:pPr>
    </w:p>
    <w:p>
      <w:pPr>
        <w:jc w:val="both"/>
        <w:ind w:left="1320" w:hanging="512"/>
        <w:spacing w:after="0" w:line="259"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deploying cretostimogene in combination with other therapies due to its observed tolerability and novel mechanism of action, supported by 85% of patients having shown a CR at any time in our ongoing Phase 2 CORE-001 clinical trial of cretostimogene in combination with the checkpoint inhibitor (CPI) pembrolizumab as of March 3, 2023.</w:t>
      </w:r>
    </w:p>
    <w:p>
      <w:pPr>
        <w:spacing w:after="0" w:line="28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320" w:top="451"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198755</wp:posOffset>
            </wp:positionV>
            <wp:extent cx="6870065" cy="6617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70065" cy="661733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1320" w:right="20" w:hanging="512"/>
        <w:spacing w:after="0" w:line="259" w:lineRule="auto"/>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Cretostimogene’s potential broad applicability across bladder cancer indications, beginning with high-risk BCG-unresponsive NMIBC, and expanding into intermediate-risk and BCG-exposed and BCG-naïve high-risk NMIBC, with potential incremental opportunity in muscle invasive bladder cancer (MIBC).</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Bladder Cancer Overview</w:t>
      </w:r>
    </w:p>
    <w:p>
      <w:pPr>
        <w:spacing w:after="0" w:line="113" w:lineRule="exact"/>
        <w:rPr>
          <w:sz w:val="20"/>
          <w:szCs w:val="20"/>
          <w:color w:val="auto"/>
        </w:rPr>
      </w:pPr>
    </w:p>
    <w:p>
      <w:pPr>
        <w:jc w:val="both"/>
        <w:ind w:left="400" w:right="20" w:firstLine="418"/>
        <w:spacing w:after="0" w:line="251" w:lineRule="auto"/>
        <w:rPr>
          <w:sz w:val="20"/>
          <w:szCs w:val="20"/>
          <w:color w:val="auto"/>
        </w:rPr>
      </w:pPr>
      <w:r>
        <w:rPr>
          <w:rFonts w:ascii="Times New Roman" w:cs="Times New Roman" w:eastAsia="Times New Roman" w:hAnsi="Times New Roman"/>
          <w:sz w:val="18"/>
          <w:szCs w:val="18"/>
          <w:color w:val="auto"/>
        </w:rPr>
        <w:t>The human bladder, which functions in the storage and elimination of urine, is a hollow muscular organ composed of multiple tissue layers. As shown below, the inner wall of the bladder is the urothelium, or transitional epithelium. The interior space where urine collects is known as the bladder lumen. The internal side of the urothelium is lined by a glycosaminoglycan (GAG) membrane, which acts as a protective barrier from urine as well as infectious agents. Between the thick, detrusor muscular portion of the bladder wall and the urothelium is the lamina propria, which consists of connective tissue, blood vessels and nerves. A fatty connective tissue layer makes up the organ’s exterior surface, facing the rest of the body.</w:t>
      </w:r>
    </w:p>
    <w:p>
      <w:pPr>
        <w:spacing w:after="0" w:line="18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The Anatomy of the Bladder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400" w:firstLine="418"/>
        <w:spacing w:after="0" w:line="250" w:lineRule="auto"/>
        <w:rPr>
          <w:sz w:val="20"/>
          <w:szCs w:val="20"/>
          <w:color w:val="auto"/>
        </w:rPr>
      </w:pPr>
      <w:r>
        <w:rPr>
          <w:rFonts w:ascii="Times New Roman" w:cs="Times New Roman" w:eastAsia="Times New Roman" w:hAnsi="Times New Roman"/>
          <w:sz w:val="18"/>
          <w:szCs w:val="18"/>
          <w:color w:val="auto"/>
        </w:rPr>
        <w:t>The American Cancer Society estimates that in 2023, more than 82,000 people will be diagnosed with bladder cancer in the United States and that it will result in nearly 17,000 deaths. Notable is the disease prevalence with an estimated 725,000 people in the United States living with the disease. The relatively high prevalence rate is driven in part by chances of recurrence, which can be very high for NMIBC. It is estimated that approximately 31% to 78% of people with NMIBC will develop recurrence or a secondary bladder cancer within five years following treatment, depending on risk-factors. Bladder cancer is the sixth most common form of cancer in the United States, and men account for three-quarters of newly diagnosed cases. The global bladder cancer treatment market has been forecast to be approximately $9.9 billion by 2028, according to Evaluate Pharma.</w:t>
      </w:r>
    </w:p>
    <w:p>
      <w:pPr>
        <w:spacing w:after="0" w:line="187" w:lineRule="exact"/>
        <w:rPr>
          <w:sz w:val="20"/>
          <w:szCs w:val="20"/>
          <w:color w:val="auto"/>
        </w:rPr>
      </w:pPr>
    </w:p>
    <w:p>
      <w:pPr>
        <w:jc w:val="both"/>
        <w:ind w:left="400" w:right="20" w:firstLine="418"/>
        <w:spacing w:after="0" w:line="274" w:lineRule="auto"/>
        <w:rPr>
          <w:sz w:val="20"/>
          <w:szCs w:val="20"/>
          <w:color w:val="auto"/>
        </w:rPr>
      </w:pPr>
      <w:r>
        <w:rPr>
          <w:rFonts w:ascii="Times New Roman" w:cs="Times New Roman" w:eastAsia="Times New Roman" w:hAnsi="Times New Roman"/>
          <w:sz w:val="18"/>
          <w:szCs w:val="18"/>
          <w:color w:val="auto"/>
        </w:rPr>
        <w:t>Bladder cancer is a heterogeneous disease and involves several different cancer sub-types. In the United States, the vast majority of patients with bladder cancer, accounting for approximately 90% of all diagnoses,</w:t>
      </w:r>
    </w:p>
    <w:p>
      <w:pPr>
        <w:spacing w:after="0" w:line="26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320" w:top="451"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198755</wp:posOffset>
            </wp:positionV>
            <wp:extent cx="6870065" cy="639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0065" cy="63988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400"/>
        <w:spacing w:after="0" w:line="255" w:lineRule="auto"/>
        <w:rPr>
          <w:sz w:val="20"/>
          <w:szCs w:val="20"/>
          <w:color w:val="auto"/>
        </w:rPr>
      </w:pPr>
      <w:r>
        <w:rPr>
          <w:rFonts w:ascii="Times New Roman" w:cs="Times New Roman" w:eastAsia="Times New Roman" w:hAnsi="Times New Roman"/>
          <w:sz w:val="18"/>
          <w:szCs w:val="18"/>
          <w:color w:val="auto"/>
        </w:rPr>
        <w:t>have urothelial carcinoma (UC). UC is further segmented into two subtypes, papillary and non-papillary. Papillary UC involves tumors configured as finger-like projections extending from the transitional epithelium into the bladder lumen. Non-papillary, or flat, UC, which contains CIS, is restricted to the transitional epithelium, and is generally difficult to treat via resection. The 5% of bladder cancer that is not UC includes squamous cell carcinomas, adenocarcinomas, sarcomas and small cell carcinomas.</w:t>
      </w:r>
    </w:p>
    <w:p>
      <w:pPr>
        <w:spacing w:after="0" w:line="180" w:lineRule="exact"/>
        <w:rPr>
          <w:sz w:val="20"/>
          <w:szCs w:val="20"/>
          <w:color w:val="auto"/>
        </w:rPr>
      </w:pPr>
    </w:p>
    <w:p>
      <w:pPr>
        <w:jc w:val="both"/>
        <w:ind w:left="400" w:firstLine="418"/>
        <w:spacing w:after="0" w:line="252" w:lineRule="auto"/>
        <w:rPr>
          <w:sz w:val="20"/>
          <w:szCs w:val="20"/>
          <w:color w:val="auto"/>
        </w:rPr>
      </w:pPr>
      <w:r>
        <w:rPr>
          <w:rFonts w:ascii="Times New Roman" w:cs="Times New Roman" w:eastAsia="Times New Roman" w:hAnsi="Times New Roman"/>
          <w:sz w:val="18"/>
          <w:szCs w:val="18"/>
          <w:color w:val="auto"/>
        </w:rPr>
        <w:t>NMIBC is often used to describe earlier stage disease that has not reached the muscle wall. NMIBC accounts for approximately 75% of newly diagnosed patients, and includes three stages: CIS-containing tumors, Ta and T1. Ta and T1 are papillary UCs which have not spread beyond the lamina propria. T2 through T4 stage make up MIBC, indicative of more aggressive locally advanced and metastatic disease. Bladder cancer has metastasized in an estimated 5% of patients with newly diagnosed disease. The graphic presented below illustrates the differences in disease progression represented by these stages.</w:t>
      </w:r>
    </w:p>
    <w:p>
      <w:pPr>
        <w:spacing w:after="0" w:line="18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i w:val="1"/>
          <w:iCs w:val="1"/>
          <w:color w:val="auto"/>
        </w:rPr>
        <w:t>Bladder Cancer is Classified as either NMIBC or MIBC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400" w:firstLine="418"/>
        <w:spacing w:after="0" w:line="251" w:lineRule="auto"/>
        <w:rPr>
          <w:sz w:val="20"/>
          <w:szCs w:val="20"/>
          <w:color w:val="auto"/>
        </w:rPr>
      </w:pPr>
      <w:r>
        <w:rPr>
          <w:rFonts w:ascii="Times New Roman" w:cs="Times New Roman" w:eastAsia="Times New Roman" w:hAnsi="Times New Roman"/>
          <w:sz w:val="18"/>
          <w:szCs w:val="18"/>
          <w:color w:val="auto"/>
        </w:rPr>
        <w:t>NMIBC may be further differentiated by the risk of progression to MIBC. NMIBC patients with high-grade Ta or T1 stage cancer, any cancer containing CIS (which can occur in any grade of NMIBC or MIBC), and large volume or recurrent Ta stage tumors are considered to be high-risk tumors. Approximately 40% of patients with NMIBC have high-risk disease. Intermediate-risk NMIBC includes mostly low-grade Ta tumors that recur within 12 months, solitary low-grade Ta tumors greater than three centimeters, multifocal low-grade Ta tumors, or high-grade Ta tumors less than or equal to three centimeters. Intermediate-risk NMIBC accounts for an estimated 30% of patients with NMIBC. Low-risk NMIBC consists of low-grade solitary Ta stage tumors and makes up the remaining 30% of NMIBC cases.</w:t>
      </w: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Current Treatment for NMIBC</w:t>
      </w:r>
    </w:p>
    <w:p>
      <w:pPr>
        <w:spacing w:after="0" w:line="113" w:lineRule="exact"/>
        <w:rPr>
          <w:sz w:val="20"/>
          <w:szCs w:val="20"/>
          <w:color w:val="auto"/>
        </w:rPr>
      </w:pPr>
    </w:p>
    <w:p>
      <w:pPr>
        <w:jc w:val="both"/>
        <w:ind w:left="400" w:firstLine="418"/>
        <w:spacing w:after="0" w:line="259" w:lineRule="auto"/>
        <w:rPr>
          <w:sz w:val="20"/>
          <w:szCs w:val="20"/>
          <w:color w:val="auto"/>
        </w:rPr>
      </w:pPr>
      <w:r>
        <w:rPr>
          <w:rFonts w:ascii="Times New Roman" w:cs="Times New Roman" w:eastAsia="Times New Roman" w:hAnsi="Times New Roman"/>
          <w:sz w:val="18"/>
          <w:szCs w:val="18"/>
          <w:color w:val="auto"/>
        </w:rPr>
        <w:t>Regardless of risk stratification, treatment of NMIBC generally involves TURBT, a surgical procedure enabling the visual inspection and biopsy of the lesion along with removal of the cancerous cells allowing a patient with NMIBC to retain normal bladder function. Use of TURBT alone is associated with a five-year</w:t>
      </w:r>
    </w:p>
    <w:p>
      <w:pPr>
        <w:spacing w:after="0" w:line="28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320" w:top="451"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198755</wp:posOffset>
            </wp:positionV>
            <wp:extent cx="6870065" cy="5750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0065" cy="57505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400"/>
        <w:spacing w:after="0" w:line="252" w:lineRule="auto"/>
        <w:rPr>
          <w:sz w:val="20"/>
          <w:szCs w:val="20"/>
          <w:color w:val="auto"/>
        </w:rPr>
      </w:pPr>
      <w:r>
        <w:rPr>
          <w:rFonts w:ascii="Times New Roman" w:cs="Times New Roman" w:eastAsia="Times New Roman" w:hAnsi="Times New Roman"/>
          <w:sz w:val="18"/>
          <w:szCs w:val="18"/>
          <w:color w:val="auto"/>
        </w:rPr>
        <w:t>estimated recurrence rate of approximately 44% to 63% and remains a backbone of early NMIBC treatment regimen. CIS-containing tumors cannot be resected using TURBT. Progression to a more advanced stage or grade subsequent to initial diagnosis is also commonly encountered. As such, in both high-risk and intermediate-risk NMIBC patients, surgical removal of NMIBC tumors through TURBT is often accompanied by the delivery of adjuvant BCG therapy or chemotherapy, intravesically through a catheter inserted directly into the bladder, also referred to as IVE delivery.</w:t>
      </w:r>
    </w:p>
    <w:p>
      <w:pPr>
        <w:spacing w:after="0" w:line="185" w:lineRule="exact"/>
        <w:rPr>
          <w:sz w:val="20"/>
          <w:szCs w:val="20"/>
          <w:color w:val="auto"/>
        </w:rPr>
      </w:pPr>
    </w:p>
    <w:p>
      <w:pPr>
        <w:jc w:val="both"/>
        <w:ind w:left="400" w:firstLine="418"/>
        <w:spacing w:after="0" w:line="250" w:lineRule="auto"/>
        <w:rPr>
          <w:sz w:val="20"/>
          <w:szCs w:val="20"/>
          <w:color w:val="auto"/>
        </w:rPr>
      </w:pPr>
      <w:r>
        <w:rPr>
          <w:rFonts w:ascii="Times New Roman" w:cs="Times New Roman" w:eastAsia="Times New Roman" w:hAnsi="Times New Roman"/>
          <w:sz w:val="18"/>
          <w:szCs w:val="18"/>
          <w:color w:val="auto"/>
        </w:rPr>
        <w:t>BCG therapy involves the use of a live, attenuated mycobacterium to induce a non-specific anti-tumor immune response in the bladder mucosa and provides meaningful therapeutic utility in the treatment of NMIBC. Further complicating the treatment options available to NMIBC patients is the ongoing shortage of BCG which has restricted patient eligibility to high-risk BCG-naïve patients only. Even among these patients a significant number of newly-diagnosed, BCG-eligible, treatment-naïve patients in the United States may not receive sufficient BCG therapy, if at all. Moreover, patients with intermediate-risk NMIBC may not have access to BCG due to the shortage, despite the likely therapeutic benefit of adjuvant BCG therapy, because high-risk patients are prioritized in line with guidance published by the National Comprehensive Care Network and guidance published jointly by the American Urological Association and the Society of Urologic Oncology.</w:t>
      </w:r>
    </w:p>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Current Treatment Paradigm in High-Risk BCG-unresponsive Disease and Its Limitations</w:t>
      </w:r>
    </w:p>
    <w:p>
      <w:pPr>
        <w:spacing w:after="0" w:line="113" w:lineRule="exact"/>
        <w:rPr>
          <w:sz w:val="20"/>
          <w:szCs w:val="20"/>
          <w:color w:val="auto"/>
        </w:rPr>
      </w:pPr>
    </w:p>
    <w:p>
      <w:pPr>
        <w:jc w:val="both"/>
        <w:ind w:left="400" w:firstLine="418"/>
        <w:spacing w:after="0" w:line="250" w:lineRule="auto"/>
        <w:rPr>
          <w:sz w:val="20"/>
          <w:szCs w:val="20"/>
          <w:color w:val="auto"/>
        </w:rPr>
      </w:pPr>
      <w:r>
        <w:rPr>
          <w:rFonts w:ascii="Times New Roman" w:cs="Times New Roman" w:eastAsia="Times New Roman" w:hAnsi="Times New Roman"/>
          <w:sz w:val="18"/>
          <w:szCs w:val="18"/>
          <w:color w:val="auto"/>
        </w:rPr>
        <w:t>Current treatment for high-risk NMIBC typically involves TURBT followed by the IVE delivery of BCG therapy to induce a non-specific anti-tumor immune response. This treatment protocol has demonstrated therapeutic benefit with nearly 70% of patients achieving a CR following an initial induction course of therapy. However, approximately 50% of these patients will experience a recurrence of the tumor and few treatment options are available for patients who become unresponsive to BCG treatment. While radical cystectomy is the current standard-of-care for BCG-unresponsive patients, only approximately 6% of NMIBC patients elect to undergo the procedure in light of the significant social, functional and emotional burden associated with it. In addition, there are only two FDA-approved agents for BCG-unresponsive disease with limited utilization.</w:t>
      </w:r>
    </w:p>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Our Team and Investors</w:t>
      </w:r>
    </w:p>
    <w:p>
      <w:pPr>
        <w:spacing w:after="0" w:line="113" w:lineRule="exact"/>
        <w:rPr>
          <w:sz w:val="20"/>
          <w:szCs w:val="20"/>
          <w:color w:val="auto"/>
        </w:rPr>
      </w:pPr>
    </w:p>
    <w:p>
      <w:pPr>
        <w:jc w:val="both"/>
        <w:ind w:left="400" w:firstLine="418"/>
        <w:spacing w:after="0" w:line="247" w:lineRule="auto"/>
        <w:rPr>
          <w:sz w:val="20"/>
          <w:szCs w:val="20"/>
          <w:color w:val="auto"/>
        </w:rPr>
      </w:pPr>
      <w:r>
        <w:rPr>
          <w:rFonts w:ascii="Times New Roman" w:cs="Times New Roman" w:eastAsia="Times New Roman" w:hAnsi="Times New Roman"/>
          <w:sz w:val="18"/>
          <w:szCs w:val="18"/>
          <w:color w:val="auto"/>
        </w:rPr>
        <w:t>Our management team includes industry executives with extensive biopharmaceutical experience. Arthur Kuan, our Chief Executive Officer, was a founding member of the Ally Bridge Group, a global healthcare-focused investment platform. Previously, Arthur was a member of Themes Investment Partners, a healthcare and life sciences-focused private equity fund. Our President and Chief Operating Officer, Ambaw Bellete, has over 30 years of industry experience, including serving as Chief Operating Officer for FerGene, the Ferring Pharmaceuticals subsidiary responsible for the development and commercialization of its bladder cancer treatment, nadofaragene. Ambaw was also the President of Photocure a company focused on the diagnosis and treatment of bladder cancer and has also held several global leadership positions with biotech and medical device companies. Our Chief Medical Officer, Vijay Kasturi, M.D., previously served as Vice President, Clinical Development and Medical Affairs with AVEO Pharmaceuticals and SVP of Scientific Affairs at FerGene where he led Medical Affairs, Clinical Operations, Regulatory and Clinical Development in connection with the nadofaragene program. Earlier, he led U.S. Medical Affairs, Oncology for EMD Serono, where he had broad leadership responsibilities including developing and managing the global medical strategy and launch plan for an anti-PD-L1 agent in bladder and kidney cancers. Our Chief Technical Officer, Swapnil Bhargava, Ph.D., has supported multiple INDs and BLAs and has contributed to bringing multiple modalities to the clinic and market. He was previously a Senior Vice President of CMC Development and GMP Manufacturing for Abcellera, leading Tech Ops. Prior to that, he was the VP for Drug Substance Process Development at Seagen, where he was responsible for leading cell line development, upstream, downstream and conjugation process development and analytical sciences departments for early and late-stage drug development. We believe the breadth and depth</w:t>
      </w:r>
    </w:p>
    <w:p>
      <w:pPr>
        <w:spacing w:after="0" w:line="3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320" w:top="451"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198755</wp:posOffset>
            </wp:positionV>
            <wp:extent cx="6870065" cy="5894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70065" cy="58940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400"/>
        <w:spacing w:after="0" w:line="274" w:lineRule="auto"/>
        <w:rPr>
          <w:sz w:val="20"/>
          <w:szCs w:val="20"/>
          <w:color w:val="auto"/>
        </w:rPr>
      </w:pPr>
      <w:r>
        <w:rPr>
          <w:rFonts w:ascii="Times New Roman" w:cs="Times New Roman" w:eastAsia="Times New Roman" w:hAnsi="Times New Roman"/>
          <w:sz w:val="18"/>
          <w:szCs w:val="18"/>
          <w:color w:val="auto"/>
        </w:rPr>
        <w:t>of experience amongst our management team will enable us to bolster the cretostimogene development strategy and, if approved, its commercialization.</w:t>
      </w:r>
    </w:p>
    <w:p>
      <w:pPr>
        <w:spacing w:after="0" w:line="163" w:lineRule="exact"/>
        <w:rPr>
          <w:sz w:val="20"/>
          <w:szCs w:val="20"/>
          <w:color w:val="auto"/>
        </w:rPr>
      </w:pPr>
    </w:p>
    <w:p>
      <w:pPr>
        <w:jc w:val="both"/>
        <w:ind w:left="400" w:firstLine="418"/>
        <w:spacing w:after="0" w:line="251" w:lineRule="auto"/>
        <w:rPr>
          <w:sz w:val="20"/>
          <w:szCs w:val="20"/>
          <w:color w:val="auto"/>
        </w:rPr>
      </w:pPr>
      <w:r>
        <w:rPr>
          <w:rFonts w:ascii="Times New Roman" w:cs="Times New Roman" w:eastAsia="Times New Roman" w:hAnsi="Times New Roman"/>
          <w:sz w:val="18"/>
          <w:szCs w:val="18"/>
          <w:color w:val="auto"/>
        </w:rPr>
        <w:t>We are backed by a strong set of healthcare-specific investors, including our 5% or greater stockholders, ORI Capital, Decheng Capital, Longitude Capital, Kissei Pharmaceutical Co., Foresite Capital Management and TCGX.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Securities Exchange Act of 1934 (the Exchange Act), and, thus, prospective investors may not necessarily know the total amount of investment by each of the prior investors and if and when some of the prior investors decide to sell any of their shares.</w:t>
      </w: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3" w:lineRule="exact"/>
        <w:rPr>
          <w:sz w:val="20"/>
          <w:szCs w:val="20"/>
          <w:color w:val="auto"/>
        </w:rPr>
      </w:pPr>
    </w:p>
    <w:p>
      <w:pPr>
        <w:jc w:val="both"/>
        <w:ind w:left="400" w:firstLine="418"/>
        <w:spacing w:after="0" w:line="274" w:lineRule="auto"/>
        <w:rPr>
          <w:sz w:val="20"/>
          <w:szCs w:val="20"/>
          <w:color w:val="auto"/>
        </w:rPr>
      </w:pPr>
      <w:r>
        <w:rPr>
          <w:rFonts w:ascii="Times New Roman" w:cs="Times New Roman" w:eastAsia="Times New Roman" w:hAnsi="Times New Roman"/>
          <w:sz w:val="18"/>
          <w:szCs w:val="18"/>
          <w:color w:val="auto"/>
        </w:rPr>
        <w:t>We intend to become a leading company in the development and commercialization of innovative therapeutics to treat cancer, with an initial focus on bladder cancer. Key elements of our strategy to accomplish this objective include:</w:t>
      </w:r>
    </w:p>
    <w:p>
      <w:pPr>
        <w:spacing w:after="0" w:line="71" w:lineRule="exact"/>
        <w:rPr>
          <w:sz w:val="20"/>
          <w:szCs w:val="20"/>
          <w:color w:val="auto"/>
        </w:rPr>
      </w:pPr>
    </w:p>
    <w:p>
      <w:pPr>
        <w:ind w:left="1320" w:hanging="512"/>
        <w:spacing w:after="0" w:line="274"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ongoing BOND-003 Phase 3 trial of cretostimogene as monotherapy in high-risk BCG-unresponsive NMIBC and pursue FDA approval.</w:t>
      </w:r>
    </w:p>
    <w:p>
      <w:pPr>
        <w:spacing w:after="0" w:line="70" w:lineRule="exact"/>
        <w:rPr>
          <w:rFonts w:ascii="Times New Roman" w:cs="Times New Roman" w:eastAsia="Times New Roman" w:hAnsi="Times New Roman"/>
          <w:sz w:val="18"/>
          <w:szCs w:val="18"/>
          <w:color w:val="auto"/>
        </w:rPr>
      </w:pPr>
    </w:p>
    <w:p>
      <w:pPr>
        <w:ind w:left="1320" w:hanging="51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development of cretostimogene monotherapy as a potential backbone therapy across NMIBC indications.</w:t>
      </w:r>
    </w:p>
    <w:p>
      <w:pPr>
        <w:spacing w:after="0" w:line="124" w:lineRule="exact"/>
        <w:rPr>
          <w:rFonts w:ascii="Times New Roman" w:cs="Times New Roman" w:eastAsia="Times New Roman" w:hAnsi="Times New Roman"/>
          <w:sz w:val="18"/>
          <w:szCs w:val="18"/>
          <w:color w:val="auto"/>
        </w:rPr>
      </w:pPr>
    </w:p>
    <w:p>
      <w:pPr>
        <w:ind w:left="1320" w:right="20" w:hanging="512"/>
        <w:spacing w:after="0" w:line="274"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cretostimogene in combination with other therapies, such as CPIs, to potentially further enhance its clinical utility across various stages of bladder cancer.</w:t>
      </w:r>
    </w:p>
    <w:p>
      <w:pPr>
        <w:spacing w:after="0" w:line="70" w:lineRule="exact"/>
        <w:rPr>
          <w:rFonts w:ascii="Times New Roman" w:cs="Times New Roman" w:eastAsia="Times New Roman" w:hAnsi="Times New Roman"/>
          <w:sz w:val="18"/>
          <w:szCs w:val="18"/>
          <w:color w:val="auto"/>
        </w:rPr>
      </w:pPr>
    </w:p>
    <w:p>
      <w:pPr>
        <w:ind w:left="1320" w:hanging="51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our operational capabilities to successfully commercialize cretostimogene.</w:t>
      </w:r>
    </w:p>
    <w:p>
      <w:pPr>
        <w:spacing w:after="0" w:line="124" w:lineRule="exact"/>
        <w:rPr>
          <w:rFonts w:ascii="Times New Roman" w:cs="Times New Roman" w:eastAsia="Times New Roman" w:hAnsi="Times New Roman"/>
          <w:sz w:val="18"/>
          <w:szCs w:val="18"/>
          <w:color w:val="auto"/>
        </w:rPr>
      </w:pPr>
    </w:p>
    <w:p>
      <w:pPr>
        <w:ind w:left="1320" w:hanging="51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chemistry, manufacturing and controls (CMC) expertise and relationships to scale commercialization efforts.</w:t>
      </w: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113" w:lineRule="exact"/>
        <w:rPr>
          <w:sz w:val="20"/>
          <w:szCs w:val="20"/>
          <w:color w:val="auto"/>
        </w:rPr>
      </w:pPr>
    </w:p>
    <w:p>
      <w:pPr>
        <w:ind w:left="400" w:firstLine="418"/>
        <w:spacing w:after="0" w:line="274" w:lineRule="auto"/>
        <w:rPr>
          <w:sz w:val="20"/>
          <w:szCs w:val="20"/>
          <w:color w:val="auto"/>
        </w:rPr>
      </w:pPr>
      <w:r>
        <w:rPr>
          <w:rFonts w:ascii="Times New Roman" w:cs="Times New Roman" w:eastAsia="Times New Roman" w:hAnsi="Times New Roman"/>
          <w:sz w:val="18"/>
          <w:szCs w:val="18"/>
          <w:color w:val="auto"/>
        </w:rPr>
        <w:t>Our ability to execute our business strategy is subject to numerous risks and uncertainties that you should consider before investing in us, as more fully described in the section titled “Risk Factors” immediately following this Prospectus Summary. These risks include, among others:</w:t>
      </w:r>
    </w:p>
    <w:p>
      <w:pPr>
        <w:spacing w:after="0" w:line="71" w:lineRule="exact"/>
        <w:rPr>
          <w:sz w:val="20"/>
          <w:szCs w:val="20"/>
          <w:color w:val="auto"/>
        </w:rPr>
      </w:pPr>
    </w:p>
    <w:p>
      <w:pPr>
        <w:jc w:val="both"/>
        <w:ind w:left="1320" w:right="20" w:hanging="512"/>
        <w:spacing w:after="0" w:line="259"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85" w:lineRule="exact"/>
        <w:rPr>
          <w:rFonts w:ascii="Times New Roman" w:cs="Times New Roman" w:eastAsia="Times New Roman" w:hAnsi="Times New Roman"/>
          <w:sz w:val="18"/>
          <w:szCs w:val="18"/>
          <w:color w:val="auto"/>
        </w:rPr>
      </w:pPr>
    </w:p>
    <w:p>
      <w:pPr>
        <w:jc w:val="both"/>
        <w:ind w:left="1320" w:right="20" w:hanging="512"/>
        <w:spacing w:after="0" w:line="259"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this offering is successful, 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85" w:lineRule="exact"/>
        <w:rPr>
          <w:rFonts w:ascii="Times New Roman" w:cs="Times New Roman" w:eastAsia="Times New Roman" w:hAnsi="Times New Roman"/>
          <w:sz w:val="18"/>
          <w:szCs w:val="18"/>
          <w:color w:val="auto"/>
        </w:rPr>
      </w:pPr>
    </w:p>
    <w:p>
      <w:pPr>
        <w:jc w:val="both"/>
        <w:ind w:left="1320" w:right="20" w:hanging="512"/>
        <w:spacing w:after="0" w:line="259"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entirely on the success of cretostimogene, which is our only product candidate. If we are unable to advance cretostimogene in clinical development, obtain regulatory approval and ultimately commercialize cretostimogene, or experience significant delays in doing so, our business will be materially harmed.</w:t>
      </w:r>
    </w:p>
    <w:p>
      <w:pPr>
        <w:spacing w:after="0" w:line="85" w:lineRule="exact"/>
        <w:rPr>
          <w:rFonts w:ascii="Times New Roman" w:cs="Times New Roman" w:eastAsia="Times New Roman" w:hAnsi="Times New Roman"/>
          <w:sz w:val="18"/>
          <w:szCs w:val="18"/>
          <w:color w:val="auto"/>
        </w:rPr>
      </w:pPr>
    </w:p>
    <w:p>
      <w:pPr>
        <w:ind w:left="1320" w:right="20" w:hanging="512"/>
        <w:spacing w:after="0" w:line="274"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Cretostimogene is based on a novel approach to the treatment of cancer, which makes it difficult to predict the time and cost of product candidate development and subsequently obtaining regulatory approval, if at all.</w:t>
      </w:r>
    </w:p>
    <w:p>
      <w:pPr>
        <w:spacing w:after="0" w:line="26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320" w:top="451" w:right="7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198755</wp:posOffset>
            </wp:positionV>
            <wp:extent cx="6870065" cy="53219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70065" cy="532193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1320" w:right="20" w:hanging="512"/>
        <w:spacing w:after="0" w:line="255"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preclinical drug development involves a lengthy and expensive process with uncertain timelines and outcomes, and results of prior preclinical studies and early clinical trials are not necessarily predictive of future results. Cretostimogene or any future product candidates may not achieve favorable results in clinical trials or preclinical studies or receive regulatory approval on a timely basis, if at all.</w:t>
      </w:r>
    </w:p>
    <w:p>
      <w:pPr>
        <w:spacing w:after="0" w:line="87" w:lineRule="exact"/>
        <w:rPr>
          <w:rFonts w:ascii="Times New Roman" w:cs="Times New Roman" w:eastAsia="Times New Roman" w:hAnsi="Times New Roman"/>
          <w:sz w:val="18"/>
          <w:szCs w:val="18"/>
          <w:color w:val="auto"/>
        </w:rPr>
      </w:pPr>
    </w:p>
    <w:p>
      <w:pPr>
        <w:jc w:val="both"/>
        <w:ind w:left="1320" w:right="20" w:hanging="512"/>
        <w:spacing w:after="0" w:line="255"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cretostimogene or any future product candidates could be associated with adverse side effects, adverse events or other properties or safety risks, which could delay or preclude regulatory approval, cause us to suspend or discontinue clinical trials, abandon cretostimogene or any future product candidate, limit the commercial profile of an approved label or result in other significant negative consequences that could severely harm our business, financial condition, results of operations and prospects.</w:t>
      </w:r>
    </w:p>
    <w:p>
      <w:pPr>
        <w:spacing w:after="0" w:line="87" w:lineRule="exact"/>
        <w:rPr>
          <w:rFonts w:ascii="Times New Roman" w:cs="Times New Roman" w:eastAsia="Times New Roman" w:hAnsi="Times New Roman"/>
          <w:sz w:val="18"/>
          <w:szCs w:val="18"/>
          <w:color w:val="auto"/>
        </w:rPr>
      </w:pPr>
    </w:p>
    <w:p>
      <w:pPr>
        <w:jc w:val="both"/>
        <w:ind w:left="1320" w:right="20" w:hanging="512"/>
        <w:spacing w:after="0" w:line="255"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commercialize technologies or product candidates more rapidly than we do, or their technologies or product candidates are more effective, safer, or less expensive than cretostimogene or any future product candidates we develop, our business and our ability to develop and successfully commercialize products will be adversely affected.</w:t>
      </w:r>
    </w:p>
    <w:p>
      <w:pPr>
        <w:spacing w:after="0" w:line="87" w:lineRule="exact"/>
        <w:rPr>
          <w:rFonts w:ascii="Times New Roman" w:cs="Times New Roman" w:eastAsia="Times New Roman" w:hAnsi="Times New Roman"/>
          <w:sz w:val="18"/>
          <w:szCs w:val="18"/>
          <w:color w:val="auto"/>
        </w:rPr>
      </w:pPr>
    </w:p>
    <w:p>
      <w:pPr>
        <w:ind w:left="1320" w:right="20" w:hanging="512"/>
        <w:spacing w:after="0" w:line="274"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preclinical studies, and these third parties may not perform satisfactorily, which could delay, prevent, or impair our development or commercialization efforts.</w:t>
      </w:r>
    </w:p>
    <w:p>
      <w:pPr>
        <w:spacing w:after="0" w:line="70" w:lineRule="exact"/>
        <w:rPr>
          <w:rFonts w:ascii="Times New Roman" w:cs="Times New Roman" w:eastAsia="Times New Roman" w:hAnsi="Times New Roman"/>
          <w:sz w:val="18"/>
          <w:szCs w:val="18"/>
          <w:color w:val="auto"/>
        </w:rPr>
      </w:pPr>
    </w:p>
    <w:p>
      <w:pPr>
        <w:jc w:val="both"/>
        <w:ind w:left="1320" w:right="20" w:hanging="512"/>
        <w:spacing w:after="0" w:line="255"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for the manufacture and shipping of cretostimogene for clinical development and expect to continue to do so for the foreseeable future. This reliance on third parties increases the risk that we will not have sufficient quantities of cretostimogene or future product candidates or such quantities at an acceptable cost, which could delay, prevent, or impair our development or commercialization efforts.</w:t>
      </w:r>
    </w:p>
    <w:p>
      <w:pPr>
        <w:spacing w:after="0" w:line="87" w:lineRule="exact"/>
        <w:rPr>
          <w:rFonts w:ascii="Times New Roman" w:cs="Times New Roman" w:eastAsia="Times New Roman" w:hAnsi="Times New Roman"/>
          <w:sz w:val="18"/>
          <w:szCs w:val="18"/>
          <w:color w:val="auto"/>
        </w:rPr>
      </w:pPr>
    </w:p>
    <w:p>
      <w:pPr>
        <w:jc w:val="both"/>
        <w:ind w:left="1320" w:right="20" w:hanging="512"/>
        <w:spacing w:after="0" w:line="255"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or other intellectual property protection for cretostimogene or any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cretostimogene or any future product candidates, may be adversely affected.</w:t>
      </w:r>
    </w:p>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113" w:lineRule="exact"/>
        <w:rPr>
          <w:sz w:val="20"/>
          <w:szCs w:val="20"/>
          <w:color w:val="auto"/>
        </w:rPr>
      </w:pPr>
    </w:p>
    <w:p>
      <w:pPr>
        <w:jc w:val="both"/>
        <w:ind w:left="400" w:firstLine="418"/>
        <w:spacing w:after="0" w:line="252" w:lineRule="auto"/>
        <w:rPr>
          <w:sz w:val="20"/>
          <w:szCs w:val="20"/>
          <w:color w:val="auto"/>
        </w:rPr>
      </w:pPr>
      <w:r>
        <w:rPr>
          <w:rFonts w:ascii="Times New Roman" w:cs="Times New Roman" w:eastAsia="Times New Roman" w:hAnsi="Times New Roman"/>
          <w:sz w:val="18"/>
          <w:szCs w:val="18"/>
          <w:color w:val="auto"/>
        </w:rPr>
        <w:t>We were originally founded as a California corporation on September 24, 2010 under the name Cold Genesys, Inc. On November 30, 2017, we reincorporated as a Delaware corporation, and on March 31, 2020, we changed our name to CG Oncology, Inc. Our principal executive offices are located at 400 Spectrum Center Drive, Suite 2040, Irvine, CA 92618, and our telephone number is (949) 409-3700. Our website address is https://cgoncology.com. The information contained in, or accessible through, our website does not constitute part of this prospectus. We have included our website address as an inactive textual reference only.</w:t>
      </w:r>
    </w:p>
    <w:p>
      <w:pPr>
        <w:spacing w:after="0" w:line="185" w:lineRule="exact"/>
        <w:rPr>
          <w:sz w:val="20"/>
          <w:szCs w:val="20"/>
          <w:color w:val="auto"/>
        </w:rPr>
      </w:pPr>
    </w:p>
    <w:p>
      <w:pPr>
        <w:jc w:val="both"/>
        <w:ind w:left="400" w:right="20" w:firstLine="418"/>
        <w:spacing w:after="0" w:line="226" w:lineRule="auto"/>
        <w:rPr>
          <w:sz w:val="20"/>
          <w:szCs w:val="20"/>
          <w:color w:val="auto"/>
        </w:rPr>
      </w:pPr>
      <w:r>
        <w:rPr>
          <w:rFonts w:ascii="Times New Roman" w:cs="Times New Roman" w:eastAsia="Times New Roman" w:hAnsi="Times New Roman"/>
          <w:sz w:val="18"/>
          <w:szCs w:val="18"/>
          <w:color w:val="auto"/>
        </w:rPr>
        <w:t xml:space="preserve">We use our trademarks in this prospectus, as well as trademarks, tradenames and service marks that are the property of other organizations. Solely for convenience, trademarks and tradenames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30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320" w:top="451" w:right="7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198755</wp:posOffset>
            </wp:positionV>
            <wp:extent cx="6870065" cy="64662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70065" cy="646620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13" w:lineRule="exact"/>
        <w:rPr>
          <w:sz w:val="20"/>
          <w:szCs w:val="20"/>
          <w:color w:val="auto"/>
        </w:rPr>
      </w:pPr>
    </w:p>
    <w:p>
      <w:pPr>
        <w:jc w:val="both"/>
        <w:ind w:left="400" w:firstLine="418"/>
        <w:spacing w:after="0" w:line="259"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An emerging growth company may take advantage of certain reduced disclosure and other requirements that are otherwise applicable to public companies. These provisions include, but are not limited to:</w:t>
      </w:r>
    </w:p>
    <w:p>
      <w:pPr>
        <w:spacing w:after="0" w:line="85" w:lineRule="exact"/>
        <w:rPr>
          <w:sz w:val="20"/>
          <w:szCs w:val="20"/>
          <w:color w:val="auto"/>
        </w:rPr>
      </w:pPr>
    </w:p>
    <w:p>
      <w:pPr>
        <w:jc w:val="both"/>
        <w:ind w:left="1320" w:hanging="512"/>
        <w:spacing w:after="0" w:line="259" w:lineRule="auto"/>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85" w:lineRule="exact"/>
        <w:rPr>
          <w:rFonts w:ascii="Times New Roman" w:cs="Times New Roman" w:eastAsia="Times New Roman" w:hAnsi="Times New Roman"/>
          <w:sz w:val="18"/>
          <w:szCs w:val="18"/>
          <w:color w:val="auto"/>
        </w:rPr>
      </w:pPr>
    </w:p>
    <w:p>
      <w:pPr>
        <w:ind w:left="1320" w:right="20" w:hanging="512"/>
        <w:spacing w:after="0" w:line="274" w:lineRule="auto"/>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70" w:lineRule="exact"/>
        <w:rPr>
          <w:rFonts w:ascii="Times New Roman" w:cs="Times New Roman" w:eastAsia="Times New Roman" w:hAnsi="Times New Roman"/>
          <w:sz w:val="18"/>
          <w:szCs w:val="18"/>
          <w:color w:val="auto"/>
        </w:rPr>
      </w:pPr>
    </w:p>
    <w:p>
      <w:pPr>
        <w:jc w:val="both"/>
        <w:ind w:left="1320" w:hanging="512"/>
        <w:spacing w:after="0" w:line="255" w:lineRule="auto"/>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U.S. Securities and Exchange Commission (SEC) determines the new rules are necessary for protecting the public;</w:t>
      </w:r>
    </w:p>
    <w:p>
      <w:pPr>
        <w:spacing w:after="0" w:line="87" w:lineRule="exact"/>
        <w:rPr>
          <w:rFonts w:ascii="Times New Roman" w:cs="Times New Roman" w:eastAsia="Times New Roman" w:hAnsi="Times New Roman"/>
          <w:sz w:val="18"/>
          <w:szCs w:val="18"/>
          <w:color w:val="auto"/>
        </w:rPr>
      </w:pPr>
    </w:p>
    <w:p>
      <w:pPr>
        <w:ind w:left="1320" w:hanging="512"/>
        <w:spacing w:after="0" w:line="274" w:lineRule="auto"/>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70" w:lineRule="exact"/>
        <w:rPr>
          <w:rFonts w:ascii="Times New Roman" w:cs="Times New Roman" w:eastAsia="Times New Roman" w:hAnsi="Times New Roman"/>
          <w:sz w:val="18"/>
          <w:szCs w:val="18"/>
          <w:color w:val="auto"/>
        </w:rPr>
      </w:pPr>
    </w:p>
    <w:p>
      <w:pPr>
        <w:ind w:left="1320" w:hanging="512"/>
        <w:spacing w:after="0" w:line="274" w:lineRule="auto"/>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3" w:lineRule="exact"/>
        <w:rPr>
          <w:sz w:val="20"/>
          <w:szCs w:val="20"/>
          <w:color w:val="auto"/>
        </w:rPr>
      </w:pPr>
    </w:p>
    <w:p>
      <w:pPr>
        <w:jc w:val="both"/>
        <w:ind w:left="400" w:firstLine="418"/>
        <w:spacing w:after="0" w:line="251"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(the Securities Act), which such fifth anniversary will occur in 2028. However, if certain events occur prior to the end of such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the end of such five-year period.</w:t>
      </w:r>
    </w:p>
    <w:p>
      <w:pPr>
        <w:spacing w:after="0" w:line="185" w:lineRule="exact"/>
        <w:rPr>
          <w:sz w:val="20"/>
          <w:szCs w:val="20"/>
          <w:color w:val="auto"/>
        </w:rPr>
      </w:pPr>
    </w:p>
    <w:p>
      <w:pPr>
        <w:jc w:val="both"/>
        <w:ind w:left="400" w:firstLine="418"/>
        <w:spacing w:after="0" w:line="255"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prospectus and in the registration statement of which this prospectus is a part and may elect to take advantage of other reduced reporting requirements in future filings. As a result, the information in this prospectus and that we provide to our stockholders in the future may be different than what you might receive from other public reporting companies in which you hold equity interests.</w:t>
      </w:r>
    </w:p>
    <w:p>
      <w:pPr>
        <w:spacing w:after="0" w:line="180" w:lineRule="exact"/>
        <w:rPr>
          <w:sz w:val="20"/>
          <w:szCs w:val="20"/>
          <w:color w:val="auto"/>
        </w:rPr>
      </w:pPr>
    </w:p>
    <w:p>
      <w:pPr>
        <w:jc w:val="both"/>
        <w:ind w:left="400" w:firstLine="418"/>
        <w:spacing w:after="0" w:line="25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We have elected to avail ourselves of this exemption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 We intend to rely on other exemptions provided by the JOBS Act, including without limitation, not being required to comply with the auditor attestation requirements of Section 404(b) of the Sarbanes-Oxley Act.</w:t>
      </w:r>
    </w:p>
    <w:p>
      <w:pPr>
        <w:spacing w:after="0" w:line="185" w:lineRule="exact"/>
        <w:rPr>
          <w:sz w:val="20"/>
          <w:szCs w:val="20"/>
          <w:color w:val="auto"/>
        </w:rPr>
      </w:pPr>
    </w:p>
    <w:p>
      <w:pPr>
        <w:jc w:val="both"/>
        <w:ind w:left="400" w:firstLine="418"/>
        <w:spacing w:after="0" w:line="251"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40"/>
          </w:cols>
          <w:pgMar w:left="320" w:top="451" w:right="7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198755</wp:posOffset>
            </wp:positionV>
            <wp:extent cx="6870065" cy="5750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70065" cy="57505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400" w:type="dxa"/>
        <w:tblCellMar>
          <w:top w:w="0" w:type="dxa"/>
          <w:left w:w="0" w:type="dxa"/>
          <w:bottom w:w="0" w:type="dxa"/>
          <w:right w:w="0" w:type="dxa"/>
        </w:tblCellMar>
      </w:tblPr>
      <w:tr>
        <w:trPr>
          <w:trHeight w:val="233"/>
        </w:trPr>
        <w:tc>
          <w:tcPr>
            <w:tcW w:w="464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Underwriters’ over-allotment option of common stock offered by us</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w w:val="99"/>
              </w:rPr>
              <w:t>Common stock to be outstanding immediately after this offering</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(or  </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if</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the</w:t>
            </w:r>
          </w:p>
        </w:tc>
        <w:tc>
          <w:tcPr>
            <w:tcW w:w="1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underwriters exercise</w:t>
            </w:r>
          </w:p>
        </w:tc>
        <w:tc>
          <w:tcPr>
            <w:tcW w:w="0" w:type="dxa"/>
            <w:vAlign w:val="bottom"/>
          </w:tcPr>
          <w:p>
            <w:pPr>
              <w:spacing w:after="0"/>
              <w:rPr>
                <w:sz w:val="1"/>
                <w:szCs w:val="1"/>
                <w:color w:val="auto"/>
              </w:rPr>
            </w:pPr>
          </w:p>
        </w:tc>
      </w:tr>
      <w:tr>
        <w:trPr>
          <w:trHeight w:val="193"/>
        </w:trPr>
        <w:tc>
          <w:tcPr>
            <w:tcW w:w="46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3720" w:type="dxa"/>
            <w:vAlign w:val="bottom"/>
            <w:gridSpan w:val="8"/>
          </w:tcPr>
          <w:p>
            <w:pPr>
              <w:ind w:left="800"/>
              <w:spacing w:after="0"/>
              <w:rPr>
                <w:sz w:val="20"/>
                <w:szCs w:val="20"/>
                <w:color w:val="auto"/>
              </w:rPr>
            </w:pPr>
            <w:r>
              <w:rPr>
                <w:rFonts w:ascii="Times New Roman" w:cs="Times New Roman" w:eastAsia="Times New Roman" w:hAnsi="Times New Roman"/>
                <w:sz w:val="18"/>
                <w:szCs w:val="18"/>
                <w:color w:val="auto"/>
              </w:rPr>
              <w:t>their over-allotment option in full).</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08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 xml:space="preserve">approximately $ </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xml:space="preserve">million (or approximately $ </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if</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w w:val="98"/>
              </w:rPr>
              <w:t>the underwriters exercise their over-allotment option in full), based on</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4180" w:type="dxa"/>
            <w:vAlign w:val="bottom"/>
            <w:gridSpan w:val="10"/>
          </w:tcPr>
          <w:p>
            <w:pPr>
              <w:ind w:left="800"/>
              <w:spacing w:after="0"/>
              <w:rPr>
                <w:sz w:val="20"/>
                <w:szCs w:val="20"/>
                <w:color w:val="auto"/>
              </w:rPr>
            </w:pPr>
            <w:r>
              <w:rPr>
                <w:rFonts w:ascii="Times New Roman" w:cs="Times New Roman" w:eastAsia="Times New Roman" w:hAnsi="Times New Roman"/>
                <w:sz w:val="18"/>
                <w:szCs w:val="18"/>
                <w:color w:val="auto"/>
              </w:rPr>
              <w:t xml:space="preserve">the assumed initial public offering price of $ </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per share, which</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rPr>
              <w:t>is the midpoint of the price range set forth on the cover page of this</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rPr>
              <w:t>prospectus, and after deducting the estimated underwriting discounts</w:t>
            </w: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rPr>
              <w:t>and commissions and estimated offering expenses payable by us.</w:t>
            </w:r>
          </w:p>
        </w:tc>
        <w:tc>
          <w:tcPr>
            <w:tcW w:w="0" w:type="dxa"/>
            <w:vAlign w:val="bottom"/>
          </w:tcPr>
          <w:p>
            <w:pPr>
              <w:spacing w:after="0"/>
              <w:rPr>
                <w:sz w:val="1"/>
                <w:szCs w:val="1"/>
                <w:color w:val="auto"/>
              </w:rPr>
            </w:pPr>
          </w:p>
        </w:tc>
      </w:tr>
      <w:tr>
        <w:trPr>
          <w:trHeight w:val="312"/>
        </w:trPr>
        <w:tc>
          <w:tcPr>
            <w:tcW w:w="4640" w:type="dxa"/>
            <w:vAlign w:val="bottom"/>
          </w:tcPr>
          <w:p>
            <w:pPr>
              <w:spacing w:after="0"/>
              <w:rPr>
                <w:sz w:val="24"/>
                <w:szCs w:val="24"/>
                <w:color w:val="auto"/>
              </w:rPr>
            </w:pP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rPr>
              <w:t>We currently intend to use the net proceeds of this offering, together</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rPr>
              <w:t>with our existing cash, cash equivalents and marketable securities, to</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w w:val="98"/>
              </w:rPr>
              <w:t>fund the research and development of cretostimogene and for working</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3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other</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purposes,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including</w:t>
            </w: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rPr>
              <w:t>pre-commercial activities. See the section titled “Use of Proceeds.”</w:t>
            </w:r>
          </w:p>
        </w:tc>
        <w:tc>
          <w:tcPr>
            <w:tcW w:w="0" w:type="dxa"/>
            <w:vAlign w:val="bottom"/>
          </w:tcPr>
          <w:p>
            <w:pPr>
              <w:spacing w:after="0"/>
              <w:rPr>
                <w:sz w:val="1"/>
                <w:szCs w:val="1"/>
                <w:color w:val="auto"/>
              </w:rPr>
            </w:pPr>
          </w:p>
        </w:tc>
      </w:tr>
      <w:tr>
        <w:trPr>
          <w:trHeight w:val="27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w w:val="98"/>
              </w:rPr>
              <w:t>Investing in our common stock involves a high degree of risk. See the</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rPr>
              <w:t>section titled “Risk Factors” and other information included in this</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5800" w:type="dxa"/>
            <w:vAlign w:val="bottom"/>
            <w:gridSpan w:val="13"/>
          </w:tcPr>
          <w:p>
            <w:pPr>
              <w:ind w:left="800"/>
              <w:spacing w:after="0"/>
              <w:rPr>
                <w:sz w:val="20"/>
                <w:szCs w:val="20"/>
                <w:color w:val="auto"/>
              </w:rPr>
            </w:pPr>
            <w:r>
              <w:rPr>
                <w:rFonts w:ascii="Times New Roman" w:cs="Times New Roman" w:eastAsia="Times New Roman" w:hAnsi="Times New Roman"/>
                <w:sz w:val="18"/>
                <w:szCs w:val="18"/>
                <w:color w:val="auto"/>
              </w:rPr>
              <w:t>prospectus for a discussion of risks you should consider carefully</w:t>
            </w: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4180" w:type="dxa"/>
            <w:vAlign w:val="bottom"/>
            <w:gridSpan w:val="10"/>
          </w:tcPr>
          <w:p>
            <w:pPr>
              <w:ind w:left="800"/>
              <w:spacing w:after="0"/>
              <w:rPr>
                <w:sz w:val="20"/>
                <w:szCs w:val="20"/>
                <w:color w:val="auto"/>
              </w:rPr>
            </w:pPr>
            <w:r>
              <w:rPr>
                <w:rFonts w:ascii="Times New Roman" w:cs="Times New Roman" w:eastAsia="Times New Roman" w:hAnsi="Times New Roman"/>
                <w:sz w:val="18"/>
                <w:szCs w:val="18"/>
                <w:color w:val="auto"/>
                <w:w w:val="98"/>
              </w:rPr>
              <w:t>before deciding to invest in our common stock.</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Proposed Nasdaq Global Market trading symbol</w:t>
            </w:r>
          </w:p>
        </w:tc>
        <w:tc>
          <w:tcPr>
            <w:tcW w:w="148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w w:val="98"/>
              </w:rPr>
              <w:t>“CGON”</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36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 xml:space="preserve">The number of shares of our common stock to be outstanding after this offering set forth above is based on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shares of our common</w:t>
            </w:r>
          </w:p>
        </w:tc>
        <w:tc>
          <w:tcPr>
            <w:tcW w:w="0" w:type="dxa"/>
            <w:vAlign w:val="bottom"/>
          </w:tcPr>
          <w:p>
            <w:pPr>
              <w:spacing w:after="0"/>
              <w:rPr>
                <w:sz w:val="1"/>
                <w:szCs w:val="1"/>
                <w:color w:val="auto"/>
              </w:rPr>
            </w:pPr>
          </w:p>
        </w:tc>
      </w:tr>
    </w:tbl>
    <w:p>
      <w:pPr>
        <w:jc w:val="both"/>
        <w:ind w:left="400"/>
        <w:spacing w:after="0" w:line="251" w:lineRule="auto"/>
        <w:rPr>
          <w:sz w:val="20"/>
          <w:szCs w:val="20"/>
          <w:color w:val="auto"/>
        </w:rPr>
      </w:pPr>
      <w:r>
        <w:rPr>
          <w:rFonts w:ascii="Times New Roman" w:cs="Times New Roman" w:eastAsia="Times New Roman" w:hAnsi="Times New Roman"/>
          <w:sz w:val="18"/>
          <w:szCs w:val="18"/>
          <w:color w:val="auto"/>
        </w:rPr>
        <w:t>stock outstanding as of September 30, 2023, after giving effect to the automatic conversion of all outstanding shares of our redeemable convertible preferred stock into 366,277,131 shares of our common stock immediately prior to the closing of this offering, and excludes:</w:t>
      </w:r>
    </w:p>
    <w:p>
      <w:pPr>
        <w:sectPr>
          <w:pgSz w:w="11900" w:h="16838" w:orient="portrait"/>
          <w:cols w:equalWidth="0" w:num="1">
            <w:col w:w="10840"/>
          </w:cols>
          <w:pgMar w:left="320" w:top="451" w:right="739" w:bottom="1440" w:gutter="0" w:footer="0" w:header="0"/>
        </w:sectPr>
      </w:pPr>
    </w:p>
    <w:p>
      <w:pPr>
        <w:spacing w:after="0" w:line="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        shares of common stock issuable upon the exercise of stock options outstanding as of September 30, 2023, with a weighted-average exercise price of $      per share;</w:t>
      </w:r>
    </w:p>
    <w:p>
      <w:pPr>
        <w:spacing w:after="0" w:line="71" w:lineRule="exact"/>
        <w:rPr>
          <w:sz w:val="20"/>
          <w:szCs w:val="20"/>
          <w:color w:val="auto"/>
        </w:rPr>
      </w:pPr>
    </w:p>
    <w:p>
      <w:pPr>
        <w:sectPr>
          <w:pgSz w:w="11900" w:h="16838" w:orient="portrait"/>
          <w:cols w:equalWidth="0" w:num="2">
            <w:col w:w="860" w:space="460"/>
            <w:col w:w="9520"/>
          </w:cols>
          <w:pgMar w:left="320" w:top="451" w:right="7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Times New Roman" w:cs="Times New Roman" w:eastAsia="Times New Roman" w:hAnsi="Times New Roman"/>
          <w:sz w:val="18"/>
          <w:szCs w:val="18"/>
          <w:color w:val="auto"/>
        </w:rPr>
        <w:t>        shares of common stock issuable upon the exercise of stock options subsequent to September 30, 2023, with a weighted-average exercise price of $      per share;</w:t>
      </w:r>
    </w:p>
    <w:p>
      <w:pPr>
        <w:spacing w:after="0" w:line="71" w:lineRule="exact"/>
        <w:rPr>
          <w:sz w:val="20"/>
          <w:szCs w:val="20"/>
          <w:color w:val="auto"/>
        </w:rPr>
      </w:pPr>
    </w:p>
    <w:p>
      <w:pPr>
        <w:sectPr>
          <w:pgSz w:w="11900" w:h="16838" w:orient="portrait"/>
          <w:cols w:equalWidth="0" w:num="2">
            <w:col w:w="860" w:space="460"/>
            <w:col w:w="9520"/>
          </w:cols>
          <w:pgMar w:left="320" w:top="451" w:right="739" w:bottom="1440" w:gutter="0" w:footer="0" w:header="0"/>
          <w:type w:val="continuous"/>
        </w:sectPr>
      </w:pPr>
    </w:p>
    <w:p>
      <w:pPr>
        <w:ind w:left="1320" w:hanging="512"/>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reserved for future issuance under our 2024 Incentive Award Plan (the 2024 Plan), which will</w:t>
      </w:r>
    </w:p>
    <w:p>
      <w:pPr>
        <w:spacing w:after="0" w:line="24" w:lineRule="exact"/>
        <w:rPr>
          <w:sz w:val="20"/>
          <w:szCs w:val="20"/>
          <w:color w:val="auto"/>
        </w:rPr>
      </w:pPr>
    </w:p>
    <w:p>
      <w:pPr>
        <w:jc w:val="both"/>
        <w:ind w:left="1320"/>
        <w:spacing w:after="0" w:line="248" w:lineRule="auto"/>
        <w:rPr>
          <w:sz w:val="20"/>
          <w:szCs w:val="20"/>
          <w:color w:val="auto"/>
        </w:rPr>
      </w:pPr>
      <w:r>
        <w:rPr>
          <w:rFonts w:ascii="Times New Roman" w:cs="Times New Roman" w:eastAsia="Times New Roman" w:hAnsi="Times New Roman"/>
          <w:sz w:val="18"/>
          <w:szCs w:val="18"/>
          <w:color w:val="auto"/>
        </w:rPr>
        <w:t>become effective in connection with this offering (which number includes         shares of common stock reserved for issuance under our 2022 Incentive Award Plan (the 2022 Plan) as of September 30, 2023, which shares will be added to the 2024 Plan upon its effectiveness, but does not include any potential evergreen increases pursuant to the terms of the 2024 Plan); and</w:t>
      </w:r>
    </w:p>
    <w:p>
      <w:pPr>
        <w:spacing w:after="0" w:line="29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40"/>
          </w:cols>
          <w:pgMar w:left="320" w:top="451" w:right="7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213360</wp:posOffset>
            </wp:positionV>
            <wp:extent cx="6870065" cy="2225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70065" cy="2225675"/>
                    </a:xfrm>
                    <a:prstGeom prst="rect">
                      <a:avLst/>
                    </a:prstGeom>
                    <a:noFill/>
                  </pic:spPr>
                </pic:pic>
              </a:graphicData>
            </a:graphic>
          </wp:anchor>
        </w:drawing>
      </w:r>
    </w:p>
    <w:p>
      <w:pPr>
        <w:sectPr>
          <w:pgSz w:w="11900" w:h="16838" w:orient="portrait"/>
          <w:cols w:equalWidth="0" w:num="1">
            <w:col w:w="10840"/>
          </w:cols>
          <w:pgMar w:left="320" w:top="451" w:right="7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shares of common stock reserved for future issuance under our 2024 Employee Stock Purchase Plan (the ESPP), which will become effective in connection with this offering (which number does not include any potential evergreen increases pursuant to the terms of the ESPP).</w:t>
      </w:r>
    </w:p>
    <w:p>
      <w:pPr>
        <w:spacing w:after="0" w:line="178" w:lineRule="exact"/>
        <w:rPr>
          <w:sz w:val="20"/>
          <w:szCs w:val="20"/>
          <w:color w:val="auto"/>
        </w:rPr>
      </w:pPr>
    </w:p>
    <w:p>
      <w:pPr>
        <w:sectPr>
          <w:pgSz w:w="11900" w:h="16838" w:orient="portrait"/>
          <w:cols w:equalWidth="0" w:num="2">
            <w:col w:w="860" w:space="460"/>
            <w:col w:w="9520"/>
          </w:cols>
          <w:pgMar w:left="320" w:top="451" w:right="7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8"/>
          <w:szCs w:val="18"/>
          <w:color w:val="auto"/>
        </w:rPr>
        <w:t>Unless otherwise indicated, all information contained in this prospectus assumes or gives effect to the following:</w:t>
      </w:r>
    </w:p>
    <w:p>
      <w:pPr>
        <w:spacing w:after="0" w:line="124" w:lineRule="exact"/>
        <w:rPr>
          <w:sz w:val="20"/>
          <w:szCs w:val="20"/>
          <w:color w:val="auto"/>
        </w:rPr>
      </w:pPr>
    </w:p>
    <w:p>
      <w:pPr>
        <w:ind w:left="1320" w:hanging="512"/>
        <w:spacing w:after="0" w:line="274" w:lineRule="auto"/>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each of which will occur immediately prior to the closing of this offering;</w:t>
      </w:r>
    </w:p>
    <w:p>
      <w:pPr>
        <w:spacing w:after="0" w:line="70" w:lineRule="exact"/>
        <w:rPr>
          <w:rFonts w:ascii="Times New Roman" w:cs="Times New Roman" w:eastAsia="Times New Roman" w:hAnsi="Times New Roman"/>
          <w:sz w:val="18"/>
          <w:szCs w:val="18"/>
          <w:color w:val="auto"/>
        </w:rPr>
      </w:pPr>
    </w:p>
    <w:p>
      <w:pPr>
        <w:ind w:left="1320" w:hanging="512"/>
        <w:spacing w:after="0" w:line="274" w:lineRule="auto"/>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outstanding shares of our redeemable convertible preferred stock into 366,277,131 shares of our common stock immediately prior to the closing of this offering;</w:t>
      </w:r>
    </w:p>
    <w:p>
      <w:pPr>
        <w:spacing w:after="0" w:line="71" w:lineRule="exact"/>
        <w:rPr>
          <w:sz w:val="20"/>
          <w:szCs w:val="20"/>
          <w:color w:val="auto"/>
        </w:rPr>
      </w:pPr>
    </w:p>
    <w:p>
      <w:pPr>
        <w:ind w:left="800"/>
        <w:spacing w:after="0"/>
        <w:tabs>
          <w:tab w:leader="none" w:pos="130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-for-    reverse stock split of our common stock, which we effected on             , 2023;</w:t>
      </w:r>
    </w:p>
    <w:p>
      <w:pPr>
        <w:spacing w:after="0" w:line="124" w:lineRule="exact"/>
        <w:rPr>
          <w:sz w:val="20"/>
          <w:szCs w:val="20"/>
          <w:color w:val="auto"/>
        </w:rPr>
      </w:pPr>
    </w:p>
    <w:p>
      <w:pPr>
        <w:ind w:left="1320" w:hanging="512"/>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stock options described above; and</w:t>
      </w:r>
    </w:p>
    <w:p>
      <w:pPr>
        <w:spacing w:after="0" w:line="124" w:lineRule="exact"/>
        <w:rPr>
          <w:rFonts w:ascii="Times New Roman" w:cs="Times New Roman" w:eastAsia="Times New Roman" w:hAnsi="Times New Roman"/>
          <w:sz w:val="18"/>
          <w:szCs w:val="18"/>
          <w:color w:val="auto"/>
        </w:rPr>
      </w:pPr>
    </w:p>
    <w:p>
      <w:pPr>
        <w:ind w:left="1320" w:hanging="512"/>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over-allotment option.</w:t>
      </w:r>
    </w:p>
    <w:p>
      <w:pPr>
        <w:spacing w:after="0" w:line="3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40"/>
          </w:cols>
          <w:pgMar w:left="320" w:top="451" w:right="7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198755</wp:posOffset>
            </wp:positionV>
            <wp:extent cx="6870065" cy="6003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70065" cy="60032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19" w:lineRule="exact"/>
        <w:rPr>
          <w:sz w:val="20"/>
          <w:szCs w:val="20"/>
          <w:color w:val="auto"/>
        </w:rPr>
      </w:pPr>
    </w:p>
    <w:p>
      <w:pPr>
        <w:jc w:val="both"/>
        <w:ind w:left="400" w:right="180" w:firstLine="418"/>
        <w:spacing w:after="0" w:line="248" w:lineRule="auto"/>
        <w:rPr>
          <w:sz w:val="20"/>
          <w:szCs w:val="20"/>
          <w:color w:val="auto"/>
        </w:rPr>
      </w:pPr>
      <w:r>
        <w:rPr>
          <w:rFonts w:ascii="Times New Roman" w:cs="Times New Roman" w:eastAsia="Times New Roman" w:hAnsi="Times New Roman"/>
          <w:sz w:val="18"/>
          <w:szCs w:val="18"/>
          <w:color w:val="auto"/>
        </w:rPr>
        <w:t>The following tables set forth a summary of our historical financial data as of, and for the periods ended on, the dates indicated. We have derived the summary statements of operations and comprehensive loss data for the years ended December 31, 2021 and 2022 from our audited financial statements included elsewhere in this prospectus. We have derived the summary statements of operations and comprehensive loss data for the nine months ended September 30, 2022 and 2023 and the summary balance sheet data as of September 30, 2023 from our unaudited financial statements included elsewhere in this prospectus. The unaudited financial statements have been prepared on a basis consistent with our audited financial statements included in this prospectus and, in the opinion of management, reflect all adjustments, consisting only of normal recurring adjustments, necessary to fairly state the financial information in those statements. You should read these data together with our financial statements and related notes included elsewhere in this prospectus and the section titled “Management’s Discussion and Analysis of Financial Condition and Results of Operations.” Our historical results for any prior period are not necessarily indicative of our future results, and our interim results are not necessarily indicative of our expected results for the year ended December 31, 2023.</w:t>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23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6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gridSpan w:val="5"/>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(in thousands, except for share</w:t>
            </w:r>
          </w:p>
        </w:tc>
        <w:tc>
          <w:tcPr>
            <w:tcW w:w="84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and per share</w:t>
            </w:r>
          </w:p>
        </w:tc>
        <w:tc>
          <w:tcPr>
            <w:tcW w:w="44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data)</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 Data:</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collaboration revenue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191</w:t>
            </w:r>
          </w:p>
        </w:tc>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29,029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9"/>
                <w:szCs w:val="19"/>
                <w:color w:val="auto"/>
              </w:rPr>
            </w:pPr>
          </w:p>
        </w:tc>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35,437</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(35,443)</w:t>
            </w:r>
          </w:p>
        </w:tc>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Deemed dividend on redeemable convertible preferred stock</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0" w:type="dxa"/>
            <w:vAlign w:val="bottom"/>
          </w:tcPr>
          <w:p>
            <w:pPr>
              <w:spacing w:after="0"/>
              <w:rPr>
                <w:sz w:val="16"/>
                <w:szCs w:val="16"/>
                <w:color w:val="auto"/>
              </w:rPr>
            </w:pPr>
          </w:p>
        </w:tc>
        <w:tc>
          <w:tcPr>
            <w:tcW w:w="49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issuances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redeemable convertible preferred stock dividends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(7,871)</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0" w:type="dxa"/>
            <w:vAlign w:val="bottom"/>
          </w:tcPr>
          <w:p>
            <w:pPr>
              <w:spacing w:after="0"/>
              <w:rPr>
                <w:sz w:val="16"/>
                <w:szCs w:val="16"/>
                <w:color w:val="auto"/>
              </w:rPr>
            </w:pPr>
          </w:p>
        </w:tc>
        <w:tc>
          <w:tcPr>
            <w:tcW w:w="49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9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6"/>
                <w:szCs w:val="26"/>
                <w:color w:val="auto"/>
                <w:vertAlign w:val="superscript"/>
              </w:rPr>
              <w:t>(1)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80" w:type="dxa"/>
            <w:vAlign w:val="bottom"/>
            <w:tcBorders>
              <w:right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9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6"/>
                <w:szCs w:val="26"/>
                <w:color w:val="auto"/>
                <w:vertAlign w:val="superscript"/>
              </w:rPr>
              <w:t>(1)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34,807,996</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35,669,546</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49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Pro forma net loss per share, basic and diluted (unaudited)</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(0.14)</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Borders>
              <w:right w:val="single" w:sz="8" w:color="CCEEFF"/>
            </w:tcBorders>
            <w:gridSpan w:val="3"/>
            <w:shd w:val="clear" w:color="auto" w:fill="CCEEFF"/>
          </w:tcPr>
          <w:p>
            <w:pPr>
              <w:ind w:left="5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Pro forma weighted-average shares of common stock outstanding,</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4920" w:type="dxa"/>
            <w:vAlign w:val="bottom"/>
          </w:tcPr>
          <w:p>
            <w:pPr>
              <w:ind w:left="180"/>
              <w:spacing w:after="0" w:line="190" w:lineRule="exact"/>
              <w:rPr>
                <w:sz w:val="20"/>
                <w:szCs w:val="20"/>
                <w:color w:val="auto"/>
              </w:rPr>
            </w:pPr>
            <w:r>
              <w:rPr>
                <w:rFonts w:ascii="Times New Roman" w:cs="Times New Roman" w:eastAsia="Times New Roman" w:hAnsi="Times New Roman"/>
                <w:sz w:val="15"/>
                <w:szCs w:val="15"/>
                <w:color w:val="auto"/>
              </w:rPr>
              <w:t>basic and diluted (unaudited)</w:t>
            </w:r>
            <w:r>
              <w:rPr>
                <w:rFonts w:ascii="Times New Roman" w:cs="Times New Roman" w:eastAsia="Times New Roman" w:hAnsi="Times New Roman"/>
                <w:sz w:val="22"/>
                <w:szCs w:val="22"/>
                <w:color w:val="auto"/>
                <w:vertAlign w:val="superscript"/>
              </w:rPr>
              <w:t>(2)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321,329,287</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4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5"/>
        </w:trPr>
        <w:tc>
          <w:tcPr>
            <w:tcW w:w="1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1"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198755</wp:posOffset>
            </wp:positionV>
            <wp:extent cx="6870065" cy="4370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70065" cy="437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800" w:hanging="403"/>
        <w:spacing w:after="0" w:line="225" w:lineRule="auto"/>
        <w:tabs>
          <w:tab w:leader="none" w:pos="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and Note 12 to our audited financial statements and to our unaudited condensed financial statements included elsewhere in this prospectus for an explanation of the method used to calculate historical net loss attributable to common stockholders per share, basic and diluted, and the weighted-average number of shares of common stock used in the computation of the per share amounts.</w:t>
      </w:r>
    </w:p>
    <w:p>
      <w:pPr>
        <w:jc w:val="both"/>
        <w:ind w:left="800" w:hanging="403"/>
        <w:spacing w:after="0" w:line="222" w:lineRule="auto"/>
        <w:tabs>
          <w:tab w:leader="none" w:pos="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pro forma net loss per share, basic and diluted, attributable to common stockholders, is calculated giving effect to the conversion of all outstanding shares of our redeemable convertible preferred stock into shares of our common stock. Unaudited pro forma net loss per share attributable to common stockholders does not include the shares expected to be sold and related proceeds to be received in this offering. Unaudited pro forma net loss per share attributable to common stockholders for the year ended December 31, 2022 and the nine months ended September 30, 2023 was calculated using the weighted-average number of shares of common stock outstanding, including the pro forma effect of the conversion of all outstanding shares of our redeemable convertible preferred stock into shares of our common stock, as if such conversion had occurred at the beginning of the period, or their issuance dates, if later.</w:t>
      </w:r>
    </w:p>
    <w:p>
      <w:pPr>
        <w:spacing w:after="0" w:line="202"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(1)(3)</w:t>
            </w:r>
          </w:p>
        </w:tc>
        <w:tc>
          <w:tcPr>
            <w:tcW w:w="28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ind w:left="160"/>
              <w:spacing w:after="0" w:line="11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5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0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(in thousands, except for</w:t>
            </w:r>
          </w:p>
        </w:tc>
        <w:tc>
          <w:tcPr>
            <w:tcW w:w="36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w w:val="91"/>
              </w:rPr>
              <w:t>share</w:t>
            </w:r>
          </w:p>
        </w:tc>
        <w:tc>
          <w:tcPr>
            <w:tcW w:w="1000" w:type="dxa"/>
            <w:vAlign w:val="bottom"/>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data)</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36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4"/>
                <w:szCs w:val="24"/>
                <w:color w:val="auto"/>
                <w:vertAlign w:val="superscript"/>
              </w:rPr>
              <w:t>(4)</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left="800" w:hanging="403"/>
        <w:spacing w:after="0" w:line="225" w:lineRule="auto"/>
        <w:tabs>
          <w:tab w:leader="none" w:pos="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amounts give effect to the automatic conversion of all outstanding shares of our redeemable convertible preferred stock into an aggregate of 366,277,131 shares of our common stock and the related reclassification of the carrying value of the redeemable convertible preferred stock to permanent equity immediately prior to the closing of this offering.</w:t>
      </w:r>
    </w:p>
    <w:tbl>
      <w:tblPr>
        <w:tblLayout w:type="fixed"/>
        <w:tblInd w:w="400" w:type="dxa"/>
        <w:tblCellMar>
          <w:top w:w="0" w:type="dxa"/>
          <w:left w:w="0" w:type="dxa"/>
          <w:bottom w:w="0" w:type="dxa"/>
          <w:right w:w="0" w:type="dxa"/>
        </w:tblCellMar>
      </w:tblPr>
      <w:tr>
        <w:trPr>
          <w:trHeight w:val="130"/>
        </w:trPr>
        <w:tc>
          <w:tcPr>
            <w:tcW w:w="280" w:type="dxa"/>
            <w:vAlign w:val="bottom"/>
          </w:tcPr>
          <w:p>
            <w:pPr>
              <w:jc w:val="right"/>
              <w:ind w:right="49"/>
              <w:spacing w:after="0" w:line="131" w:lineRule="exact"/>
              <w:rPr>
                <w:sz w:val="20"/>
                <w:szCs w:val="20"/>
                <w:color w:val="auto"/>
              </w:rPr>
            </w:pPr>
            <w:r>
              <w:rPr>
                <w:rFonts w:ascii="Times New Roman" w:cs="Times New Roman" w:eastAsia="Times New Roman" w:hAnsi="Times New Roman"/>
                <w:sz w:val="14"/>
                <w:szCs w:val="14"/>
                <w:color w:val="auto"/>
                <w:w w:val="85"/>
              </w:rPr>
              <w:t>(2)</w:t>
            </w:r>
          </w:p>
        </w:tc>
        <w:tc>
          <w:tcPr>
            <w:tcW w:w="10160" w:type="dxa"/>
            <w:vAlign w:val="bottom"/>
          </w:tcPr>
          <w:p>
            <w:pPr>
              <w:ind w:left="120"/>
              <w:spacing w:after="0" w:line="131" w:lineRule="exact"/>
              <w:rPr>
                <w:sz w:val="20"/>
                <w:szCs w:val="20"/>
                <w:color w:val="auto"/>
              </w:rPr>
            </w:pPr>
            <w:r>
              <w:rPr>
                <w:rFonts w:ascii="Times New Roman" w:cs="Times New Roman" w:eastAsia="Times New Roman" w:hAnsi="Times New Roman"/>
                <w:sz w:val="14"/>
                <w:szCs w:val="14"/>
                <w:color w:val="auto"/>
              </w:rPr>
              <w:t>Pro forma as adjusted amounts give effect to (i) the pro forma adjustments set forth in footnote (1) above, and (ii) the issuance and sale of             shares of our common stock</w:t>
            </w:r>
          </w:p>
        </w:tc>
      </w:tr>
      <w:tr>
        <w:trPr>
          <w:trHeight w:val="146"/>
        </w:trPr>
        <w:tc>
          <w:tcPr>
            <w:tcW w:w="280" w:type="dxa"/>
            <w:vAlign w:val="bottom"/>
          </w:tcPr>
          <w:p>
            <w:pPr>
              <w:spacing w:after="0"/>
              <w:rPr>
                <w:sz w:val="12"/>
                <w:szCs w:val="12"/>
                <w:color w:val="auto"/>
              </w:rPr>
            </w:pPr>
          </w:p>
        </w:tc>
        <w:tc>
          <w:tcPr>
            <w:tcW w:w="101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in this offering at the initial public offering price of $         per share, the midpoint of the price range set forth on the cover page of this prospectus, after deducting the</w:t>
            </w:r>
          </w:p>
        </w:tc>
      </w:tr>
      <w:tr>
        <w:trPr>
          <w:trHeight w:val="146"/>
        </w:trPr>
        <w:tc>
          <w:tcPr>
            <w:tcW w:w="280" w:type="dxa"/>
            <w:vAlign w:val="bottom"/>
          </w:tcPr>
          <w:p>
            <w:pPr>
              <w:spacing w:after="0"/>
              <w:rPr>
                <w:sz w:val="12"/>
                <w:szCs w:val="12"/>
                <w:color w:val="auto"/>
              </w:rPr>
            </w:pPr>
          </w:p>
        </w:tc>
        <w:tc>
          <w:tcPr>
            <w:tcW w:w="101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estimated underwriting discounts and commissions and estimated offering expenses payable by us. Each $1.00 increase or decrease in the assumed initial public offering price of</w:t>
            </w:r>
          </w:p>
        </w:tc>
      </w:tr>
      <w:tr>
        <w:trPr>
          <w:trHeight w:val="146"/>
        </w:trPr>
        <w:tc>
          <w:tcPr>
            <w:tcW w:w="280" w:type="dxa"/>
            <w:vAlign w:val="bottom"/>
          </w:tcPr>
          <w:p>
            <w:pPr>
              <w:spacing w:after="0"/>
              <w:rPr>
                <w:sz w:val="12"/>
                <w:szCs w:val="12"/>
                <w:color w:val="auto"/>
              </w:rPr>
            </w:pPr>
          </w:p>
        </w:tc>
        <w:tc>
          <w:tcPr>
            <w:tcW w:w="101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         per share would increase or decrease, as applicable, the pro forma as adjusted amount of each of our cash, cash equivalents and marketable securities, working capital,</w:t>
            </w:r>
          </w:p>
        </w:tc>
      </w:tr>
      <w:tr>
        <w:trPr>
          <w:trHeight w:val="146"/>
        </w:trPr>
        <w:tc>
          <w:tcPr>
            <w:tcW w:w="280" w:type="dxa"/>
            <w:vAlign w:val="bottom"/>
          </w:tcPr>
          <w:p>
            <w:pPr>
              <w:spacing w:after="0"/>
              <w:rPr>
                <w:sz w:val="12"/>
                <w:szCs w:val="12"/>
                <w:color w:val="auto"/>
              </w:rPr>
            </w:pPr>
          </w:p>
        </w:tc>
        <w:tc>
          <w:tcPr>
            <w:tcW w:w="101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total assets and total stockholders’ (deficit) equity by approximately $          , assuming that the number of shares offered by us, as set forth on the cover page of this</w:t>
            </w:r>
          </w:p>
        </w:tc>
      </w:tr>
      <w:tr>
        <w:trPr>
          <w:trHeight w:val="162"/>
        </w:trPr>
        <w:tc>
          <w:tcPr>
            <w:tcW w:w="280" w:type="dxa"/>
            <w:vAlign w:val="bottom"/>
          </w:tcPr>
          <w:p>
            <w:pPr>
              <w:spacing w:after="0"/>
              <w:rPr>
                <w:sz w:val="14"/>
                <w:szCs w:val="14"/>
                <w:color w:val="auto"/>
              </w:rPr>
            </w:pPr>
          </w:p>
        </w:tc>
        <w:tc>
          <w:tcPr>
            <w:tcW w:w="10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prospectus, remains the same and after deducting the estimated underwriting discounts and commissions and estimated offering expenses payable by us. Each increase or</w:t>
            </w:r>
          </w:p>
        </w:tc>
      </w:tr>
    </w:tbl>
    <w:p>
      <w:pPr>
        <w:jc w:val="both"/>
        <w:ind w:left="800"/>
        <w:spacing w:after="0" w:line="217" w:lineRule="auto"/>
        <w:rPr>
          <w:sz w:val="20"/>
          <w:szCs w:val="20"/>
          <w:color w:val="auto"/>
        </w:rPr>
      </w:pPr>
      <w:r>
        <w:rPr>
          <w:rFonts w:ascii="Times New Roman" w:cs="Times New Roman" w:eastAsia="Times New Roman" w:hAnsi="Times New Roman"/>
          <w:sz w:val="14"/>
          <w:szCs w:val="14"/>
          <w:color w:val="auto"/>
        </w:rPr>
        <w:t>decrease of 1.0 million shares in the number of shares offered by us at the assumed initial public offering price of $      per share would increase or decrease, as applicable, the pro forma as adjusted amounts of each of our cash, cash equivalents and marketable securities, working capital, total assets and total stockholders’ (deficit) equity by approximately $      , after deducting the estimated underwriting discounts and commissions and estimated offering expenses payable by us.</w:t>
      </w:r>
    </w:p>
    <w:p>
      <w:pPr>
        <w:spacing w:after="0" w:line="1" w:lineRule="exact"/>
        <w:rPr>
          <w:sz w:val="20"/>
          <w:szCs w:val="20"/>
          <w:color w:val="auto"/>
        </w:rPr>
      </w:pPr>
    </w:p>
    <w:p>
      <w:pPr>
        <w:ind w:left="800" w:right="20" w:hanging="403"/>
        <w:spacing w:after="0" w:line="217" w:lineRule="auto"/>
        <w:tabs>
          <w:tab w:leader="none" w:pos="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and pro forma as adjusted information discussed above is illustrative only and will be adjusted based on actual initial public offering price and other terms of this offering determined at pricing.</w:t>
      </w:r>
    </w:p>
    <w:p>
      <w:pPr>
        <w:ind w:left="800" w:hanging="403"/>
        <w:spacing w:after="0" w:line="233" w:lineRule="auto"/>
        <w:tabs>
          <w:tab w:leader="none" w:pos="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29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40"/>
          </w:cols>
          <w:pgMar w:left="320" w:top="451" w:right="7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7"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and in the section titled “Management’s Discussion and Analysis of Financial Condition and Results of Operations”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not presently known to us or that we currently believe to be immaterial also may impair our business, financial condition, results of operations and prospects.</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15" w:lineRule="exact"/>
        <w:rPr>
          <w:sz w:val="20"/>
          <w:szCs w:val="20"/>
          <w:color w:val="auto"/>
        </w:rPr>
      </w:pPr>
    </w:p>
    <w:p>
      <w:pPr>
        <w:jc w:val="both"/>
        <w:ind w:left="220" w:right="2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We have a relatively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31"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biopharmaceutical company with a relatively limited operating history upon which you can evaluate our business and prospects. We commenced operations in 2010, have no products approved for commercial sale and have not generated any revenue from the sale of our products. To date, we have focused primarily on organizing and staffing our company, business planning, raising capital, conducting research, preclinical studies and clinical trials for our product candidate, cretostimogene, establishing our intellectual property portfolio, establishing arrangements with third parties for the manufacture of cretostimogene and supply of related raw materials, and providing general and administrative support for these operations. We have not yet demonstrated the ability to successfully complete any clinical trial beyond Phase 2, obtain regulatory approvals, manufacture products at commercial scale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93"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do not have any products approved for sale and have not generated any revenue from product sales. If we are unable to successfully develop, obtain requisite approval for and commercialize cretostimogene or any future product candidates, we may never generate revenue. Our net losses were $12.8 million and $35.4 million for the years ended December 31, 2021 and 2022, respectively, and $  million for the nine months ended September 30, 2023. As of September 30, 2023, we had an accumulated deficit of $      million. Substantially all of our losses have resulted from expenses incurred in connection with our research and development activities and from general and administrative costs associated with our operations. Cretostimogene and any future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cretostimogene and any future product candidates, as well as operate as a public company.</w:t>
      </w:r>
    </w:p>
    <w:p>
      <w:pPr>
        <w:spacing w:after="0" w:line="193"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and preclinical studies of cretostimogene and any future product candidates, acquiring additional product candidates, obtaining regulatory approval for cretostimogene and any future product candidates, and manufacturing, marketing, and selling any products for which we may obtain regulatory approval. We are only in the preliminary stages of most of these activities. We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40"/>
          </w:cols>
          <w:pgMar w:left="320" w:top="451"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49" w:lineRule="auto"/>
        <w:rPr>
          <w:sz w:val="20"/>
          <w:szCs w:val="20"/>
          <w:color w:val="auto"/>
        </w:rPr>
      </w:pPr>
      <w:r>
        <w:rPr>
          <w:rFonts w:ascii="Times New Roman" w:cs="Times New Roman" w:eastAsia="Times New Roman" w:hAnsi="Times New Roman"/>
          <w:sz w:val="18"/>
          <w:szCs w:val="18"/>
          <w:color w:val="auto"/>
        </w:rPr>
        <w:t>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w:t>
      </w:r>
    </w:p>
    <w:p>
      <w:pPr>
        <w:spacing w:after="0" w:line="292" w:lineRule="exact"/>
        <w:rPr>
          <w:sz w:val="20"/>
          <w:szCs w:val="20"/>
          <w:color w:val="auto"/>
        </w:rPr>
      </w:pPr>
    </w:p>
    <w:p>
      <w:pPr>
        <w:jc w:val="both"/>
        <w:ind w:left="2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68"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The development of biopharmaceutical product candidates, including conducting preclinical studies and clinical trials, is a very time-consuming, capital-intensive and uncertain process. Our operations have consumed substantial amounts of cash since inception. We expect our expenses to substantially increase in connection with our ongoing activities, particularly as we conduct our ongoing and planned clinical trials of cretostimogene and potentially seek regulatory approval for cretostimogene and any future product candidates we may develop. In addition, if we are able to progress cretostimogene through development and commercialization, we expect to be required to make milestone and royalty payments pursuant to various license or collaboration agreements with third parties. If we obtain regulatory approval for cretostimogene or any future product candidates, we also expect to incur significant commercialization expenses related to product manufacturing, marketing, sales, and distribution. Because the outcome of any clinical trial or preclinical study is highly uncertain, we cannot reliably estimate the actual amount of capital necessary to successfully complete the development and commercialization of cretostimogene or any future product candidates. Furthermore, following the completion of this offering, we expect to incur additional costs associated with operating as a public company.</w:t>
      </w:r>
    </w:p>
    <w:p>
      <w:pPr>
        <w:spacing w:after="0" w:line="193" w:lineRule="exact"/>
        <w:rPr>
          <w:sz w:val="20"/>
          <w:szCs w:val="20"/>
          <w:color w:val="auto"/>
        </w:rPr>
      </w:pPr>
    </w:p>
    <w:p>
      <w:pPr>
        <w:jc w:val="both"/>
        <w:ind w:left="220" w:right="20" w:firstLine="432"/>
        <w:spacing w:after="0" w:line="247" w:lineRule="auto"/>
        <w:rPr>
          <w:sz w:val="20"/>
          <w:szCs w:val="20"/>
          <w:color w:val="auto"/>
        </w:rPr>
      </w:pPr>
      <w:r>
        <w:rPr>
          <w:rFonts w:ascii="Times New Roman" w:cs="Times New Roman" w:eastAsia="Times New Roman" w:hAnsi="Times New Roman"/>
          <w:sz w:val="18"/>
          <w:szCs w:val="18"/>
          <w:color w:val="auto"/>
        </w:rPr>
        <w:t>Based on our current operating plan, we believe that the net proceeds from this offering, together with our existing cash, cash equivalents and marketable securities, will be sufficient to fund our operations for at least the next         months from the date of this prospectus. In particular, we expect that the net proceeds from this offering and our existing cash, cash equivalents and marketable securities will allow us to           .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The net proceeds of this offering, together with our existing capital, may not be sufficient to complete development of cretostimogene, or any future product candidates, and after this offering, we will require substantial capital in order to advance cretostimogene and any future product candidates through clinical trials, regulatory approval and commercialization. Accordingly, we will need to obtain substantial additional funding in connection with our continuing operations. Our ability to raise additional funds may be adversely impacted by global economic conditions, disruptions to, and volatility in, the credit and financial markets in the United States and worldwide, and diminished liquidity and credit availability.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cretostimogene or any future product candidates.</w:t>
      </w:r>
    </w:p>
    <w:p>
      <w:pPr>
        <w:spacing w:after="0" w:line="1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320" w:top="451"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w:t>
      </w:r>
    </w:p>
    <w:p>
      <w:pPr>
        <w:spacing w:after="0" w:line="124" w:lineRule="exact"/>
        <w:rPr>
          <w:sz w:val="20"/>
          <w:szCs w:val="20"/>
          <w:color w:val="auto"/>
        </w:rPr>
      </w:pPr>
    </w:p>
    <w:p>
      <w:pPr>
        <w:jc w:val="both"/>
        <w:ind w:left="1180" w:right="20" w:hanging="538"/>
        <w:spacing w:after="0" w:line="282" w:lineRule="auto"/>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66" w:lineRule="exact"/>
        <w:rPr>
          <w:rFonts w:ascii="Times New Roman" w:cs="Times New Roman" w:eastAsia="Times New Roman" w:hAnsi="Times New Roman"/>
          <w:sz w:val="17"/>
          <w:szCs w:val="17"/>
          <w:color w:val="auto"/>
        </w:rPr>
      </w:pPr>
    </w:p>
    <w:p>
      <w:pPr>
        <w:ind w:left="1180" w:right="20" w:hanging="538"/>
        <w:spacing w:after="0" w:line="274"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cretostimogene or any future product candidate, including commercial manufacturing at sufficient scale, if any product candidate is approved, including as a result of inflation, any supply chain issues or component shortages;</w:t>
      </w:r>
    </w:p>
    <w:p>
      <w:pPr>
        <w:spacing w:after="0" w:line="70" w:lineRule="exact"/>
        <w:rPr>
          <w:rFonts w:ascii="Times New Roman" w:cs="Times New Roman" w:eastAsia="Times New Roman" w:hAnsi="Times New Roman"/>
          <w:sz w:val="18"/>
          <w:szCs w:val="18"/>
          <w:color w:val="auto"/>
        </w:rPr>
      </w:pPr>
    </w:p>
    <w:p>
      <w:pPr>
        <w:ind w:left="1180" w:right="20" w:hanging="538"/>
        <w:spacing w:after="0" w:line="304" w:lineRule="auto"/>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meetings and reviews of cretostimogene or any future product candidates in any jurisdictions in which we or our current or any future collaborators may seek approval for cretostimogene or any future product candidates;</w:t>
      </w:r>
    </w:p>
    <w:p>
      <w:pPr>
        <w:spacing w:after="0" w:line="48" w:lineRule="exact"/>
        <w:rPr>
          <w:rFonts w:ascii="Times New Roman" w:cs="Times New Roman" w:eastAsia="Times New Roman" w:hAnsi="Times New Roman"/>
          <w:sz w:val="17"/>
          <w:szCs w:val="17"/>
          <w:color w:val="auto"/>
        </w:rPr>
      </w:pPr>
    </w:p>
    <w:p>
      <w:pPr>
        <w:ind w:left="1180" w:hanging="538"/>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regulatory, chemistry, CMC, quality and commercial personnel;</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payment of milestone, royalty or other payments we must make pursuant to our existing and potential future license or collaboration agreements with third parties;</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cretostimogene or any future product candidate is approved;</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strategic decision to develop future product candidates other than cretostimogene, and the timing of such development, if any;</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17"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Conducting clinical trials and preclinical studies and potentially identifying future product candidates is a time-consuming, expensive and uncertain process that takes years to complete, and we may never generate the necessary data or results required to obtain regulatory approval and commercialize cretostimogene or any future product candidates. If approved, cretostimogene and any future product candidates may not achieve commercial success. We expect that our commercial revenue, if any, will initially be derived from sales of cretostimogene, which we do not expect to be commercially available for several years, if at all.</w:t>
      </w:r>
    </w:p>
    <w:p>
      <w:pPr>
        <w:spacing w:after="0" w:line="185"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40"/>
          </w:cols>
          <w:pgMar w:left="320" w:top="451" w:right="5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54"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7"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If we raise additional funds through future collaborations, licenses and other similar arrangements, we may be required to relinquish valuable rights to our future revenue streams, product candidates, research programs,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might otherwise prefer to develop and market ourselves, or on less favorable terms than we would otherwise choose.</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215"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entirely on the success of cretostimogene, which is our only product candidate. If we are unable to advance cretostimogene in clinical development, obtain regulatory approval and ultimately commercialize cretostimogene, or experience significant delays in doing so, our business will be materially harmed.</w:t>
      </w:r>
    </w:p>
    <w:p>
      <w:pPr>
        <w:spacing w:after="0" w:line="68"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We currently only have one product candidate, cretostimogene, which is in Phase 3 clinical development. Our business presently depends entirely on our ability to successfully develop, obtain regulatory approval for, and commercialize cretostimogene in a timely manner. This may make an investment in our company riskier than similar companies that have multiple product candidates in active development and may be able to better sustain the delay or failure of a lead product candidate. The success of cretostimogene will depend on several factors, including the following:</w:t>
      </w:r>
    </w:p>
    <w:p>
      <w:pPr>
        <w:spacing w:after="0" w:line="88" w:lineRule="exact"/>
        <w:rPr>
          <w:sz w:val="20"/>
          <w:szCs w:val="20"/>
          <w:color w:val="auto"/>
        </w:rPr>
      </w:pPr>
    </w:p>
    <w:p>
      <w:pPr>
        <w:ind w:left="1180" w:hanging="538"/>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enrollment of clinical trials and completion of clinical trials with favorable results;</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regulatory submissions by the FDA or comparable foreign regulatory authorities for the conduct of clinical trials of cretostimogene and of our proposed designs of planned clinical trials of cretostimogene;</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observed in clinical trials and preclinical studies;</w:t>
      </w:r>
    </w:p>
    <w:p>
      <w:pPr>
        <w:spacing w:after="0" w:line="124" w:lineRule="exact"/>
        <w:rPr>
          <w:rFonts w:ascii="Times New Roman" w:cs="Times New Roman" w:eastAsia="Times New Roman" w:hAnsi="Times New Roman"/>
          <w:sz w:val="18"/>
          <w:szCs w:val="18"/>
          <w:color w:val="auto"/>
        </w:rPr>
      </w:pPr>
    </w:p>
    <w:p>
      <w:pPr>
        <w:jc w:val="both"/>
        <w:ind w:left="1180" w:hanging="538"/>
        <w:spacing w:after="0" w:line="259" w:lineRule="auto"/>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contract research organizations (CROs) and clinical sites for the clinical development of cretostimogene, and ability of such CROs and clinical sites to comply with clinical trial protocols, Good Clinical Practices (GCPs) and other applicable requirements;</w:t>
      </w:r>
    </w:p>
    <w:p>
      <w:pPr>
        <w:spacing w:after="0" w:line="85"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safety, purity and potency (or efficacy) of cretostimogene to the satisfaction of applicable regulatory authorities, including by establishing a safety database of a size satisfactory to regulatory authorities;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regulatory approvals from applicable regulatory authorities, including approvals of BLAs from the FDA;</w:t>
      </w:r>
    </w:p>
    <w:p>
      <w:pPr>
        <w:spacing w:after="0" w:line="1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320" w:top="451"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1180" w:hanging="538"/>
        <w:spacing w:after="0" w:line="259" w:lineRule="auto"/>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relationships with our third-party manufacturers and their ability to comply with current Good Manufacturing Practices (cGMPs) as well as timely making arrangements with our third-party manufacturers for, or establishing our own, commercial manufacturing capabilities at a cost and scale sufficient to support commercialization;</w:t>
      </w:r>
    </w:p>
    <w:p>
      <w:pPr>
        <w:spacing w:after="0" w:line="85"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cretostimogene, if and when approved, whether alone or in collaboration with others;</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protecting and enforcing patent and any potential trade secret protection or regulatory exclusivity for cretostimogene;</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cretostimogene following regulatory approval, if any;</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and growing an organization of people who can develop and, if approved, commercialize, market and sell cretostimogene; and</w:t>
      </w:r>
    </w:p>
    <w:p>
      <w:pPr>
        <w:spacing w:after="0" w:line="135" w:lineRule="exact"/>
        <w:rPr>
          <w:rFonts w:ascii="Times New Roman" w:cs="Times New Roman" w:eastAsia="Times New Roman" w:hAnsi="Times New Roman"/>
          <w:sz w:val="17"/>
          <w:szCs w:val="17"/>
          <w:color w:val="auto"/>
        </w:rPr>
      </w:pPr>
    </w:p>
    <w:p>
      <w:pPr>
        <w:ind w:left="1180" w:hanging="538"/>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approved, by patients, the medical community and third-party payors.</w:t>
      </w:r>
    </w:p>
    <w:p>
      <w:pPr>
        <w:spacing w:after="0" w:line="217"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If we are unable to develop, obtain regulatory approval for, or if approved, successfully manufacture and commercialize cretostimogene, or if we experience delays as a result of any of the above factors or otherwise, our business would be materially harmed.</w:t>
      </w:r>
    </w:p>
    <w:p>
      <w:pPr>
        <w:spacing w:after="0" w:line="265"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Cretostimogene is based on a novel approach to the treatment of cancer, which makes it difficult to predict the time and cost of product candidate development and subsequently obtaining regulatory approval, if at all.</w:t>
      </w:r>
    </w:p>
    <w:p>
      <w:pPr>
        <w:spacing w:after="0" w:line="54"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cretostimogene, and our future success largely depends on the successful development of the oncolytic approach underlying this product candidate. In particular, cretostimogene is an engineered adenovirus designed to replicate and eliminate cancer cells while also stimulating an anti-tumor immune response. To our knowledge, there are no FDA-approved products for the treatment of cancer that utilize an adenovirus.</w:t>
      </w:r>
    </w:p>
    <w:p>
      <w:pPr>
        <w:spacing w:after="0" w:line="180"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expect the novel nature of cretostimogene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cretostimogene.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185"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In addition, cretostimogene is a live, gene-modified virus for which the FDA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287"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and preclinical drug development involves a lengthy and expensive process with uncertain timelines and outcomes, and the results of preclinical studies and early clinical trials are not necessarily predictive of future results. Cretostimogene or any future product candidates may not achieve favorable results in clinical trials or preclinical studies or receive regulatory approval on a timely basis, if at all.</w:t>
      </w:r>
    </w:p>
    <w:p>
      <w:pPr>
        <w:spacing w:after="0" w:line="68"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Drug development is expensive and can take many years to complete, and its outcome is inherently uncertain. We cannot guarantee that any clinical trials or preclinical studies will be conducted as planned,</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320" w:top="451"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including whether we are able to meet expected timeframes for data readouts, or completed on schedule, if at all, and failure can occur at any time during the trial or study process, including due to factors that are beyond our control. Despite promising preclinical or clinical results, cretostimogene or any other future product candidate can unexpectedly fail at any stage of clinical or preclinical development. The historical failure rate for product candidates in our industry is high.</w:t>
      </w:r>
    </w:p>
    <w:p>
      <w:pPr>
        <w:spacing w:after="0" w:line="180"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The results from preclinical studies or clinical trials of cretostimogene, any future product candidate, or a competitor’s product candidate in the same class may not predict the results of later clinical trials of cretostimogene or any future product candidate, and interim, topline or preliminary results of a clinical trial are not necessarily indicative of final results. Cretostimogene or any future product candidate in later stages of clinical trials may fail to show the desired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w:t>
      </w:r>
    </w:p>
    <w:p>
      <w:pPr>
        <w:spacing w:after="0" w:line="185" w:lineRule="exact"/>
        <w:rPr>
          <w:sz w:val="20"/>
          <w:szCs w:val="20"/>
          <w:color w:val="auto"/>
        </w:rPr>
      </w:pPr>
    </w:p>
    <w:p>
      <w:pPr>
        <w:jc w:val="both"/>
        <w:ind w:left="220" w:firstLine="432"/>
        <w:spacing w:after="0" w:line="264" w:lineRule="auto"/>
        <w:rPr>
          <w:sz w:val="20"/>
          <w:szCs w:val="20"/>
          <w:color w:val="auto"/>
        </w:rPr>
      </w:pPr>
      <w:r>
        <w:rPr>
          <w:rFonts w:ascii="Times New Roman" w:cs="Times New Roman" w:eastAsia="Times New Roman" w:hAnsi="Times New Roman"/>
          <w:sz w:val="17"/>
          <w:szCs w:val="17"/>
          <w:color w:val="auto"/>
        </w:rPr>
        <w:t>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safety, purity or potency (or efficacy)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Based upon negative or inconclusive results, we or any current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w:t>
      </w:r>
    </w:p>
    <w:p>
      <w:pPr>
        <w:spacing w:after="0" w:line="179"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As a result, we cannot be certain that our ongoing and planned clinical trials or preclinical studies will be successful. Any safety concerns observed in any one of our clinical trials in our targeted indications could limit the prospects for regulatory approval of cretostimogene in those and other indications, which could have a material adverse effect on our business, financial condition, results of operations and prospects.</w:t>
      </w:r>
    </w:p>
    <w:p>
      <w:pPr>
        <w:spacing w:after="0" w:line="280" w:lineRule="exact"/>
        <w:rPr>
          <w:sz w:val="20"/>
          <w:szCs w:val="20"/>
          <w:color w:val="auto"/>
        </w:rPr>
      </w:pPr>
    </w:p>
    <w:p>
      <w:pPr>
        <w:jc w:val="both"/>
        <w:ind w:left="22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Any difficulties or delays in the commencement or completion, or the termination or suspension, of our current or planned clinical trials or preclinical studies could result in increased costs to us, delay or limit our ability to generate revenue or adversely affect our commercial prospects.</w:t>
      </w:r>
    </w:p>
    <w:p>
      <w:pPr>
        <w:spacing w:after="0" w:line="31"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Before obtaining approval from regulatory authorities for the sale of cretostimogene or any future product candidates, we must conduct extensive clinical trials to demonstrate the safety, purity and potency (or efficacy) of the product candidates in humans. In addition, before we can initiate clinical development for any future preclinical product candidates, we must submit the results of preclinical studies to the FDA or comparable foreign regulatory authorities along with other information, including information about product candidate CMC and our proposed clinical trial protocol, as part of an IND or similar regulatory submission, and we are also required to submit comparable applications to foreign regulatory authorities for clinical trials outside of the United States. The FDA or comparable foreign regulatory authorities may require us to conduct additional preclinical studies for any future product candidates before it allows us to initiate clinical trials under any IND or similar regulatory submission, which may lead to delays or increase the costs of developing future product candidates.</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320" w:top="451" w:right="5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Moreover, issues may arise that could cause regulatory authorities to suspend or terminate our ongoing or planned clinical trials. Any such delays in the commencement or completion, or the termination or suspension, of our ongoing and planned clinical trials or preclinical studies could significantly affect our product development timelines and product development costs.</w:t>
      </w:r>
    </w:p>
    <w:p>
      <w:pPr>
        <w:spacing w:after="0" w:line="178"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We do not know whether our planned clinical trials or preclinical studies will begin on time or if our ongoing or future trials or studies will be completed on schedule, if at all. The commencement, data readouts and completion of clinical trials and preclinical studies can be delayed for a number of reasons, including delays related to:</w:t>
      </w:r>
    </w:p>
    <w:p>
      <w:pPr>
        <w:spacing w:after="0" w:line="85" w:lineRule="exact"/>
        <w:rPr>
          <w:sz w:val="20"/>
          <w:szCs w:val="20"/>
          <w:color w:val="auto"/>
        </w:rPr>
      </w:pPr>
    </w:p>
    <w:p>
      <w:pPr>
        <w:ind w:left="1180" w:right="20" w:hanging="538"/>
        <w:spacing w:after="0" w:line="274"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animals or materials to initiate and generate sufficient preclinical, toxicology, or other in vivo or in vitro data to support the initiation or continuation of clinical trials;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allowance from regulatory authorities to commence a trial or reaching a consensus with regulatory authorities on trial design;</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(IRBs) or ethics committees at clinical trial sites;</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IRBs/ECs refusing to approve, suspending, or terminating the trial at an investigational site, precluding enrollment of additional patients, or withdrawing their approval of the trial;</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GCP requirements or applicable regulatory requirements or guidelines in other countries;</w:t>
      </w:r>
    </w:p>
    <w:p>
      <w:pPr>
        <w:spacing w:after="0" w:line="70" w:lineRule="exact"/>
        <w:rPr>
          <w:rFonts w:ascii="Times New Roman" w:cs="Times New Roman" w:eastAsia="Times New Roman" w:hAnsi="Times New Roman"/>
          <w:sz w:val="18"/>
          <w:szCs w:val="18"/>
          <w:color w:val="auto"/>
        </w:rPr>
      </w:pPr>
    </w:p>
    <w:p>
      <w:pPr>
        <w:jc w:val="both"/>
        <w:ind w:left="1180" w:right="20" w:hanging="538"/>
        <w:spacing w:after="0" w:line="304" w:lineRule="auto"/>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sufficient quantities of cretostimogene or any future product candidates and related raw materials and n-Dodecyl-ß-D-maltoside (DDM) or obtaining sufficient quantities of combination therapies or other materials needed for use in clinical trials and preclinical studies;</w:t>
      </w:r>
    </w:p>
    <w:p>
      <w:pPr>
        <w:spacing w:after="0" w:line="48" w:lineRule="exact"/>
        <w:rPr>
          <w:rFonts w:ascii="Times New Roman" w:cs="Times New Roman" w:eastAsia="Times New Roman" w:hAnsi="Times New Roman"/>
          <w:sz w:val="17"/>
          <w:szCs w:val="17"/>
          <w:color w:val="auto"/>
        </w:rPr>
      </w:pPr>
    </w:p>
    <w:p>
      <w:pPr>
        <w:ind w:left="1180" w:right="20" w:hanging="538"/>
        <w:spacing w:after="0" w:line="274"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enroll or remain in our trials at the rate we expect, or failing to return for post-treatment follow-up, including patients failing to remain in our trials due to movement restrictions, health reasons or otherwise resulting from any future public health concerns;</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alternative treatments for the indications for which we are developing cretostimogene or any future product candidates, or participating in competing clinical trials;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trials or preclinical studies or costs being greater than we anticipate;</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experiencing severe or serious unexpected drug-related adverse effects;</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 that could be considered similar to cretostimogene or any future product candidates;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third-party manufacturers, delays or failure by our third-party manufacturers or us to make any necessary changes to such</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40"/>
          </w:cols>
          <w:pgMar w:left="320" w:top="451"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1180" w:right="20"/>
        <w:spacing w:after="0" w:line="274" w:lineRule="auto"/>
        <w:rPr>
          <w:sz w:val="20"/>
          <w:szCs w:val="20"/>
          <w:color w:val="auto"/>
        </w:rPr>
      </w:pPr>
      <w:r>
        <w:rPr>
          <w:rFonts w:ascii="Times New Roman" w:cs="Times New Roman" w:eastAsia="Times New Roman" w:hAnsi="Times New Roman"/>
          <w:sz w:val="18"/>
          <w:szCs w:val="18"/>
          <w:color w:val="auto"/>
        </w:rPr>
        <w:t>manufacturing process, or failure of such third-party manufacturers to produce clinical trial materials in accordance with cGMP regulations or other applicable requirements; and</w:t>
      </w:r>
    </w:p>
    <w:p>
      <w:pPr>
        <w:spacing w:after="0" w:line="71" w:lineRule="exact"/>
        <w:rPr>
          <w:sz w:val="20"/>
          <w:szCs w:val="20"/>
          <w:color w:val="auto"/>
        </w:rPr>
      </w:pPr>
    </w:p>
    <w:p>
      <w:pPr>
        <w:ind w:left="1180" w:hanging="538"/>
        <w:spacing w:after="0"/>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 in a timely manner.</w:t>
      </w:r>
    </w:p>
    <w:p>
      <w:pPr>
        <w:spacing w:after="0" w:line="217"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including a clinical hold, or termination due to a number of factors, including, among other reasons,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91"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Further, we and our collaborators are currently conducting, and we, our collaborators and any future collaborators may in the future conduct, clinical trials in foreign countries, which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85"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Moreover, principal investigators for our clinical trials have served and may in the future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cretostimogene or any future product candidates.</w:t>
      </w:r>
    </w:p>
    <w:p>
      <w:pPr>
        <w:spacing w:after="0" w:line="190"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In addition, we may make formulation or manufacturing changes to cretostimogene or any future product candidate, in which case we may need to conduct additional preclinical studies or clinical trials to bridge our current version of cretostimogene or future product candidate to earlier versions. If we are unable to conduct such studies or trials, or if we otherwise fail to adequately bridge the current versions of our product candidates to earlier versions, then we may be unable to utilize any data we have gathered from studies or trials that evaluated such earlier versions in our planned regulatory submissions, which could delay our programs. For example, in our ongoing studies of cretostimogene we are utilizing materials produced by a different third-party manufacturer than the third-party manufacturer that produced cretostimogene during the initial clinical trials for cretostimogene, and we are unable to demonstrate full comparability between lots produced previously and those produced by our current manufacturer. As a result, we may be required to gather additional data utilizing material produced by our current third-party manufacturer before we are able to submit a BLA for cretostimogene, if ever.</w:t>
      </w:r>
    </w:p>
    <w:p>
      <w:pPr>
        <w:spacing w:after="0" w:line="187"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Many of the factors that cause, or lead to, the termination or suspension of, or a delay in the commencement or completion of, clinical trials may also ultimately lead to the denial of regulatory approval of a product</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1"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candidate. Any delays to our clinical trials that occur as a result could shorten any period during which we may have the exclusive right to commercialize cretostimogene or our future product candidates. In such cases, our competitors may be able to bring products to market before we do, and the commercial viability of cretostimogene or our future product candidates could be significantly reduced. Any of these occurrences may harm our business, financial condition, results of operations and prospects.</w:t>
      </w:r>
    </w:p>
    <w:p>
      <w:pPr>
        <w:spacing w:after="0" w:line="282"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encounter difficulties or delays enrolling patients in our clinical trials, our clinical development activities could be delayed or otherwise adversely affected.</w:t>
      </w:r>
    </w:p>
    <w:p>
      <w:pPr>
        <w:spacing w:after="0" w:line="54"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identify and enroll a specified number of patients for each of our clinical trials. We may not be able to initiate or continue certain clinical trials for cretostimogene or any future product candidates if we are unable to identify and enroll a sufficient number of eligible patients to participate in these trials as required by the FDA or similar regulatory authorities outside the United States. 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and competing clinical trials and clinicians’ and patients’ perceptions as to the potential advantages and risks of the product candidates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and monitor such patients adequately during and after treatment. Potential patients for any planned clinical trials may not be adequately diagnosed or identified with the diseases which we are targeting, which could adversely impact the outcomes of our trials and could have safety concerns for the potential patients. Potential patients for any planned clinical trials may also not meet the entry criteria for such trials.</w:t>
      </w:r>
    </w:p>
    <w:p>
      <w:pPr>
        <w:spacing w:after="0" w:line="189"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Additionally, other pharmaceutical companies targeting bladder cancer are recruiting clinical trial patients from these patient populations, which may make it more difficult to fully enroll our clinical trials. The timing of our clinical trials depends, in part, on the speed at which we can recruit patients to participate in our trials, as well as completion of required follow-up periods.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therapies, or the fact that enrolling in our trials may prevent patients from taking a different product, or we otherwise have difficulty enrolling a sufficient number of patients, the timeline for recruiting patients, conducting trials and obtaining regulatory approval of cretostimogene or any future product candidates may be delayed. Our inability to enroll a sufficient number of patients for any of our future clinical trials would result in significant delays or may require us to abandon one or more clinical trials altogether.</w:t>
      </w:r>
    </w:p>
    <w:p>
      <w:pPr>
        <w:spacing w:after="0" w:line="187"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In addition, we rely on, and will continue to rely on, CROs and clinical trial sites to ensure proper and timely conduct of our clinical trials and preclinical studies. Though we have entered into agreements governing their services, we have limited influence over their actual performance. We cannot be certain that our assumptions used in determining expected clinical trial timelines are correct or that we will not experience delays or difficulties in enrollment, or be required by the FDA or other regulatory authority to increase our enrollment, which would result in the delay of completion of such trials beyond our expected timelines.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320" w:top="451" w:right="5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220"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Use of cretostimogene or any future product candidates could be associated with side effects, adverse events or other properties or safety risks, which could delay or preclude regulatory approval, cause us to suspend or discontinue clinical trials, abandon cretostimogene or any future product candidate, limit the commercial profile of an approved label or result in other significant negative consequences that could severely harm our business, financial condition, results of operations and prospects.</w:t>
      </w:r>
    </w:p>
    <w:p>
      <w:pPr>
        <w:spacing w:after="0" w:line="75" w:lineRule="exact"/>
        <w:rPr>
          <w:sz w:val="20"/>
          <w:szCs w:val="20"/>
          <w:color w:val="auto"/>
        </w:rPr>
      </w:pPr>
    </w:p>
    <w:p>
      <w:pPr>
        <w:jc w:val="both"/>
        <w:ind w:left="220" w:firstLine="432"/>
        <w:spacing w:after="0" w:line="267" w:lineRule="auto"/>
        <w:rPr>
          <w:sz w:val="20"/>
          <w:szCs w:val="20"/>
          <w:color w:val="auto"/>
        </w:rPr>
      </w:pPr>
      <w:r>
        <w:rPr>
          <w:rFonts w:ascii="Times New Roman" w:cs="Times New Roman" w:eastAsia="Times New Roman" w:hAnsi="Times New Roman"/>
          <w:sz w:val="17"/>
          <w:szCs w:val="17"/>
          <w:color w:val="auto"/>
        </w:rPr>
        <w:t>As is the case with oncology drugs generally, it is likely that there may be side effects and adverse events associated with use of cretostimogene or any future product candidates’ use. Results of our, our collaborators’ or any future collaborators’ clinical trials could reveal a high and unacceptable severity and prevalence of expected or unexpected side effects or unexpected characteristics. Undesirable side effects caused by our product candidates when used alone or in combination with approved or investigational drugs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results of operations and prospects significantly.</w:t>
      </w:r>
    </w:p>
    <w:p>
      <w:pPr>
        <w:spacing w:after="0" w:line="174"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Moreover, if cretostimogene or any future product candidates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such product candidate if approved. Unacceptable enhancement of certain toxicities may be seen when cretostimogene or any future product candidates are combined with standard of care therapies, or when 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compounds.</w:t>
      </w:r>
    </w:p>
    <w:p>
      <w:pPr>
        <w:spacing w:after="0" w:line="187"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It is possible that as we, our collaborators or any future collaborators test cretostimogene or any future product candidates in larger, longer and more extensive clinical trials, including with different dosing regimens, or as the use of these product candidates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results of operations and prospects significantly.</w:t>
      </w:r>
    </w:p>
    <w:p>
      <w:pPr>
        <w:spacing w:after="0" w:line="185"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In addition, we are studying cretostimogene in combination with other therapies and may do so for future product candidates, which may exacerbate adverse events associated with such product candidate. Patients treated with cretostimogene or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our collaborators’ or any future collaborators’ clinical trials may result in deaths or other adverse medical events due to other therapies or medications that such patients may be using or due to the gravity of such patients’ illnesses. For example, it is expected that some of the patients enrolled in our, our collaborators’ or any future collaborators’ clinical trials will die or experience major clinical events either during the course of such clinical trials or after participating in such trials, which has occurred with other investigational therapeutics in the past.</w:t>
      </w:r>
    </w:p>
    <w:p>
      <w:pPr>
        <w:spacing w:after="0" w:line="190"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In addition, if cretostimogene or any future product candidate receives regulatory approval, and we or others later identify undesirable side effects caused by such product, a number of potentially significant negative consequences could result, including:</w:t>
      </w:r>
    </w:p>
    <w:p>
      <w:pPr>
        <w:spacing w:after="0" w:line="71" w:lineRule="exact"/>
        <w:rPr>
          <w:sz w:val="20"/>
          <w:szCs w:val="20"/>
          <w:color w:val="auto"/>
        </w:rPr>
      </w:pPr>
    </w:p>
    <w:p>
      <w:pPr>
        <w:ind w:left="1180" w:right="20" w:hanging="538"/>
        <w:spacing w:after="0" w:line="274"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or seek an injunction against its manufacture or distribution;</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1"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1180" w:hanging="538"/>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a contraindication;</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or the product could become less competitive;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7"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and/or physician adoption of the particular product candidate, if approved, and could significantly harm our business, financial condition, results of operations and prospects.</w:t>
      </w:r>
    </w:p>
    <w:p>
      <w:pPr>
        <w:spacing w:after="0" w:line="265"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Although we have completed a Phase 2 clinical trial for cretostimogene, we have not as an organization completed later-stage or pivotal clinical trials or submitted a BLA, and we may be unable to do so for cretostimogene or any future product candidates.</w:t>
      </w:r>
    </w:p>
    <w:p>
      <w:pPr>
        <w:spacing w:after="0" w:line="54"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We will need to successfully complete later-stage and pivotal clinical trials in order to obtain FDA or comparable foreign regulatory approval to market cretostimogene or any future product candidates. Carrying out later-stage clinical trials and the submission of a successful BLA or other comparable foreign regulatory submission is a complicated process. As an organization, we have completed one Phase 2 clinical trial of cretostimogene, and are conducting and plan to conduct additional Phase 3 clinical trials for cretostimogene. We also plan to conduct a number of additional clinical trials of cretostimogene in parallel over the next several years, which may be a difficult process to manage with our limited resources and which may divert attention of management. We have not yet completed any later-stage or pivotal clinical trials for cretostimogene or any other product candidate. We also have limited experience as a company in preparing, submitting and prosecuting regulatory filings and have not previously submitted a BLA or other comparable foreign regulatory submission for any product candidate. In addition, we have had limited interactions with the FDA and cannot be certain how many additional clinical trials of cretostimogene or any future product candidate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ongoing or planned clinical trials could prevent us from or delay us in submitting BLAs or other comparable foreign regulatory submissions for and commercializing our product candidates.</w:t>
      </w:r>
    </w:p>
    <w:p>
      <w:pPr>
        <w:spacing w:after="0" w:line="3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intend to develop cretostimogene and future product candidates in combination with other therapies, which exposes us to additional risks.</w:t>
      </w:r>
    </w:p>
    <w:p>
      <w:pPr>
        <w:spacing w:after="0" w:line="115"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We intend to develop cretostimogene and any future product candidates for use in combination with one or more currently approved cancer therapies. Even if cretostimogene or any future product candidate we develop was to receive regulatory approval or be commercialized for use in combination with other existing therapies, we would continue to bear the risks that the FDA or similar foreign regulatory authorities could revoke approval of the therapy used in combination with cretostimogene or a future product candidate or that safety, efficacy, manufacturing or supply issues could arise with these existing therapies. The known side effect profile of checkpoint inhibitors we use in combination therapies may otherwise negatively affect the results of our trials and could limit the number of patients and physicians who choose to adopt cretostimogene, if approved for use as combination therapy with such drugs.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40"/>
          </w:cols>
          <w:pgMar w:left="320" w:top="451" w:right="5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Combination therapies are commonly used for the treatment of cancer, and we would be subject to similar risks if we develop cretostimogene or any future product candidate for use in combination with other drugs or biologics. Developing combination therapies using approved therapeutics, as we plan to do for cretostimogene and our future product candidates, also exposes us to additional clinical risks, such as the requirement that we demonstrate the safety, purity and potency (or efficacy) of each active component of any combination regimen we may develop.</w:t>
      </w:r>
    </w:p>
    <w:p>
      <w:pPr>
        <w:spacing w:after="0" w:line="180"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If the FDA or similar foreign regulatory authorities revoke the approval of combination agents, or if safety, efficacy, manufacturing, or supply issues arise with the drugs we choose to evaluate in combination with cretostimogene or any future product candidate, we may be unable to obtain approval of or market cretostimogene or any future product candidate for combination therapy regimens.</w:t>
      </w:r>
    </w:p>
    <w:p>
      <w:pPr>
        <w:spacing w:after="0" w:line="178"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Additionally, if the third-party providers of therapies or therapies in development used in combination with cretostimogene or any future product candidate are unable to produce sufficient quantities for clinical trials or for commercialization of cretostimogene or any future product candidate, or if the cost of combination therapies are prohibitive, our development and commercialization efforts would be impaired, which would have an adverse effect on our business, financial condition, results of operations and prospects.</w:t>
      </w:r>
    </w:p>
    <w:p>
      <w:pPr>
        <w:spacing w:after="0" w:line="282"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in the field of immuno-oncology and, in particular, viral immunotherapy, could damage public perception of any cretostimogene or any future oncolytic product candidates and negatively affect our business.</w:t>
      </w:r>
    </w:p>
    <w:p>
      <w:pPr>
        <w:spacing w:after="0" w:line="54"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The commercial success of cretostimogene and any future adenovirus-based product candidates will depend in part on public acceptance of the use of immuno-oncology, and, in particular, viral immunotherapy. Adverse events in clinical trials of cretostimogene or any other adenovirus-based product candidates which we may develop, or in clinical trials of other biopharmaceutical companies developing similar products and the resulting publicity, as well as any other negative developments in the field of immuno-oncology that may occur in the future, including in connection with competitor therapies, could result in a decrease in demand for cretostimogene or any other adenovirus-based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our collaborators’ or any future collaborators’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As a result, we may not be able to continue or may be delayed in conducting our development programs.</w:t>
      </w:r>
    </w:p>
    <w:p>
      <w:pPr>
        <w:spacing w:after="0" w:line="198"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Adverse developments in clinical trials of other immunotherapy products based on viruses, like oncolytic viruses, may result in a disproportionately negative effect for cretostimogene or any future product candidates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cretostimogene or any future product candidates. Any increased scrutiny could delay or increase the costs of obtaining marketing approval for our product candidates.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320" w:top="451" w:right="5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investigate cretostimogene in additional indications. We may expend our limited resources to pursue a new product candidate or a particular indication for cretostimogene and fail to capitalize on product candidates or indications that may be more profitable or for which there is a greater likelihood of success.</w:t>
      </w:r>
    </w:p>
    <w:p>
      <w:pPr>
        <w:spacing w:after="0" w:line="68" w:lineRule="exact"/>
        <w:rPr>
          <w:sz w:val="20"/>
          <w:szCs w:val="20"/>
          <w:color w:val="auto"/>
        </w:rPr>
      </w:pPr>
    </w:p>
    <w:p>
      <w:pPr>
        <w:jc w:val="both"/>
        <w:ind w:left="220" w:firstLine="432"/>
        <w:spacing w:after="0" w:line="265"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on the development of cretostimogene for specific indications. We may fail to generate additional clinical development opportunities for cretostimogene for a number of reasons, including that cretostimogene may, in indications we are seeking or may seek in the future, be shown to have harmful side effects, limited to no efficacy or other characteristics that suggest it is unlikely to receive marketing approval and/or achieve market acceptance in such potential indications. Our resource allocation and other decisions may cause us to fail to identify and capitalize on viable potential product candidates or additional indications for cretostimogene. Our spending on current and future research and development programs for new product candidates or additional indications for cretostimogene may not yield any commercially viable product candidates or indications. If we do not accurately evaluate the commercial potential or target market for a particular indication or product candidate, we may fail to develop such product candidate or indication, or relinquish valuable rights to that product candidate through collaborations, license agreements and other similar arrangements in cases where it would have been more advantageous for us to retain sole development and commercialization rights to such indication or product candidate, or negotiate less advantageous terms for any such arrangements than is optimal.</w:t>
      </w:r>
    </w:p>
    <w:p>
      <w:pPr>
        <w:spacing w:after="0" w:line="174"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287"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and may in the future conduct certain of our clinical trials for cretostimogene or any future product candidate outside of the United States. However, the FDA and other foreign equivalents may not accept data from such trials, in which case our development plans will be delayed, which could materially harm our business.</w:t>
      </w:r>
    </w:p>
    <w:p>
      <w:pPr>
        <w:spacing w:after="0" w:line="68"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We are currently conducting, and we or our current or any future collaborators may in the future conduct, one or more of our clinical trials for cretostimogene or any future product candidate outside the United States. The acceptance of study data from clinical trials conducted outside the United States or another jurisdiction by the FDA or comparable foreign regulatory authority may be subject to certain conditions or may not be accepted at all. For example, in cases where data from foreign clinical trials are intended to serve as the sole basis for regulatory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that the FDA or any comparable foreign regulatory authority will accept data from trials conducted outside of the United States or the applicable jurisdiction. If the FDA or any comparable foreign regulatory authority does not accept such data from our clinical trials of cretostimogene or any future product</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320" w:top="451"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20"/>
        <w:spacing w:after="0" w:line="274" w:lineRule="auto"/>
        <w:rPr>
          <w:sz w:val="20"/>
          <w:szCs w:val="20"/>
          <w:color w:val="auto"/>
        </w:rPr>
      </w:pPr>
      <w:r>
        <w:rPr>
          <w:rFonts w:ascii="Times New Roman" w:cs="Times New Roman" w:eastAsia="Times New Roman" w:hAnsi="Times New Roman"/>
          <w:sz w:val="18"/>
          <w:szCs w:val="18"/>
          <w:color w:val="auto"/>
        </w:rPr>
        <w:t>candidate, it would likely result in the need for additional clinical trials, which would be costly and time-consuming and delay or permanently halt our development of such product candidate.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124" w:lineRule="exact"/>
        <w:rPr>
          <w:sz w:val="20"/>
          <w:szCs w:val="20"/>
          <w:color w:val="auto"/>
        </w:rPr>
      </w:pPr>
    </w:p>
    <w:p>
      <w:pPr>
        <w:ind w:left="1180" w:hanging="538"/>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standards for reporting and evaluating clinical data and adverse events;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or political instability, civil unrest, war or similar events that may jeopardize our ability to commence, conduct or complete a clinical trial and evaluate resulting data.</w:t>
      </w:r>
    </w:p>
    <w:p>
      <w:pPr>
        <w:spacing w:after="0" w:line="265"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54"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interim data by us or by our competitors could result in volatility in the price of our common stock.</w:t>
      </w:r>
    </w:p>
    <w:p>
      <w:pPr>
        <w:spacing w:after="0" w:line="191"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cretostimogene and any future product candidates may be harmed, which could harm our business, financial condition, results of operations and prospects.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i w:val="1"/>
          <w:iCs w:val="1"/>
          <w:color w:val="auto"/>
        </w:rPr>
        <w:t>Changes in methods of the manufacturing or formulation of cretostimogene or any future product candidates may result in additional costs or delay.</w:t>
      </w:r>
    </w:p>
    <w:p>
      <w:pPr>
        <w:spacing w:after="0" w:line="127"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As cretostimogene and any future product candidates progress through clinical trials to regulatory approval and commercialization, it is common that various aspects of the development program, such as manufacturing</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51" w:right="5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67" w:lineRule="auto"/>
        <w:rPr>
          <w:sz w:val="20"/>
          <w:szCs w:val="20"/>
          <w:color w:val="auto"/>
        </w:rPr>
      </w:pPr>
      <w:r>
        <w:rPr>
          <w:rFonts w:ascii="Times New Roman" w:cs="Times New Roman" w:eastAsia="Times New Roman" w:hAnsi="Times New Roman"/>
          <w:sz w:val="17"/>
          <w:szCs w:val="17"/>
          <w:color w:val="auto"/>
        </w:rPr>
        <w:t>methods and formulation, are altered along the way in an effort to optimize safety, efficacy, yield and manufacturing batch size, minimize costs and achieve consistent quality and results. There can be no assurance that any future manufacturing or formulation changes we may make will achieve their intended objectives, and such changes may also cause cretostimogene or any future product candidates to perform differently and affect the results of future clinical trials conducted with the altered materials. Such changes or related unfavorable clinical trial results or changes in the CMOs we use to manufacture cretostimogene or any future product candidates could delay initiation or completion of clinical trials, require the conduct of bridging studies or additional clinical trials or the repetition of one or more studies or clinical trials, increase development costs, delay or prevent potential regulatory approval and jeopardize our ability to commercialize cretostimogene or any future product candidates, if approved, and generate revenue.</w:t>
      </w:r>
    </w:p>
    <w:p>
      <w:pPr>
        <w:spacing w:after="0" w:line="276"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from the FDA may not lead to a faster development or regulatory review or approval process, and does not increase the likelihood that cretostimogene or any future product candidates will receive FDA approval.</w:t>
      </w:r>
    </w:p>
    <w:p>
      <w:pPr>
        <w:spacing w:after="0" w:line="54"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We have obtained Breakthrough Therapy designation from the FDA for cretostimogene in combination with pembrolizumab for the treatment of NMIBC unresponsive to BCG, and we may seek additional Breakthrough Therapy designations for cretostimogene or for any future product candidates where we believe the clinical data support such a designation. A “Breakthrough Therapy” is defined as a drug or biologic that is intended, alone or in combination with one or more other drugs or biologics,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Biologics designated as Breakthrough Therapies also receive the same benefits associated with Fast Track designation, including eligibility for rolling review of a submitted BLA, if the relevant criteria are met.</w:t>
      </w:r>
    </w:p>
    <w:p>
      <w:pPr>
        <w:spacing w:after="0" w:line="19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cretostimogene or any future product candidate may not result in a faster development process, review or approval compared to biologics considered for approval under standard FDA review procedures and does not ensure ultimate approval by the FDA. In addition, though cretostimogene currently qualifies as a Breakthrough Therapy for the treatment of NMIBC unresponsive BGC, the FDA may later decide that cretostimogene no longer meets the conditions for qualification and rescind the designation.</w:t>
      </w:r>
    </w:p>
    <w:p>
      <w:pPr>
        <w:spacing w:after="0" w:line="287" w:lineRule="exact"/>
        <w:rPr>
          <w:sz w:val="20"/>
          <w:szCs w:val="20"/>
          <w:color w:val="auto"/>
        </w:rPr>
      </w:pPr>
    </w:p>
    <w:p>
      <w:pPr>
        <w:jc w:val="both"/>
        <w:ind w:left="2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75"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may in the future seek an accelerated approval for cretostimogene or our future product candidates. Under the accelerated approval program, the FDA may grant accelerated approval to a product candidate designed to treat a serious or life-threatening condition that provides meaningful therapeutic benefit over available therapies upon a determination that such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320" w:top="451"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9" w:lineRule="auto"/>
        <w:rPr>
          <w:sz w:val="20"/>
          <w:szCs w:val="20"/>
          <w:color w:val="auto"/>
        </w:rPr>
      </w:pPr>
      <w:r>
        <w:rPr>
          <w:rFonts w:ascii="Times New Roman" w:cs="Times New Roman" w:eastAsia="Times New Roman" w:hAnsi="Times New Roman"/>
          <w:sz w:val="18"/>
          <w:szCs w:val="18"/>
          <w:color w:val="auto"/>
        </w:rPr>
        <w:t>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78" w:lineRule="exact"/>
        <w:rPr>
          <w:sz w:val="20"/>
          <w:szCs w:val="20"/>
          <w:color w:val="auto"/>
        </w:rPr>
      </w:pPr>
    </w:p>
    <w:p>
      <w:pPr>
        <w:jc w:val="both"/>
        <w:ind w:left="220" w:firstLine="432"/>
        <w:spacing w:after="0" w:line="266" w:lineRule="auto"/>
        <w:rPr>
          <w:sz w:val="20"/>
          <w:szCs w:val="20"/>
          <w:color w:val="auto"/>
        </w:rPr>
      </w:pPr>
      <w:r>
        <w:rPr>
          <w:rFonts w:ascii="Times New Roman" w:cs="Times New Roman" w:eastAsia="Times New Roman" w:hAnsi="Times New Roman"/>
          <w:sz w:val="17"/>
          <w:szCs w:val="17"/>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confirmatory studies fail to confirm the drug’s clinical benefit or are not completed in a timely manner, the FDA may withdraw its approval of the drug on an expedited basis. In addition, in December 2022, the Food and Drug Omnibus Reform Act of 2022 was enacted, which, among other things, provided the FDA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spacing w:after="0" w:line="17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Prior to seeking approval for cretostimogene or any future product candidate we intend to seek feedback from the FDA and will otherwise evaluate our ability to seek and receive accelerated approval. There can be no assurance that after our evaluation of the feedback and other factors we will decide to pursue or submit a BLA for accelerated approval or obtain any other form of expedited development, review, or approval. Furthermore, if we decide to submit an application for accelerated approval for cretostimogene or any future product candidate, there can be no assurance that such submission or application will be accepted or that any expedited development, review, or approval will be granted on a timely basis, or at all. The FDA could also require us to conduct further studies prior to considering our application or granting approval of any type. A failure to obtain accelerated approval or any other form of expedited development, review, or approval for cretostimogene or any future product candidate would result in a longer time period to commercialization of such product candidate, if any, could increase the cost of development of such product candidate, and could harm our competitive position in the marketplace.</w:t>
      </w:r>
    </w:p>
    <w:p>
      <w:pPr>
        <w:spacing w:after="0" w:line="289"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8"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approved or licensed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87"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delays. If any future prolonged government shutdown occurs, or if global health concerns prevent the FDA or other regulatory authorities from conducting their regular inspections, reviews, or other regulatory activities, it could significantly</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320" w:top="451"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74" w:lineRule="auto"/>
        <w:rPr>
          <w:sz w:val="20"/>
          <w:szCs w:val="20"/>
          <w:color w:val="auto"/>
        </w:rPr>
      </w:pPr>
      <w:r>
        <w:rPr>
          <w:rFonts w:ascii="Times New Roman" w:cs="Times New Roman" w:eastAsia="Times New Roman" w:hAnsi="Times New Roman"/>
          <w:sz w:val="18"/>
          <w:szCs w:val="18"/>
          <w:color w:val="auto"/>
        </w:rPr>
        <w:t>impact the ability of the FDA or other regulatory authorities to timely review and process our regulatory submissions, which could have a material adverse effect on our business.</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15"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preclinical studies. If these third parties do not successfully carry out their contractual duties, comply with applicable regulatory requirements, or meet expected deadlines, cretostimogene or any future product candidate and our ability to seek or obtain regulatory approval for or commercialize cretostimogene or any future product candidates may be delayed.</w:t>
      </w:r>
    </w:p>
    <w:p>
      <w:pPr>
        <w:spacing w:after="0" w:line="68"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We are dependent on third parties to conduct our clinical trials and preclinical studies. Specifically, we rely on, and intend to continue to rely on, medical institutions, clinical investigators, CROs and consultants to conduct our preclinical studies and clinical trials in accordance with our clinical protocols and regulatory requirements. These CROs, investigators and other third parties play a significant role in the conduct and timing of these trials and subsequent collection and analysis of data.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Good Laboratory Practice (GLP) requirements for certain preclinical studies, as well as GCP requirements, which are regulations and guidelines enforced by the FDA and comparable foreign regulatory authorities for cretostimogene and any future product candidates in clinical development. Regulatory authorities enforce these GCPs through periodic inspections of trial sponsors, principal investigators and trial sites. If we or any of our CROs or trial sites fail to comply with applicable GLP or GCP or other requirements, the clinical data generated in our preclinical studies or clinical trials may be deemed unreliable, and the FDA or comparable foreign regulatory authorities may require us to perform additional preclinical studies or clinical trials before approving our marketing applications, if ever. Further, our clinical trials must be conducted with products produced in accordance with cGMP regulations. Failure to comply with these regulations may require us to repeat clinical trials, which would delay the regulatory approval process.</w:t>
      </w:r>
    </w:p>
    <w:p>
      <w:pPr>
        <w:spacing w:after="0" w:line="198" w:lineRule="exact"/>
        <w:rPr>
          <w:sz w:val="20"/>
          <w:szCs w:val="20"/>
          <w:color w:val="auto"/>
        </w:rPr>
      </w:pPr>
    </w:p>
    <w:p>
      <w:pPr>
        <w:jc w:val="both"/>
        <w:ind w:left="220" w:firstLine="432"/>
        <w:spacing w:after="0" w:line="264" w:lineRule="auto"/>
        <w:rPr>
          <w:sz w:val="20"/>
          <w:szCs w:val="20"/>
          <w:color w:val="auto"/>
        </w:rPr>
      </w:pPr>
      <w:r>
        <w:rPr>
          <w:rFonts w:ascii="Times New Roman" w:cs="Times New Roman" w:eastAsia="Times New Roman" w:hAnsi="Times New Roman"/>
          <w:sz w:val="17"/>
          <w:szCs w:val="17"/>
          <w:color w:val="auto"/>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have served and may in the future serve as scientific advisors or consultants to us from time to time and may receive cash or equity compensation in connection with such services. If these relationships and any related compensation result in perceived or actual conflicts of interest, or the FDA or comparable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or comparable foreign regulatory authorities of any BLA we submit or any comparable submission. Any such delay or rejection could prevent us from receiving regulatory approval for, or commercializing cretostimogene and any future product candidates.</w:t>
      </w:r>
    </w:p>
    <w:p>
      <w:pPr>
        <w:spacing w:after="0" w:line="179"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320" w:top="451" w:right="5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9" w:lineRule="auto"/>
        <w:rPr>
          <w:sz w:val="20"/>
          <w:szCs w:val="20"/>
          <w:color w:val="auto"/>
        </w:rPr>
      </w:pPr>
      <w:r>
        <w:rPr>
          <w:rFonts w:ascii="Times New Roman" w:cs="Times New Roman" w:eastAsia="Times New Roman" w:hAnsi="Times New Roman"/>
          <w:sz w:val="18"/>
          <w:szCs w:val="18"/>
          <w:color w:val="auto"/>
        </w:rPr>
        <w:t>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results of operations and prospects.</w:t>
      </w:r>
    </w:p>
    <w:p>
      <w:pPr>
        <w:spacing w:after="0" w:line="280"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manufacture and shipping of cretostimogene for clinical development and expect to continue to do so for the foreseeable future. This reliance on third parties increases the risk that we will not have sufficient quantities of cretostimogene or future product candidates or such quantities at an acceptable cost, which could delay, prevent, or impair our development or commercialization efforts.</w:t>
      </w:r>
    </w:p>
    <w:p>
      <w:pPr>
        <w:spacing w:after="0" w:line="68"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We do not own or operate manufacturing facilities and have no plans to develop our own clinical or commercial-scale manufacturing capabilities. We rely on a third-party manufacturer for the production of cretostimogene and a third-party manufacturer for the production of DDM, and expect to continue to rely on third-party manufacturers for commercial manufacture if cretostimogene or any future product candidates receive regulatory approval. The facilities used by third-party manufacturers to manufacture cretostimogene or any future product candidate must be approved for the manufacture of such product candidate by the FDA and any comparable foreign regulatory authority pursuant to inspections that will be conducted after we submit a BLA to the FDA or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and qualified personnel. If the FDA or any comparable foreign regulatory authority does not approve these facilities for the manufacture of cretostimogene or any future product candidates or if it withdraws any such approval in the future, we may need to find alternative manufacturing facilities, which would significantly impact our ability to develop, obtain regulatory approval for or market cretostimogene or any future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cretostimogene or any future product candidates, operating restrictions and criminal prosecutions, any of which could significantly and adversely affect supplies of cretostimogene or any future product candidates.</w:t>
      </w:r>
    </w:p>
    <w:p>
      <w:pPr>
        <w:spacing w:after="0" w:line="19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on commercially reasonable terms, in a timely manner and in compliance with cGMP or other regulatory requirements could adversely affect our business in a number of ways, including:</w:t>
      </w:r>
    </w:p>
    <w:p>
      <w:pPr>
        <w:spacing w:after="0" w:line="71" w:lineRule="exact"/>
        <w:rPr>
          <w:sz w:val="20"/>
          <w:szCs w:val="20"/>
          <w:color w:val="auto"/>
        </w:rPr>
      </w:pPr>
    </w:p>
    <w:p>
      <w:pPr>
        <w:ind w:left="1180" w:hanging="538"/>
        <w:spacing w:after="0" w:line="274" w:lineRule="auto"/>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cretostimogene or any future product candidates, or a hold on clinical trials of cretostimogene or any future product candidates;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cretostimogene or any future product candidates;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to additional inspections by regulatory authorities;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cretostimogene or any future product candidates; and</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cretostimogene or any future product candidates, an inability to meet commercial demands for cretostimogene or any future product candidates.</w:t>
      </w:r>
    </w:p>
    <w:p>
      <w:pPr>
        <w:spacing w:after="0" w:line="163"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Our IND for cretostimogene was previously placed on partial clinical hold by the FDA that was lifted in March 2020, primarily due to CMC-related issues attributable to product supplied by our prior third-party manufacturer, who was purchased by another third-party supplier, resulting in clinical development delays. In addition, we do not have any long-term commitments or supply agreements with our third-party manufacturers. We may be unable to establish any long-term supply agreements with third-party manufacturers or to do so on acceptable</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320" w:top="451"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20"/>
        <w:spacing w:after="0" w:line="274" w:lineRule="auto"/>
        <w:rPr>
          <w:sz w:val="20"/>
          <w:szCs w:val="20"/>
          <w:color w:val="auto"/>
        </w:rPr>
      </w:pPr>
      <w:r>
        <w:rPr>
          <w:rFonts w:ascii="Times New Roman" w:cs="Times New Roman" w:eastAsia="Times New Roman" w:hAnsi="Times New Roman"/>
          <w:sz w:val="18"/>
          <w:szCs w:val="18"/>
          <w:color w:val="auto"/>
        </w:rPr>
        <w:t>terms or at all, which increases the risk of failing to timely obtain sufficient quantities of cretostimogene or such quantities at an acceptable cost. Even if we are able to establish agreements with third-party manufacturers, reliance on third-party manufacturers entails additional risks, including:</w:t>
      </w:r>
    </w:p>
    <w:p>
      <w:pPr>
        <w:spacing w:after="0" w:line="71" w:lineRule="exact"/>
        <w:rPr>
          <w:sz w:val="20"/>
          <w:szCs w:val="20"/>
          <w:color w:val="auto"/>
        </w:rPr>
      </w:pPr>
    </w:p>
    <w:p>
      <w:pPr>
        <w:ind w:left="1180" w:hanging="538"/>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specifications;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 raw materials and other materials required for manufacturing;</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schedule or at all;</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scale up manufacturing capacity, if required;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217"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Further, cretostimogene and any future product candidates that we may develop may compete with other product candidates and products for access to manufacturing facilities.</w:t>
      </w:r>
    </w:p>
    <w:p>
      <w:pPr>
        <w:spacing w:after="0" w:line="163"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We also rely on a third party to store and transport cretostimogene at temperatures within a certain range, which is known as “strict cold chain” storage and transportation. Any failure by this third party to store or transport cretostimogene at the appropriate temperature could impair the quality of cretostimogene or cause cretostimogene to become unsuitable for use, which could result in lost inventories, increased costs or delays in clinical development.</w:t>
      </w:r>
    </w:p>
    <w:p>
      <w:pPr>
        <w:spacing w:after="0" w:line="180"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suppliers or vendors could delay clinical development or regulatory approval, and any related remedial measures may be costly or time consuming to implement. We do not currently have arrangements in place for redundant manufacturing of cretostimogene and DDM. In addition, there are a limited number of manufacturers capable of manufacturing viral therapies such as cretostimogene, and therefore any need to switch third-party manufacturers may result in development and commercialization delays and increase our operating costs. If our existing or future third-party manufacturers and suppliers cannot perform as agreed or cannot fulfill our commercial supply requirements, we may be required to replace such manufacturers or suppliers and we may be unable to replace them on a timely basis or at all. If we later switch third-party manufacturers, we may be unable to demonstrate comparability between lots produced previously and those produced by such new third-party manufacturers, in which case we may be required to gather additional data utilizing material produced by such new third-party manufacturers before we are able to submit a BLA for cretostimogene, if ever.</w:t>
      </w:r>
    </w:p>
    <w:p>
      <w:pPr>
        <w:spacing w:after="0" w:line="187"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In addition, our current and anticipated future dependence upon others for the manufacture of cretostimogene or any future product candidates may adversely affect our future profit margins and our ability to commercialize any products that receive regulatory approval on a timely and competitive basis.</w:t>
      </w:r>
    </w:p>
    <w:p>
      <w:pPr>
        <w:spacing w:after="0" w:line="280"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or other third party will discover them or that our trade secrets will be misappropriated or disclosed.</w:t>
      </w:r>
    </w:p>
    <w:p>
      <w:pPr>
        <w:spacing w:after="0" w:line="54" w:lineRule="exact"/>
        <w:rPr>
          <w:sz w:val="20"/>
          <w:szCs w:val="20"/>
          <w:color w:val="auto"/>
        </w:rPr>
      </w:pPr>
    </w:p>
    <w:p>
      <w:pPr>
        <w:jc w:val="both"/>
        <w:ind w:left="220" w:firstLine="432"/>
        <w:spacing w:after="0" w:line="282" w:lineRule="auto"/>
        <w:rPr>
          <w:sz w:val="20"/>
          <w:szCs w:val="20"/>
          <w:color w:val="auto"/>
        </w:rPr>
      </w:pPr>
      <w:r>
        <w:rPr>
          <w:rFonts w:ascii="Times New Roman" w:cs="Times New Roman" w:eastAsia="Times New Roman" w:hAnsi="Times New Roman"/>
          <w:sz w:val="17"/>
          <w:szCs w:val="17"/>
          <w:color w:val="auto"/>
        </w:rPr>
        <w:t>Because we currently rely on third parties to manufacture cretostimogene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320" w:top="451"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49" w:lineRule="auto"/>
        <w:rPr>
          <w:sz w:val="20"/>
          <w:szCs w:val="20"/>
          <w:color w:val="auto"/>
        </w:rPr>
      </w:pPr>
      <w:r>
        <w:rPr>
          <w:rFonts w:ascii="Times New Roman" w:cs="Times New Roman" w:eastAsia="Times New Roman" w:hAnsi="Times New Roman"/>
          <w:sz w:val="18"/>
          <w:szCs w:val="18"/>
          <w:color w:val="auto"/>
        </w:rPr>
        <w:t>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spacing w:after="0" w:line="292" w:lineRule="exact"/>
        <w:rPr>
          <w:sz w:val="20"/>
          <w:szCs w:val="20"/>
          <w:color w:val="auto"/>
        </w:rPr>
      </w:pPr>
    </w:p>
    <w:p>
      <w:pPr>
        <w:jc w:val="both"/>
        <w:ind w:left="220"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 agreements and strategic alliances to maximize the potential of cretostimogene, and we may not realize the anticipated benefits of such collaborations or alliances. We may continue to form collaborations or alliances in the future with respect to cretostimogene or any future product candidates, but may be unable to do so or to realize the potential benefits of such transactions, which may cause us to alter or delay our development and commercialization plans.</w:t>
      </w:r>
    </w:p>
    <w:p>
      <w:pPr>
        <w:spacing w:after="0" w:line="75"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We have entered into, and may in the future seek to enter into, collaborations, joint ventures, licenses and other similar arrangements for the development or, if approved, commercialization of cretostimogene and any future product candidates due to capital costs required to develop or commercialize such product candidates or otherwise. For example, we have entered into license and collaboration agreements with Lepu Biotech Co., Ltd. (Lepu) and Kissei Pharmaceutical Co., Ltd. (Kissei), pursuant to which we granted Lepu exclusive rights to develop and commercialize cretostimogene and/or DDM in Greater China, including Hong Kong and Macau (the Lepu Territory), and granted Kissei exclusive rights to develop and commercialize cretostimogene in combination with DDM in Japan and other Asian counties (excluding the Lepu territory). We may not be successful in our efforts to establish or maintain such collaborations because our research and development pipeline may be insufficient, future product candidates may be deemed to be at too early of a stage of development for collaborative effort or third parties may not view cretostimogene or any future product candidates as having the requisite potential to demonstrate safety, purity and potency (or efficacy), or significant commercial opportunity. In addition, we face significant competition in seeking appropriate strategic partners, and the negotiation process can be time-consuming and complex. Even if we are successful in our efforts to establish or maintain such collaborations, the terms that we agree upon may not be favorable to us. As a result, we may need to relinquish valuable rights to our future revenue streams, research programs, intellectual property, cretostimogene or any future product candidates, or grant licenses on terms that may not be favorable to us, as part of any such arrangement, and such arrangements may restrict us from entering into additional agreements with other potential collaborators. In addition, our current collaborations limit, and potential future collaborations may limit, our control over the amount and timing of resources that our collaborators will dedicate to the development or commercialization of cretostimogene or any future product candidates. Our ability to generate revenue from these arrangements will depend on any current or future collaborators’ abilities to successfully perform the functions assigned to them in these arrangements. We cannot be certain that, following a collaboration, license, or strategic transaction, we will achieve an economic benefit that justifies such transaction, and such transaction may not yield additional development product candidates for our pipeline. Furthermore, we may not be able to maintain such collaborations if, for example, the development or approval of cretostimogene or any future product candidate is delayed, the safety of any such product candidate is questioned, or the sales of cretostimogene, if approved, or an approved future product candidate, are unsatisfactory.</w:t>
      </w:r>
    </w:p>
    <w:p>
      <w:pPr>
        <w:spacing w:after="0" w:line="191"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In addition, our current collaborations are, and potential future collaborations may be, terminable by our strategic partners, and we may not be able to adequately protect our rights under these agreements. Furthermore, strategic partners may negotiate for certain rights to control decisions regarding the development and, if approved, commercialization of cretostimogene or any future product candidates, and may not conduct those activities in the same manner as we do. Any termination of collaborations we enter into in the future, or any delay in entering into collaborations related to cretostimogene or any future product candidates, could delay the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40"/>
          </w:cols>
          <w:pgMar w:left="320" w:top="451"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74" w:lineRule="auto"/>
        <w:rPr>
          <w:sz w:val="20"/>
          <w:szCs w:val="20"/>
          <w:color w:val="auto"/>
        </w:rPr>
      </w:pPr>
      <w:r>
        <w:rPr>
          <w:rFonts w:ascii="Times New Roman" w:cs="Times New Roman" w:eastAsia="Times New Roman" w:hAnsi="Times New Roman"/>
          <w:sz w:val="18"/>
          <w:szCs w:val="18"/>
          <w:color w:val="auto"/>
        </w:rPr>
        <w:t>development and, if approved, commercialization of such product candidates, and reduce their competitiveness if they reach the market, which could have a material adverse effect on our business, financial condition, results of operations and prospects.</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Cretostimogene and any Future Product Candidates</w:t>
      </w:r>
    </w:p>
    <w:p>
      <w:pPr>
        <w:spacing w:after="0" w:line="215"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cretostimogene or any future product candidates, we will be subject to ongoing regulatory obligations and continued regulatory review, which may result in significant additional expense.</w:t>
      </w:r>
    </w:p>
    <w:p>
      <w:pPr>
        <w:spacing w:after="0" w:line="54"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Any regulatory approvals that we may receive for cretostimogene or any future product candidates will require the submission of reports to regulatory authorities, subject us to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cretostimogene or any future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8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cretostimogene or any future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among other things:</w:t>
      </w:r>
    </w:p>
    <w:p>
      <w:pPr>
        <w:spacing w:after="0" w:line="97" w:lineRule="exact"/>
        <w:rPr>
          <w:sz w:val="20"/>
          <w:szCs w:val="20"/>
          <w:color w:val="auto"/>
        </w:rPr>
      </w:pPr>
    </w:p>
    <w:p>
      <w:pPr>
        <w:ind w:left="1180" w:hanging="538"/>
        <w:spacing w:after="0" w:line="274" w:lineRule="auto"/>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 warning letters, untitled letters, adverse publicity requirements or holds on clinical trials;</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submitted by us or suspension or revocation of approvals;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 the imposition of civil or criminal penalties.</w:t>
      </w:r>
    </w:p>
    <w:p>
      <w:pPr>
        <w:spacing w:after="0" w:line="217" w:lineRule="exact"/>
        <w:rPr>
          <w:sz w:val="20"/>
          <w:szCs w:val="20"/>
          <w:color w:val="auto"/>
        </w:rPr>
      </w:pPr>
    </w:p>
    <w:p>
      <w:pPr>
        <w:ind w:left="220" w:firstLine="432"/>
        <w:spacing w:after="0" w:line="274"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cretostimogene or any future product candidates and generate revenue and could require us to expend significant time and resources in response and could generate negative publicity.</w:t>
      </w:r>
    </w:p>
    <w:p>
      <w:pPr>
        <w:spacing w:after="0" w:line="163" w:lineRule="exact"/>
        <w:rPr>
          <w:sz w:val="20"/>
          <w:szCs w:val="20"/>
          <w:color w:val="auto"/>
        </w:rPr>
      </w:pPr>
    </w:p>
    <w:p>
      <w:pPr>
        <w:ind w:left="220" w:firstLine="432"/>
        <w:spacing w:after="0" w:line="274"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marketing authorization of cretostimogene or any future</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320" w:top="451" w:right="5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5" w:lineRule="auto"/>
        <w:rPr>
          <w:sz w:val="20"/>
          <w:szCs w:val="20"/>
          <w:color w:val="auto"/>
        </w:rPr>
      </w:pPr>
      <w:r>
        <w:rPr>
          <w:rFonts w:ascii="Times New Roman" w:cs="Times New Roman" w:eastAsia="Times New Roman" w:hAnsi="Times New Roman"/>
          <w:sz w:val="18"/>
          <w:szCs w:val="18"/>
          <w:color w:val="auto"/>
        </w:rPr>
        <w:t>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1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cretostimogene or any future product candidates, if approved. In particular, a product may not be promoted for uses that are not approved by the FDA or such other regulatory agencies as reflected in the product’s approved labeling. If we receive regulatory approval for cretostimogene or any future product candidates,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cretostimogene or any future product candidates, if approved, we could become subject to significant liability, which would materially adversely affect our business and financial condition.</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competition sooner than anticipated</w:t>
      </w:r>
    </w:p>
    <w:p>
      <w:pPr>
        <w:spacing w:after="0" w:line="115"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The Patient Protection and Affordable Care Act,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(or efficacy) of its product.</w:t>
      </w:r>
    </w:p>
    <w:p>
      <w:pPr>
        <w:spacing w:after="0" w:line="190"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We believe that any cretostimogene or any future product candidates, if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 continue to develop.</w:t>
      </w:r>
    </w:p>
    <w:p>
      <w:pPr>
        <w:spacing w:after="0" w:line="287"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cretostimogene or any future product candidates will depend upon the degree of market acceptance of such product candidates by physicians, patients, healthcare payors, and others in the medical community.</w:t>
      </w:r>
    </w:p>
    <w:p>
      <w:pPr>
        <w:spacing w:after="0" w:line="54" w:lineRule="exact"/>
        <w:rPr>
          <w:sz w:val="20"/>
          <w:szCs w:val="20"/>
          <w:color w:val="auto"/>
        </w:rPr>
      </w:pPr>
    </w:p>
    <w:p>
      <w:pPr>
        <w:jc w:val="both"/>
        <w:ind w:left="220" w:right="20" w:firstLine="432"/>
        <w:spacing w:after="0" w:line="282" w:lineRule="auto"/>
        <w:rPr>
          <w:sz w:val="20"/>
          <w:szCs w:val="20"/>
          <w:color w:val="auto"/>
        </w:rPr>
      </w:pPr>
      <w:r>
        <w:rPr>
          <w:rFonts w:ascii="Times New Roman" w:cs="Times New Roman" w:eastAsia="Times New Roman" w:hAnsi="Times New Roman"/>
          <w:sz w:val="17"/>
          <w:szCs w:val="17"/>
          <w:color w:val="auto"/>
        </w:rPr>
        <w:t>Cretostimogene and any future product candidates may not be commercially successful. Even if cretostimogene or any future product candidates receive regulatory approval, they may not gain market acceptance among physicians, patients, healthcare payors, or the medical community. The commercial success of cretostimogene or any future product candidates will depend significantly on the broad adoption and use of the</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40"/>
          </w:cols>
          <w:pgMar w:left="320" w:top="451"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9" w:lineRule="auto"/>
        <w:rPr>
          <w:sz w:val="20"/>
          <w:szCs w:val="20"/>
          <w:color w:val="auto"/>
        </w:rPr>
      </w:pPr>
      <w:r>
        <w:rPr>
          <w:rFonts w:ascii="Times New Roman" w:cs="Times New Roman" w:eastAsia="Times New Roman" w:hAnsi="Times New Roman"/>
          <w:sz w:val="18"/>
          <w:szCs w:val="18"/>
          <w:color w:val="auto"/>
        </w:rPr>
        <w:t>resulting product by these individuals and organizations for approved indications. In particular, given a significant portion of large urology practices are concentrated in a relatively small number of urology physician groups, market adoption by such groups will be an important factor in potential commercial success. The degree of market acceptance of our products will depend on a number of factors, including:</w:t>
      </w:r>
    </w:p>
    <w:p>
      <w:pPr>
        <w:spacing w:after="0" w:line="85" w:lineRule="exact"/>
        <w:rPr>
          <w:sz w:val="20"/>
          <w:szCs w:val="20"/>
          <w:color w:val="auto"/>
        </w:rPr>
      </w:pPr>
    </w:p>
    <w:p>
      <w:pPr>
        <w:ind w:left="1180" w:hanging="538"/>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including as compared to any more-established products;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cretostimogene or any future product candidates are approved, if any;</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and adequate reimbursement;</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availability, safety and efficacy of competitive drugs;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current or future collaborators’ sales and marketing strategies;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17" w:lineRule="exact"/>
        <w:rPr>
          <w:sz w:val="20"/>
          <w:szCs w:val="20"/>
          <w:color w:val="auto"/>
        </w:rPr>
      </w:pPr>
    </w:p>
    <w:p>
      <w:pPr>
        <w:jc w:val="both"/>
        <w:ind w:left="220" w:firstLine="432"/>
        <w:spacing w:after="0" w:line="282" w:lineRule="auto"/>
        <w:rPr>
          <w:sz w:val="20"/>
          <w:szCs w:val="20"/>
          <w:color w:val="auto"/>
        </w:rPr>
      </w:pPr>
      <w:r>
        <w:rPr>
          <w:rFonts w:ascii="Times New Roman" w:cs="Times New Roman" w:eastAsia="Times New Roman" w:hAnsi="Times New Roman"/>
          <w:sz w:val="17"/>
          <w:szCs w:val="17"/>
          <w:color w:val="auto"/>
        </w:rPr>
        <w:t>If cretostimogene or any future product candidates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261" w:lineRule="exact"/>
        <w:rPr>
          <w:sz w:val="20"/>
          <w:szCs w:val="20"/>
          <w:color w:val="auto"/>
        </w:rPr>
      </w:pPr>
    </w:p>
    <w:p>
      <w:pPr>
        <w:jc w:val="both"/>
        <w:ind w:left="2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cretostimogene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75"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cretostimogene or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w:t>
      </w:r>
    </w:p>
    <w:p>
      <w:pPr>
        <w:spacing w:after="0" w:line="18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If we participate in the Medicaid Drug Rebate Program or other governmental pricing programs, in certain circumstances, our products would be subject to ceiling prices set by such programs, which could reduce the</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320" w:top="451" w:right="5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74" w:lineRule="auto"/>
        <w:rPr>
          <w:sz w:val="20"/>
          <w:szCs w:val="20"/>
          <w:color w:val="auto"/>
        </w:rPr>
      </w:pPr>
      <w:r>
        <w:rPr>
          <w:rFonts w:ascii="Times New Roman" w:cs="Times New Roman" w:eastAsia="Times New Roman" w:hAnsi="Times New Roman"/>
          <w:sz w:val="18"/>
          <w:szCs w:val="18"/>
          <w:color w:val="auto"/>
        </w:rPr>
        <w:t>revenue we may generate from any such products. Participation in such programs would also expose us to the risk of significant civil monetary penalties, sanctions and fines should we be found to be in violation of any applicable obligations thereunder.</w:t>
      </w:r>
    </w:p>
    <w:p>
      <w:pPr>
        <w:spacing w:after="0" w:line="163"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90"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cretostimogene or any future product candidates.</w:t>
      </w:r>
    </w:p>
    <w:p>
      <w:pPr>
        <w:spacing w:after="0" w:line="185"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93"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cretostimogene or any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87"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320" w:top="451"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1"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 See the section titled “Risk Factors—Risks Related to Our Business Operations and Industry—Current and future healthcare reform legislation or regulation may increase the difficulty and cost for us to obtain coverage for and commercialize cretostimogene or any future product candidates and may adversely affect the prices we may set” for additional related information.</w:t>
      </w:r>
    </w:p>
    <w:p>
      <w:pPr>
        <w:spacing w:after="0" w:line="287" w:lineRule="exact"/>
        <w:rPr>
          <w:sz w:val="20"/>
          <w:szCs w:val="20"/>
          <w:color w:val="auto"/>
        </w:rPr>
      </w:pPr>
    </w:p>
    <w:p>
      <w:pPr>
        <w:jc w:val="both"/>
        <w:ind w:left="2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product candidates are more effective, safer, or less expensive than cretostimogene or any future product candidates we develop, our business and our ability to develop and successfully commercialize products may be adversely affected.</w:t>
      </w:r>
    </w:p>
    <w:p>
      <w:pPr>
        <w:spacing w:after="0" w:line="75"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cretostimogene. Cretostimogene and any future product candidates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are developing cretostimogene. In particular, there is intense competition in the oncology field. Our competitors include larger and better-funded pharmaceutical, biopharmaceutical, biotechnological and therapeutics companies. Moreover, we may also compete with universities and other research institutions that may be active in oncology research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patients for clinical trials and identifying and in-licensing intellectual property related to future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188" w:lineRule="exact"/>
        <w:rPr>
          <w:sz w:val="20"/>
          <w:szCs w:val="20"/>
          <w:color w:val="auto"/>
        </w:rPr>
      </w:pPr>
    </w:p>
    <w:p>
      <w:pPr>
        <w:jc w:val="both"/>
        <w:ind w:left="220" w:firstLine="432"/>
        <w:spacing w:after="0" w:line="265" w:lineRule="auto"/>
        <w:rPr>
          <w:sz w:val="20"/>
          <w:szCs w:val="20"/>
          <w:color w:val="auto"/>
        </w:rPr>
      </w:pPr>
      <w:r>
        <w:rPr>
          <w:rFonts w:ascii="Times New Roman" w:cs="Times New Roman" w:eastAsia="Times New Roman" w:hAnsi="Times New Roman"/>
          <w:sz w:val="17"/>
          <w:szCs w:val="17"/>
          <w:color w:val="auto"/>
        </w:rPr>
        <w:t>If cretostimogene or any future product candidates are approved, they will compete with surgery, radiation, and drug therapy, including chemotherapy, BCG, hormone therapy, biologic therapy, such as monoclonal and bispecific antibodies, antibody-drug conjugates, radiopharmaceuticals, immunotherapy, cell-based therapy, and targeted therapy, or a combination of any such methods,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cretostimogene and any future product candidates. To the extent Merck &amp; Co. (Merck) or another manufacturer increases the supply of BCG, there may be less demand for alternative treatments such as cretostimogene in BCG-naïve or BCG-exposed patients. There are numerous companies that have commercialized or are developing treatments for NMIBC that we will compete with, including Bristol Meyers Squibb, enGene Inc., Gilead Sciences, Inc., Hoffman-La Roche AG (Roche), ImmunityBio Inc., Johnson &amp; Johnson Inc., Merck, Protara Therapeutics, Inc., Pfizer, Inc. and UroGen Pharma, Inc.</w:t>
      </w:r>
    </w:p>
    <w:p>
      <w:pPr>
        <w:spacing w:after="0" w:line="177"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cretostimogene or any future product candidate, we will face competition based on many different factors, including the safety and effectiveness of our product candidates, the ease with which our product candidates can be administered, and the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320" w:top="451" w:right="5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69" w:lineRule="auto"/>
        <w:rPr>
          <w:sz w:val="20"/>
          <w:szCs w:val="20"/>
          <w:color w:val="auto"/>
        </w:rPr>
      </w:pPr>
      <w:r>
        <w:rPr>
          <w:rFonts w:ascii="Times New Roman" w:cs="Times New Roman" w:eastAsia="Times New Roman" w:hAnsi="Times New Roman"/>
          <w:sz w:val="17"/>
          <w:szCs w:val="17"/>
          <w:color w:val="auto"/>
        </w:rPr>
        <w:t>extent to which patients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cretostimogene or any future product candidates we develop obsolete or noncompetitive before we recover the expense of their development and commercialization. If we are unable to compete effectively, our opportunity to generate revenue from the sale of cretostimogene or any future product candidates we may develop, if approved, could be adversely affected.</w:t>
      </w:r>
    </w:p>
    <w:p>
      <w:pPr>
        <w:spacing w:after="0" w:line="271"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cretostimogene or any future product candidates are smaller than we believe they are, our revenue may be adversely affected, and our business may suffer.</w:t>
      </w:r>
    </w:p>
    <w:p>
      <w:pPr>
        <w:spacing w:after="0" w:line="54"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surgery, radiation therapy, targeted therapy, immunotherapy, chemotherapy, hormone therapy, or a combination of these, proves unsuccessful, second line therapy may be administered. Second line therapies often consist of additional chemotherapy, radiation, antibody drugs, tumor targeted small molecules, or a combination of these. Third line therapies can include antibody and small molecule targeted therapies, more invasive forms of surgery, and new technologies. In markets with approved therapies, there is no guarantee that cretostimogene or any future product candidate, even if approved, would be approved for second line or first line therapy. This could limit our potential market opportunity. In addition, we may have to conduct additional clinical trials prior to gaining approval for second line or first line therapy.</w:t>
      </w:r>
    </w:p>
    <w:p>
      <w:pPr>
        <w:spacing w:after="0" w:line="187"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later stage therapy and who have the potential to benefit from treatment with cretostimogene or any future product candidate,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business, financial condition, results of operations and prospects. Further, even if we obtain significant market share for cretostimogene or any future product candidate, because some of our potential target populations are very small, we may never achieve profitability despite obtaining such significant market share.</w:t>
      </w:r>
    </w:p>
    <w:p>
      <w:pPr>
        <w:spacing w:after="0" w:line="289"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sell and distribute our products, we may not be able to generate product revenue.</w:t>
      </w:r>
    </w:p>
    <w:p>
      <w:pPr>
        <w:spacing w:after="0" w:line="68"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ever commercialized a product. If cretostimogene or any future product candidate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For example, if cretostimogene is approved, we will need to scale up a cost-effective and reliable cold chain distribution and logistics network, which we may be unable to accomplish and which will require us to rely on third-party</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320" w:top="451" w:right="5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74" w:lineRule="auto"/>
        <w:rPr>
          <w:sz w:val="20"/>
          <w:szCs w:val="20"/>
          <w:color w:val="auto"/>
        </w:rPr>
      </w:pPr>
      <w:r>
        <w:rPr>
          <w:rFonts w:ascii="Times New Roman" w:cs="Times New Roman" w:eastAsia="Times New Roman" w:hAnsi="Times New Roman"/>
          <w:sz w:val="18"/>
          <w:szCs w:val="18"/>
          <w:color w:val="auto"/>
        </w:rPr>
        <w:t>distributors. Failure to scale up our cold chain supply logistics, by us or third parties, could in the future lead to additional manufacturing costs and delays in our ability to supply required quantities for commercial supply.</w:t>
      </w:r>
    </w:p>
    <w:p>
      <w:pPr>
        <w:spacing w:after="0" w:line="163"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We have no prior experience as a company with the marketing, sale or 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95"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4"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cretostimogene or any future product candidates in foreign markets. We are not permitted to market or promote cretostimogene or any future product candidate before we receive regulatory approval from applicable regulatory authorities in foreign markets, and we may never receive such regulatory approvals for cretostimogene or any future product candidates. To obtain separate regulatory approval in many other countries we must comply with numerous and varying regulatory requirements regarding safety and efficacy and governing, among other things, clinical trials, commercial sales, pricing and distribution of cretostimogene or any future product candidates. Approval procedures may be more onerous than those in the United States and may require that we conduct additional preclinical studies or clinical trials. If we obtain regulatory approval of cretostimogene or any future product candidates and ultimately commercialize our products in foreign markets, we would be subject to additional risks and uncertainties, including:</w:t>
      </w:r>
    </w:p>
    <w:p>
      <w:pPr>
        <w:spacing w:after="0" w:line="97" w:lineRule="exact"/>
        <w:rPr>
          <w:sz w:val="20"/>
          <w:szCs w:val="20"/>
          <w:color w:val="auto"/>
        </w:rPr>
      </w:pPr>
    </w:p>
    <w:p>
      <w:pPr>
        <w:ind w:left="1180" w:hanging="538"/>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control and import laws and regulations and unexpected changes in tariffs, trade barriers and regulatory requirements;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40"/>
          </w:cols>
          <w:pgMar w:left="320" w:top="451"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1180" w:hanging="538"/>
        <w:spacing w:after="0" w:line="274" w:lineRule="auto"/>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public health pandemics or epidemics, or natural disasters including earthquakes, typhoons, floods and fires.</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215" w:lineRule="exact"/>
        <w:rPr>
          <w:sz w:val="20"/>
          <w:szCs w:val="20"/>
          <w:color w:val="auto"/>
        </w:rPr>
      </w:pPr>
    </w:p>
    <w:p>
      <w:pPr>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4" w:lineRule="exact"/>
        <w:rPr>
          <w:sz w:val="20"/>
          <w:szCs w:val="20"/>
          <w:color w:val="auto"/>
        </w:rPr>
      </w:pPr>
    </w:p>
    <w:p>
      <w:pPr>
        <w:ind w:left="220" w:firstLine="432"/>
        <w:spacing w:after="0" w:line="274"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71" w:lineRule="exact"/>
        <w:rPr>
          <w:sz w:val="20"/>
          <w:szCs w:val="20"/>
          <w:color w:val="auto"/>
        </w:rPr>
      </w:pPr>
    </w:p>
    <w:p>
      <w:pPr>
        <w:jc w:val="both"/>
        <w:ind w:left="1180" w:hanging="538"/>
        <w:spacing w:after="0" w:line="259"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cretostimogene or any future product candidates, which may change from time to time, including the need to conduct unanticipated clinical trials or trials that are larger or more complex than anticipated;</w:t>
      </w:r>
    </w:p>
    <w:p>
      <w:pPr>
        <w:spacing w:after="0" w:line="85"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24" w:lineRule="exact"/>
        <w:rPr>
          <w:rFonts w:ascii="Times New Roman" w:cs="Times New Roman" w:eastAsia="Times New Roman" w:hAnsi="Times New Roman"/>
          <w:sz w:val="18"/>
          <w:szCs w:val="18"/>
          <w:color w:val="auto"/>
        </w:rPr>
      </w:pPr>
    </w:p>
    <w:p>
      <w:pPr>
        <w:jc w:val="both"/>
        <w:ind w:left="1180" w:hanging="538"/>
        <w:spacing w:after="0" w:line="259"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or clinical trials for cretostimogene or any future product candidates or competing product candidates, or any other change in the competitive landscape of our industry, including consolidation among our competitors or partners;</w:t>
      </w:r>
    </w:p>
    <w:p>
      <w:pPr>
        <w:spacing w:after="0" w:line="85"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cretostimogene or any future product candidates, if approved, and potential future drugs that compete with our products;</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cretostimogene or any future product candidates, which may vary depending on the quantity of production and the terms of our agreements with third-party manufacturers;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in-license, develop, or commercialize additional product candidates;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products, which may vary significantly and be difficult to predict;</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cretostimogene or any future product candidates, if approved, inside and outside of the United States, either independently or working with third parties;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payable by us or due to us under any collaboration, licensing or other similar agreement.</w:t>
      </w:r>
    </w:p>
    <w:p>
      <w:pPr>
        <w:spacing w:after="0" w:line="16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8"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320" w:top="451"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our ability to attract and retain highly qualified management and other clinical and scientific personnel.</w:t>
      </w:r>
    </w:p>
    <w:p>
      <w:pPr>
        <w:spacing w:after="0" w:line="11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recruit,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regulatory approvals or the commercialization of cretostimogene or any future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90"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In addition, employment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85"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 which could disrupt our operations.</w:t>
      </w:r>
    </w:p>
    <w:p>
      <w:pPr>
        <w:spacing w:after="0" w:line="115" w:lineRule="exact"/>
        <w:rPr>
          <w:sz w:val="20"/>
          <w:szCs w:val="20"/>
          <w:color w:val="auto"/>
        </w:rPr>
      </w:pPr>
    </w:p>
    <w:p>
      <w:pPr>
        <w:jc w:val="both"/>
        <w:ind w:left="220" w:right="20" w:firstLine="432"/>
        <w:spacing w:after="0" w:line="269" w:lineRule="auto"/>
        <w:rPr>
          <w:sz w:val="20"/>
          <w:szCs w:val="20"/>
          <w:color w:val="auto"/>
        </w:rPr>
      </w:pPr>
      <w:r>
        <w:rPr>
          <w:rFonts w:ascii="Times New Roman" w:cs="Times New Roman" w:eastAsia="Times New Roman" w:hAnsi="Times New Roman"/>
          <w:sz w:val="17"/>
          <w:szCs w:val="17"/>
          <w:color w:val="auto"/>
        </w:rPr>
        <w:t>As of September 30, 2023, we had 58 full-time employees. As we continue development and pursue the potential commercialization of cretostimogene or any future product candidates, as well as transition to functioning as a public company, we will need to expand our financial, development, regulatory, manufacturing, information technology, marketing and sales capabilities or contract with third parties to provide these capabilities for us. As our operations expand, we expect that we will need to manage additional relationships with various strategic partners, suppliers and other third parties and we may not be successful in doing so. Our future financial performance and our ability to develop and commercialize cretostimogene and any future product candidates and to compete effectively will depend, in part, on our ability to manage any future growth effectively.</w:t>
      </w:r>
    </w:p>
    <w:p>
      <w:pPr>
        <w:spacing w:after="0" w:line="271"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68"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expose us to broadly applicable foreign,</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40"/>
          </w:cols>
          <w:pgMar w:left="320" w:top="451" w:right="5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9" w:lineRule="auto"/>
        <w:rPr>
          <w:sz w:val="20"/>
          <w:szCs w:val="20"/>
          <w:color w:val="auto"/>
        </w:rPr>
      </w:pPr>
      <w:r>
        <w:rPr>
          <w:rFonts w:ascii="Times New Roman" w:cs="Times New Roman" w:eastAsia="Times New Roman" w:hAnsi="Times New Roman"/>
          <w:sz w:val="18"/>
          <w:szCs w:val="18"/>
          <w:color w:val="auto"/>
        </w:rPr>
        <w:t>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regulatory approval. Such laws include:</w:t>
      </w:r>
    </w:p>
    <w:p>
      <w:pPr>
        <w:spacing w:after="0" w:line="85" w:lineRule="exact"/>
        <w:rPr>
          <w:sz w:val="20"/>
          <w:szCs w:val="20"/>
          <w:color w:val="auto"/>
        </w:rPr>
      </w:pPr>
    </w:p>
    <w:p>
      <w:pPr>
        <w:jc w:val="both"/>
        <w:ind w:left="1180" w:right="20" w:hanging="538"/>
        <w:spacing w:after="0" w:line="251"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92" w:lineRule="exact"/>
        <w:rPr>
          <w:rFonts w:ascii="Times New Roman" w:cs="Times New Roman" w:eastAsia="Times New Roman" w:hAnsi="Times New Roman"/>
          <w:sz w:val="18"/>
          <w:szCs w:val="18"/>
          <w:color w:val="auto"/>
        </w:rPr>
      </w:pPr>
    </w:p>
    <w:p>
      <w:pPr>
        <w:jc w:val="both"/>
        <w:ind w:left="1180" w:hanging="538"/>
        <w:spacing w:after="0" w:line="251"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92" w:lineRule="exact"/>
        <w:rPr>
          <w:rFonts w:ascii="Times New Roman" w:cs="Times New Roman" w:eastAsia="Times New Roman" w:hAnsi="Times New Roman"/>
          <w:sz w:val="18"/>
          <w:szCs w:val="18"/>
          <w:color w:val="auto"/>
        </w:rPr>
      </w:pPr>
    </w:p>
    <w:p>
      <w:pPr>
        <w:jc w:val="both"/>
        <w:ind w:left="1180" w:right="20" w:hanging="538"/>
        <w:spacing w:after="0" w:line="25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2" w:lineRule="exact"/>
        <w:rPr>
          <w:rFonts w:ascii="Times New Roman" w:cs="Times New Roman" w:eastAsia="Times New Roman" w:hAnsi="Times New Roman"/>
          <w:sz w:val="18"/>
          <w:szCs w:val="18"/>
          <w:color w:val="auto"/>
        </w:rPr>
      </w:pPr>
    </w:p>
    <w:p>
      <w:pPr>
        <w:jc w:val="both"/>
        <w:ind w:left="1180" w:hanging="538"/>
        <w:spacing w:after="0" w:line="250"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physicians and their immediate family members; and</w:t>
      </w:r>
    </w:p>
    <w:p>
      <w:pPr>
        <w:spacing w:after="0" w:line="93" w:lineRule="exact"/>
        <w:rPr>
          <w:rFonts w:ascii="Times New Roman" w:cs="Times New Roman" w:eastAsia="Times New Roman" w:hAnsi="Times New Roman"/>
          <w:sz w:val="18"/>
          <w:szCs w:val="18"/>
          <w:color w:val="auto"/>
        </w:rPr>
      </w:pPr>
    </w:p>
    <w:p>
      <w:pPr>
        <w:jc w:val="both"/>
        <w:ind w:left="1180" w:right="20" w:hanging="538"/>
        <w:spacing w:after="0" w:line="250"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w:t>
      </w:r>
    </w:p>
    <w:p>
      <w:pPr>
        <w:spacing w:after="0" w:line="187"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consulting agreements and advisory board agreements we have entered into with physicians who are paid, in part, in the form of stock or</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40"/>
          </w:cols>
          <w:pgMar w:left="320" w:top="451" w:right="5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48" w:lineRule="auto"/>
        <w:rPr>
          <w:sz w:val="20"/>
          <w:szCs w:val="20"/>
          <w:color w:val="auto"/>
        </w:rPr>
      </w:pPr>
      <w:r>
        <w:rPr>
          <w:rFonts w:ascii="Times New Roman" w:cs="Times New Roman" w:eastAsia="Times New Roman" w:hAnsi="Times New Roman"/>
          <w:sz w:val="18"/>
          <w:szCs w:val="18"/>
          <w:color w:val="auto"/>
        </w:rPr>
        <w:t>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spacing w:after="0" w:line="293"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obtain coverage for and commercialize cretostimogene or any future product candidates and may adversely affect the prices we may set.</w:t>
      </w:r>
    </w:p>
    <w:p>
      <w:pPr>
        <w:spacing w:after="0" w:line="54"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cretostimogene or any future product candidates for which we obtain regulatory approval. In particular, there have been and continue to be a number of initiatives at the U.S. federal and state levels that seek to reduce healthcare costs and improve the quality of healthcare.</w:t>
      </w:r>
    </w:p>
    <w:p>
      <w:pPr>
        <w:spacing w:after="0" w:line="185"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of 2010 (ACA) was enacted in the United States.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w:t>
      </w:r>
    </w:p>
    <w:p>
      <w:pPr>
        <w:spacing w:after="0" w:line="190"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78"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beginning April 1, 2013, Medicare payments to providers were reduced under the sequestration required by the Budget Control Act of 2011, which will remain in effect until 2032, unless additional Congressional action is taken. Additionally,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eliminates the statutory cap on the Medicaid drug rebate, currently set at 100% of a drug’s AMP, beginning January 1, 2024. Further, there has been heightened</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40"/>
          </w:cols>
          <w:pgMar w:left="320" w:top="451"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5" w:lineRule="auto"/>
        <w:rPr>
          <w:sz w:val="20"/>
          <w:szCs w:val="20"/>
          <w:color w:val="auto"/>
        </w:rPr>
      </w:pPr>
      <w:r>
        <w:rPr>
          <w:rFonts w:ascii="Times New Roman" w:cs="Times New Roman" w:eastAsia="Times New Roman" w:hAnsi="Times New Roman"/>
          <w:sz w:val="18"/>
          <w:szCs w:val="18"/>
          <w:color w:val="auto"/>
        </w:rPr>
        <w:t>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w:t>
      </w:r>
    </w:p>
    <w:p>
      <w:pPr>
        <w:spacing w:after="0" w:line="180"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Most recently, on August 16, 2022, President Biden signed the Inflation Reduction Act of 2022 (IRA) into law. This statute marks the most significant action by Congress with respect to the pharmaceutical industry since adoption of the ACA in 2010. Among other things, the IRA (i) directs HHS to negotiate the price of certain high-expenditure, single-source drugs and biologics covered under Medicare and (ii) imposes rebates under Medicare Part B and Medicare Part D to penalize price increases that outpace inflation. The IRA permits the Secretary of the Department of Health and Human Services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Additional drug pricing proposals could appear in future legislation.</w:t>
      </w:r>
    </w:p>
    <w:p>
      <w:pPr>
        <w:spacing w:after="0" w:line="191"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cretostimogene and any future product candidates, if approved, or put pressure on our product pricing, which could negatively affect our business, financial condition, results of operations and prospects.</w:t>
      </w:r>
    </w:p>
    <w:p>
      <w:pPr>
        <w:spacing w:after="0" w:line="190"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cretostimogene or any future product candidates, if approved.</w:t>
      </w:r>
    </w:p>
    <w:p>
      <w:pPr>
        <w:spacing w:after="0" w:line="287"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delay or cease commercialization of our products.</w:t>
      </w:r>
    </w:p>
    <w:p>
      <w:pPr>
        <w:spacing w:after="0" w:line="54" w:lineRule="exact"/>
        <w:rPr>
          <w:sz w:val="20"/>
          <w:szCs w:val="20"/>
          <w:color w:val="auto"/>
        </w:rPr>
      </w:pPr>
    </w:p>
    <w:p>
      <w:pPr>
        <w:jc w:val="both"/>
        <w:ind w:left="220" w:right="20" w:firstLine="432"/>
        <w:spacing w:after="0" w:line="269" w:lineRule="auto"/>
        <w:rPr>
          <w:sz w:val="20"/>
          <w:szCs w:val="20"/>
          <w:color w:val="auto"/>
        </w:rPr>
      </w:pPr>
      <w:r>
        <w:rPr>
          <w:rFonts w:ascii="Times New Roman" w:cs="Times New Roman" w:eastAsia="Times New Roman" w:hAnsi="Times New Roman"/>
          <w:sz w:val="17"/>
          <w:szCs w:val="17"/>
          <w:color w:val="auto"/>
        </w:rPr>
        <w:t>We face an inherent risk of product liability as a result of the clinical trials of cretostimogene and any future product candidates and will face an even greater risk if we commercialize cretostimogene or any future product candidates, if approved. For example, we may be sued if cretostimogene or any future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40"/>
          </w:cols>
          <w:pgMar w:left="320" w:top="451" w:right="5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w:t>
      </w:r>
    </w:p>
    <w:p>
      <w:pPr>
        <w:spacing w:after="0" w:line="85" w:lineRule="exact"/>
        <w:rPr>
          <w:sz w:val="20"/>
          <w:szCs w:val="20"/>
          <w:color w:val="auto"/>
        </w:rPr>
      </w:pPr>
    </w:p>
    <w:p>
      <w:pPr>
        <w:ind w:left="1180" w:hanging="538"/>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our management’s time and our resources;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product recipients;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financial impact;</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cretostimogene or any future product candidate;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17"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We currently hold approximately $10 million in product liability insurance coverage in the aggregate. We may need to increase our insurance coverage as we expand our clinical trials or if we commence commercialization of cretostimogene or any future product candidates. Insurance coverage is increasingly expensive. Our inability to obtain and retain sufficient product liability insurance at an acceptable cost to protect against potential product liability claims could prevent or inhibit the commercialization of cretostimogene or any future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i w:val="1"/>
          <w:iCs w:val="1"/>
          <w:color w:val="auto"/>
        </w:rPr>
        <w:t>Our insurance policies are expensive and protect us from only some business risks, which will leave us exposed to significant uninsured liabilities.</w:t>
      </w:r>
    </w:p>
    <w:p>
      <w:pPr>
        <w:spacing w:after="0" w:line="127"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property, general liability, employee benefits liability, business automobile, workers’ compensation, products/clinical trial liability, cyber liability, clinical trials,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business, financial condition, results of operations and prospects.</w:t>
      </w:r>
    </w:p>
    <w:p>
      <w:pPr>
        <w:spacing w:after="0" w:line="287"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and any of our current or potential future collaborators will be required to report to regulatory authorities if any of our approved products cause or contribute to adverse medical events, and any failure to do so would result in sanctions that would materially harm our business.</w:t>
      </w:r>
    </w:p>
    <w:p>
      <w:pPr>
        <w:spacing w:after="0" w:line="54"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If we or any of our current or potential future collaborators are successful in commercializing cretostimogene or any future product candidates, the FDA and foreign regulatory authorities would require that we and such collaborators report certain information about adverse medical events if those products may have caused or contributed to those adverse events. The timing of our obligation to report would be triggered by the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320" w:top="451"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date we or such collaborators become aware of the adverse event as well as the nature of the event. We and any of our current or potential future collaborators or CROs may fail to report adverse events within the prescribed timeframe. If we or any of our current or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282"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service providers may be subject to a variety of data protection, privacy and security obligations, including laws, regulations, standards and contractual provisions, which could increase compliance costs, and our actual or perceived failure to comply with such laws and obligations could subject us to potentially significant liability, fines or penalties and otherwise harm our business.</w:t>
      </w:r>
    </w:p>
    <w:p>
      <w:pPr>
        <w:spacing w:after="0" w:line="68" w:lineRule="exact"/>
        <w:rPr>
          <w:sz w:val="20"/>
          <w:szCs w:val="20"/>
          <w:color w:val="auto"/>
        </w:rPr>
      </w:pPr>
    </w:p>
    <w:p>
      <w:pPr>
        <w:jc w:val="both"/>
        <w:ind w:left="220" w:firstLine="432"/>
        <w:spacing w:after="0" w:line="265" w:lineRule="auto"/>
        <w:rPr>
          <w:sz w:val="20"/>
          <w:szCs w:val="20"/>
          <w:color w:val="auto"/>
        </w:rPr>
      </w:pPr>
      <w:r>
        <w:rPr>
          <w:rFonts w:ascii="Times New Roman" w:cs="Times New Roman" w:eastAsia="Times New Roman" w:hAnsi="Times New Roman"/>
          <w:sz w:val="17"/>
          <w:szCs w:val="17"/>
          <w:color w:val="auto"/>
        </w:rPr>
        <w:t>We and our service providers maintain and will maintain a large quantity of sensitive information, including confidential business and patient health information, in connection with our clinical trials, and are subject to laws and regulations governing the privacy and security of such information. The global data protection landscape is rapidly evolving, and we and our service providers may be affected by or subject to existing, amended, or new laws and regulations in the future, including as our operations continue to expand or if we operate in foreign jurisdictions. These laws and regulations may be subject to differing interpretations, thus creating potentially complex compliance issues for us and our service providers, strategic partners and future customers.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spacing w:after="0" w:line="177" w:lineRule="exact"/>
        <w:rPr>
          <w:sz w:val="20"/>
          <w:szCs w:val="20"/>
          <w:color w:val="auto"/>
        </w:rPr>
      </w:pPr>
    </w:p>
    <w:p>
      <w:pPr>
        <w:jc w:val="both"/>
        <w:ind w:left="220" w:firstLine="432"/>
        <w:spacing w:after="0" w:line="266" w:lineRule="auto"/>
        <w:rPr>
          <w:sz w:val="20"/>
          <w:szCs w:val="20"/>
          <w:color w:val="auto"/>
        </w:rPr>
      </w:pPr>
      <w:r>
        <w:rPr>
          <w:rFonts w:ascii="Times New Roman" w:cs="Times New Roman" w:eastAsia="Times New Roman" w:hAnsi="Times New Roman"/>
          <w:sz w:val="17"/>
          <w:szCs w:val="17"/>
          <w:color w:val="auto"/>
        </w:rPr>
        <w:t>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our operations or the operations of our collaborators and third-party providers. In addition, we may obtain health information from third parties (including research institutions from which we obtain clinical trial data and CROs) that are subject to privacy and security requirements under HIPAA. Consequently, depending on the facts and circumstances, we could be subject to significant penalties if we knowingly receive individually identifiable health information from a HIPAA-covered healthcare provider, research institution, or CRO that has not satisfied HIPAA’s requirements for disclosure of individually identifiable health information.</w:t>
      </w:r>
    </w:p>
    <w:p>
      <w:pPr>
        <w:spacing w:after="0" w:line="175"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(CCPA), which went into effect on January 1, 2020, gives California residents a number of individual privacy rights related to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w:t>
      </w:r>
    </w:p>
    <w:p>
      <w:pPr>
        <w:spacing w:after="0" w:line="1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320" w:top="451"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304" w:lineRule="auto"/>
        <w:rPr>
          <w:sz w:val="20"/>
          <w:szCs w:val="20"/>
          <w:color w:val="auto"/>
        </w:rPr>
      </w:pPr>
      <w:r>
        <w:rPr>
          <w:rFonts w:ascii="Times New Roman" w:cs="Times New Roman" w:eastAsia="Times New Roman" w:hAnsi="Times New Roman"/>
          <w:sz w:val="17"/>
          <w:szCs w:val="17"/>
          <w:color w:val="auto"/>
        </w:rPr>
        <w:t>stringent privacy legislation in the United States.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41"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store, use, transfer, disclose and otherwise process data, update our data privacy and security policies and procedures, or in some cases, impact our ability to operate in certain jurisdictions. Failure by us or our collaborators and our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adversely affect our business, financial condition, results of operations and prospects.</w:t>
      </w:r>
    </w:p>
    <w:p>
      <w:pPr>
        <w:spacing w:after="0" w:line="289" w:lineRule="exact"/>
        <w:rPr>
          <w:sz w:val="20"/>
          <w:szCs w:val="20"/>
          <w:color w:val="auto"/>
        </w:rPr>
      </w:pPr>
    </w:p>
    <w:p>
      <w:pPr>
        <w:jc w:val="both"/>
        <w:ind w:left="2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any of our service providers, may fail or suffer security incidents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68"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In the ordinary course of business, we collect, store and transmit confidential information (including but not limited to intellectual property, proprietary and confidential business information and personal information). Our information technology systems and those of our third-party service providers, strategic partners and other contractors or consultants are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88" w:lineRule="exact"/>
        <w:rPr>
          <w:sz w:val="20"/>
          <w:szCs w:val="20"/>
          <w:color w:val="auto"/>
        </w:rPr>
      </w:pPr>
    </w:p>
    <w:p>
      <w:pPr>
        <w:jc w:val="both"/>
        <w:ind w:left="220" w:right="20" w:firstLine="432"/>
        <w:spacing w:after="0" w:line="265" w:lineRule="auto"/>
        <w:rPr>
          <w:sz w:val="20"/>
          <w:szCs w:val="20"/>
          <w:color w:val="auto"/>
        </w:rPr>
      </w:pPr>
      <w:r>
        <w:rPr>
          <w:rFonts w:ascii="Times New Roman" w:cs="Times New Roman" w:eastAsia="Times New Roman" w:hAnsi="Times New Roman"/>
          <w:sz w:val="17"/>
          <w:szCs w:val="17"/>
          <w:color w:val="auto"/>
        </w:rPr>
        <w:t>We and certain of our service providers are from time to time subject to cyberattacks and security incidents. While we do not believe that we have experienced any material system failure, accident or security breach to date, if any such event, whether actual or perceived, were to occur, it could impact our reputation and/or operations,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a third party to manufacture cretostimogene, and similar events relating to their computer systems could also have a material adverse effect on our business. To the extent that any actual or perceived disruption or security incident affects our systems (or those of our third-party collaborators, service providers, contractors or consultants) or were to result in a loss of or accidental, unlawful or unauthorized access to, use of, release of, or other processing of personally identifiable information, or damage to, our confidential or proprietary data or applications, or inappropriate disclosure of</w:t>
      </w:r>
    </w:p>
    <w:p>
      <w:pPr>
        <w:spacing w:after="0" w:line="1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40"/>
          </w:cols>
          <w:pgMar w:left="320" w:top="451" w:right="5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9" w:lineRule="auto"/>
        <w:rPr>
          <w:sz w:val="20"/>
          <w:szCs w:val="20"/>
          <w:color w:val="auto"/>
        </w:rPr>
      </w:pPr>
      <w:r>
        <w:rPr>
          <w:rFonts w:ascii="Times New Roman" w:cs="Times New Roman" w:eastAsia="Times New Roman" w:hAnsi="Times New Roman"/>
          <w:sz w:val="18"/>
          <w:szCs w:val="18"/>
          <w:color w:val="auto"/>
        </w:rPr>
        <w:t>confidential or proprietary information, we could incur liability, the further development and commercialization of cretostimogene or any future product candidates could be delayed, and we could be subject to significant fines, penalties or liabilities for any noncompliance to certain privacy and security laws.</w:t>
      </w:r>
    </w:p>
    <w:p>
      <w:pPr>
        <w:spacing w:after="0" w:line="178"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us or by our vendors, contractors, or organizations with which we have formed strategic relationships. Our contracts may not contain limitations of liability, and even where they do, there can be no assurance that limitations of liability in our contracts are sufficient to protect us from liabilities, damages, or claims related to our data privacy and security obligations. Although we currently hold cybersecurity insurance, the costs related to significant security breaches or disruptions could be material and cause us to incur significant expenses.</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arising from pandemics and epidemic diseases.</w:t>
      </w:r>
    </w:p>
    <w:p>
      <w:pPr>
        <w:spacing w:after="0" w:line="115"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The COVID-19 worldwide pandemic presented substantial public health and economic challenges and affected our employees, patients, physicians and other healthcare providers, communities and business operations, as well as the U.S. and global economies and financial markets. Any future pandemic or epidemic disease outbreaks could disrupt the supply chain and the manufacture or shipment of drug substances and finished drug products for cretostimogene or any future product candidates for use in our, our collaborators’ or any future collaborators’ clinical trials and research and preclinical studies and, delay, limit or prevent our employees and CROs from continuing research and development activities, impede our clinical trial initiation and recruitment and the ability of patients to continue in clinical trials, alter the results of the clinical trial based on participants contracting the disease or otherwise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results of operations and prospects. Any future pandemic or epidemic disease outbreak could also potentially further affect the business of the FDA, EMA or other regulatory authorities, which could result in delays in meetings related to our planned clinical trials, as well have an adverse impact on global economic conditions which could have an adverse effect on our business and financial condition, including impairing our ability to raise capital when needed.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115"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40"/>
          </w:cols>
          <w:pgMar w:left="320" w:top="451" w:right="5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spacing w:after="0" w:line="287"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collaborators, principal investigators, CROs, consultants and vendors, may engage in misconduct or other improper activities, including noncompliance with regulatory standards and requirements.</w:t>
      </w:r>
    </w:p>
    <w:p>
      <w:pPr>
        <w:spacing w:after="0" w:line="54" w:lineRule="exact"/>
        <w:rPr>
          <w:sz w:val="20"/>
          <w:szCs w:val="20"/>
          <w:color w:val="auto"/>
        </w:rPr>
      </w:pPr>
    </w:p>
    <w:p>
      <w:pPr>
        <w:jc w:val="both"/>
        <w:ind w:left="220" w:right="20" w:firstLine="432"/>
        <w:spacing w:after="0" w:line="265" w:lineRule="auto"/>
        <w:rPr>
          <w:sz w:val="20"/>
          <w:szCs w:val="20"/>
          <w:color w:val="auto"/>
        </w:rPr>
      </w:pPr>
      <w:r>
        <w:rPr>
          <w:rFonts w:ascii="Times New Roman" w:cs="Times New Roman" w:eastAsia="Times New Roman" w:hAnsi="Times New Roman"/>
          <w:sz w:val="17"/>
          <w:szCs w:val="17"/>
          <w:color w:val="auto"/>
        </w:rPr>
        <w:t>We are exposed to the risk that our employees and independent contractors, including collaborators,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w:t>
      </w:r>
    </w:p>
    <w:p>
      <w:pPr>
        <w:jc w:val="both"/>
        <w:ind w:left="220" w:hanging="2"/>
        <w:spacing w:after="0" w:line="246" w:lineRule="auto"/>
        <w:tabs>
          <w:tab w:leader="none" w:pos="5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or our collaborators’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spacing w:after="0" w:line="293"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54"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and collaborations,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40"/>
          </w:cols>
          <w:pgMar w:left="320" w:top="451" w:right="5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2" w:lineRule="auto"/>
        <w:rPr>
          <w:sz w:val="20"/>
          <w:szCs w:val="20"/>
          <w:color w:val="auto"/>
        </w:rPr>
      </w:pPr>
      <w:r>
        <w:rPr>
          <w:rFonts w:ascii="Times New Roman" w:cs="Times New Roman" w:eastAsia="Times New Roman" w:hAnsi="Times New Roman"/>
          <w:sz w:val="18"/>
          <w:szCs w:val="18"/>
          <w:color w:val="auto"/>
        </w:rPr>
        <w:t>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financial condition, results of operations and prospects.</w:t>
      </w:r>
    </w:p>
    <w:p>
      <w:pPr>
        <w:spacing w:after="0" w:line="287"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this offering or other ownership changes.</w:t>
      </w:r>
    </w:p>
    <w:p>
      <w:pPr>
        <w:spacing w:after="0" w:line="54"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As of December 31, 2022, we had net operating loss (NOL) carryforwards, which may be available to offset our future taxable income, if any. Our NOL carryforwards and other tax attributes are subject to expiration, review and possible adjustment by the Internal Revenue Service (IRS) and state tax authorities.</w:t>
      </w:r>
    </w:p>
    <w:p>
      <w:pPr>
        <w:spacing w:after="0" w:line="180" w:lineRule="exact"/>
        <w:rPr>
          <w:sz w:val="20"/>
          <w:szCs w:val="20"/>
          <w:color w:val="auto"/>
        </w:rPr>
      </w:pPr>
    </w:p>
    <w:p>
      <w:pPr>
        <w:jc w:val="both"/>
        <w:ind w:left="220" w:right="20" w:firstLine="432"/>
        <w:spacing w:after="0" w:line="265" w:lineRule="auto"/>
        <w:rPr>
          <w:sz w:val="20"/>
          <w:szCs w:val="20"/>
          <w:color w:val="auto"/>
        </w:rPr>
      </w:pPr>
      <w:r>
        <w:rPr>
          <w:rFonts w:ascii="Times New Roman" w:cs="Times New Roman" w:eastAsia="Times New Roman" w:hAnsi="Times New Roman"/>
          <w:sz w:val="17"/>
          <w:szCs w:val="17"/>
          <w:color w:val="auto"/>
        </w:rPr>
        <w:t>In addition,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Although we believe there have been one or more ownership changes resulting from past transactions, we have not determined the amount of the cumulative change in our ownership resulting from this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potential changes in connection with this offering. If we earn taxable income, such limitations could result in increased future income tax liability to us and our future cash flows could be adversely affected.</w:t>
      </w:r>
    </w:p>
    <w:p>
      <w:pPr>
        <w:spacing w:after="0" w:line="177"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We have recorded a full valuation allowance related to our NOL carryforwards and other deferred tax assets due to the uncertainty of the ultimate realization of the future benefits of those assets.</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5" w:lineRule="exact"/>
        <w:rPr>
          <w:sz w:val="20"/>
          <w:szCs w:val="20"/>
          <w:color w:val="auto"/>
        </w:rPr>
      </w:pPr>
    </w:p>
    <w:p>
      <w:pPr>
        <w:jc w:val="both"/>
        <w:ind w:left="220"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defend and enforce patent or other intellectual property protection for cretostimogene or any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cretostimogene or any future product candidates may be adversely affected.</w:t>
      </w:r>
    </w:p>
    <w:p>
      <w:pPr>
        <w:spacing w:after="0" w:line="75" w:lineRule="exact"/>
        <w:rPr>
          <w:sz w:val="20"/>
          <w:szCs w:val="20"/>
          <w:color w:val="auto"/>
        </w:rPr>
      </w:pPr>
    </w:p>
    <w:p>
      <w:pPr>
        <w:jc w:val="both"/>
        <w:ind w:left="220" w:firstLine="432"/>
        <w:spacing w:after="0" w:line="266" w:lineRule="auto"/>
        <w:rPr>
          <w:sz w:val="20"/>
          <w:szCs w:val="20"/>
          <w:color w:val="auto"/>
        </w:rPr>
      </w:pPr>
      <w:r>
        <w:rPr>
          <w:rFonts w:ascii="Times New Roman" w:cs="Times New Roman" w:eastAsia="Times New Roman" w:hAnsi="Times New Roman"/>
          <w:sz w:val="17"/>
          <w:szCs w:val="17"/>
          <w:color w:val="auto"/>
        </w:rPr>
        <w:t>We rely, and may in the future rely, upon a combination of patent, trade secret and trademark protection for cretostimogene and any future product candidates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ownership or control, validity and enforceability of our intellectual property protection in the United States and other countries with respect to cretostimogene and any future product candidates and other proprietary technologies we may develop. We generally seek, and may in the future seek, to protect our proprietary position, in part, by filing patent applications in the United States and abroad relating to cretostimogene and any future product candidates and technology, manufacturing processes and methods of use. We may also seek to protect our proprietary position by acquiring or in-licensing relevant issued patents or</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40"/>
          </w:cols>
          <w:pgMar w:left="320" w:top="451"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pending patent applications from third parties. Currently we do not have composition of matter patents covering cretostimogene. We will endeavor to seek additional patent protection to cover features of the oncolytic virus and formulations in the future. If we are unable to obtain, maintain, expand, enforce and defend the scope, ownership or control, validity and enforceability of our intellectual property protection, our business, financial condition, results of operations and prospects could be materially harmed.</w:t>
      </w:r>
    </w:p>
    <w:p>
      <w:pPr>
        <w:spacing w:after="0" w:line="180" w:lineRule="exact"/>
        <w:rPr>
          <w:sz w:val="20"/>
          <w:szCs w:val="20"/>
          <w:color w:val="auto"/>
        </w:rPr>
      </w:pPr>
    </w:p>
    <w:p>
      <w:pPr>
        <w:jc w:val="both"/>
        <w:ind w:left="220" w:firstLine="432"/>
        <w:spacing w:after="0" w:line="262" w:lineRule="auto"/>
        <w:rPr>
          <w:sz w:val="20"/>
          <w:szCs w:val="20"/>
          <w:color w:val="auto"/>
        </w:rPr>
      </w:pPr>
      <w:r>
        <w:rPr>
          <w:rFonts w:ascii="Times New Roman" w:cs="Times New Roman" w:eastAsia="Times New Roman" w:hAnsi="Times New Roman"/>
          <w:sz w:val="17"/>
          <w:szCs w:val="17"/>
          <w:color w:val="auto"/>
        </w:rPr>
        <w:t>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unenforceable, or not infringed or not owned or controlled by us. The patent prosecution process is expensive, time-consuming, and complex, and we may not be able to file, prosecute, maintain, enforce, defend or license all necessary or desirable patent applications or patents at a reasonable cost or in a timely manner or in all jurisdictions.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licensees,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to compete with cretostimogene or any future product candidates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the entity from which we purchased the intellectual property rights to cretostimogene were the first to invent the inventions claimed in any of our owned patents or pending patent applications, or that we or any future licensors were the first to file for patent protection of such other inventions. If a third party can establish that we were not the first to make or the first to file for patent protection of such other inventions, our patents and patent applications may not issue as patents and even if issued, may be challenged and invalidated or rendered unenforceable.</w:t>
      </w:r>
    </w:p>
    <w:p>
      <w:pPr>
        <w:spacing w:after="0" w:line="184"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current and future patent applications may not result in patents being issued.</w:t>
      </w:r>
    </w:p>
    <w:p>
      <w:pPr>
        <w:spacing w:after="0" w:line="178"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Any issued patents may not afford sufficient protection of cretostimogene or any future product candidates or their intended uses against competitors, nor can there be any assurance that the issued patents will not be infringed, designed around, invalidated by third parties, or effectively prevent others from commercializing competitive technologies, products or cretostimogene or any future product candidates. Further, even if these patents are granted, they may be difficult to enforce. Obtaining and maintaining our patent protection depends on compliance with various procedural, document submission, information disclosure,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own or may license in the future covering cretostimogene or any future product candidates could be narrowed or found invalid or unenforceable if challenged in court or before administrative bodies in the United States or other countries, including the U.S. Patent and Trademark Office (USPTO). Grounds for a validity challenge could be an alleged failure to meet any of several statutory requirements, including lack of novelty, obviousness, written description or non-enablement.</w:t>
      </w:r>
    </w:p>
    <w:p>
      <w:pPr>
        <w:spacing w:after="0" w:line="1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320" w:top="451"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48" w:lineRule="auto"/>
        <w:rPr>
          <w:sz w:val="20"/>
          <w:szCs w:val="20"/>
          <w:color w:val="auto"/>
        </w:rPr>
      </w:pPr>
      <w:r>
        <w:rPr>
          <w:rFonts w:ascii="Times New Roman" w:cs="Times New Roman" w:eastAsia="Times New Roman" w:hAnsi="Times New Roman"/>
          <w:sz w:val="18"/>
          <w:szCs w:val="18"/>
          <w:color w:val="auto"/>
        </w:rPr>
        <w:t>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Grounds for an unenforceability assertion could be an allegation that someone connected with prosecution of the patent withheld information material to patentability from the USPTO, or made a misleading statement, during prosecution. Also, patent terms, including any extensions or adjustments that may or may not be available to us, may be inadequate to protect our competitive position on cretostimogene or any future product candidates for an adequate amount of time, and we may be subject to claims challenging the inventorship, ownership, validity, enforceability of our patents and/or other intellectual property. Changes in U.S. patent law, or laws in other countries, could diminish the value of patents in general, thereby impairing our ability to protect cretostimogene or any future product candidates. Further, if we encounter delays in our development and testing of cretostimogene or any future product candidates, clinical trials or regulatory review and approval of cretostimogene or any future product candidates, the period of time during which we could market cretostimogene or any future product candidates under patent protection may be reduced (i.e., patents protecting such product candidates might expire before or shortly after such product candidates are commercialized). Thus, our patents may not provide us with sufficient rights to exclude others from commercializing products similar or identical to ours or afford us any meaningful competitive advantage.</w:t>
      </w:r>
    </w:p>
    <w:p>
      <w:pPr>
        <w:spacing w:after="0" w:line="188"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Moreover, the claim coverage in a patent application can be significantly reduced before the corresponding patent is granted. Even if patent applications issue as patents, they may not issue in a form that will provide us with any meaningful protection, prevent competitors or other third parties from competing with us or otherwise provide us with any competitive advantage. Any patents issuing from our owned and any future in-licensed patent applications may be challenged, narrowed, circumvented or invalidated by third parties. Consequently, we do not know whether cretostimogene or any future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(the Hatch-Waxman Amendments) to conduct research and clinical trials.</w:t>
      </w:r>
    </w:p>
    <w:p>
      <w:pPr>
        <w:spacing w:after="0" w:line="187"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ownership, scope, validity, or enforceability and our patent rights may be challenged in the courts or patent offices in the United States and abroad. We may be subject to a post-grant proceeding at the USPTO challenging the validity of one or more claims of our patents or patents we may license in the future. Third-party submissions may also be made prior to a patent’s issuance, precluding the granting of a patent based on our pending patent application or patent application we may license in the future.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interference proceedings or other similar proceedings in the United States and/or foreign jurisdictions challenging our patent rights. An adverse determination in any such submission, proceeding or litigation could reduce the scope of, or invalidate or render unenforceable, our patent rights, and may allow third parties, including generic drug companies, to commercialize cretostimogene or any future product candidates and other proprietary technologies we may develop and compete directly with us.</w:t>
      </w:r>
    </w:p>
    <w:p>
      <w:pPr>
        <w:spacing w:after="0" w:line="193"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Moreover, some of our patent rights may in the future be co-owned with third parties.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 results of operations and prospects.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40"/>
          </w:cols>
          <w:pgMar w:left="320" w:top="451"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15"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on cretostimogene or any future product candidates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including limiting patent protection to specifically disclosed embodiments.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patents we may license in the future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intellectual property and proprietary rights generally. In addition, some jurisdictions, such as Europe, Japan and China, may have a heightened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9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the United States or other jurisdictions could result in substantial costs and divert our efforts and attention from other aspects of our business, could put our patents and any patents we may license in the future at risk of being invalidated or interpreted narrowly, could put our patent applications and any patent applications we may license in the future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85" w:lineRule="exact"/>
        <w:rPr>
          <w:sz w:val="20"/>
          <w:szCs w:val="20"/>
          <w:color w:val="auto"/>
        </w:rPr>
      </w:pPr>
    </w:p>
    <w:p>
      <w:pPr>
        <w:jc w:val="both"/>
        <w:ind w:left="220" w:firstLine="432"/>
        <w:spacing w:after="0" w:line="267"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including governmental agencies.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Russia and Ukraine conflict) could increase the uncertainties and costs surrounding the prosecution or maintenance of our patent applications or those of any future licensors and the maintenance, enforcement or defense of our issued patents which could impair our competitive intellectual property position.</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320" w:top="451" w:right="5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8"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several procedural, documentary, fee payment and other similar provisions during the patent application process. In some circumstances, we may be dependent on any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patents and applications. In certain circumstances, we may rely on licensing partners to pay these fees due to the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93"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would also be dependent on any future licensors to take the necessary actions to comply with these requirements with respect to any intellectual property we may license in the future.</w:t>
      </w:r>
    </w:p>
    <w:p>
      <w:pPr>
        <w:spacing w:after="0" w:line="191"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Public health pandemics (such as the COVID-19 pandemic), geopolitical instability (war and terrorism),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cretostimogene and any future product candidates.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i w:val="1"/>
          <w:iCs w:val="1"/>
          <w:color w:val="auto"/>
        </w:rPr>
        <w:t>Changes in patent laws or their interpretations could diminish the value of patents in general, thereby impairing our ability to protect our products.</w:t>
      </w:r>
    </w:p>
    <w:p>
      <w:pPr>
        <w:spacing w:after="0" w:line="127"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40"/>
          </w:cols>
          <w:pgMar w:left="320" w:top="451"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2" w:lineRule="auto"/>
        <w:rPr>
          <w:sz w:val="20"/>
          <w:szCs w:val="20"/>
          <w:color w:val="auto"/>
        </w:rPr>
      </w:pPr>
      <w:r>
        <w:rPr>
          <w:rFonts w:ascii="Times New Roman" w:cs="Times New Roman" w:eastAsia="Times New Roman" w:hAnsi="Times New Roman"/>
          <w:sz w:val="18"/>
          <w:szCs w:val="18"/>
          <w:color w:val="auto"/>
        </w:rPr>
        <w:t>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cretostimogene or any future product candidates and other proprietary technologies we may develop or (ii) invent any of the inventions claimed in our patents or patent applications.</w:t>
      </w:r>
    </w:p>
    <w:p>
      <w:pPr>
        <w:spacing w:after="0" w:line="185"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any patent claims we may license in the future that would not have been invalidated if first challenged by the third party as a defendant in a district court action.</w:t>
      </w:r>
    </w:p>
    <w:p>
      <w:pPr>
        <w:spacing w:after="0" w:line="190" w:lineRule="exact"/>
        <w:rPr>
          <w:sz w:val="20"/>
          <w:szCs w:val="20"/>
          <w:color w:val="auto"/>
        </w:rPr>
      </w:pPr>
    </w:p>
    <w:p>
      <w:pPr>
        <w:jc w:val="both"/>
        <w:ind w:left="220" w:right="20" w:firstLine="432"/>
        <w:spacing w:after="0" w:line="265" w:lineRule="auto"/>
        <w:rPr>
          <w:sz w:val="20"/>
          <w:szCs w:val="20"/>
          <w:color w:val="auto"/>
        </w:rPr>
      </w:pPr>
      <w:r>
        <w:rPr>
          <w:rFonts w:ascii="Times New Roman" w:cs="Times New Roman" w:eastAsia="Times New Roman" w:hAnsi="Times New Roman"/>
          <w:sz w:val="17"/>
          <w:szCs w:val="17"/>
          <w:color w:val="auto"/>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For example, the U.S. Supreme Court held in </w:t>
      </w:r>
      <w:r>
        <w:rPr>
          <w:rFonts w:ascii="Times New Roman" w:cs="Times New Roman" w:eastAsia="Times New Roman" w:hAnsi="Times New Roman"/>
          <w:sz w:val="17"/>
          <w:szCs w:val="17"/>
          <w:i w:val="1"/>
          <w:iCs w:val="1"/>
          <w:color w:val="auto"/>
        </w:rPr>
        <w:t>Amgen v. Sanofi (2023)</w:t>
      </w:r>
      <w:r>
        <w:rPr>
          <w:rFonts w:ascii="Times New Roman" w:cs="Times New Roman" w:eastAsia="Times New Roman" w:hAnsi="Times New Roman"/>
          <w:sz w:val="17"/>
          <w:szCs w:val="17"/>
          <w:color w:val="auto"/>
        </w:rPr>
        <w:t xml:space="preserve">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or may obtain or license in the future.</w:t>
      </w:r>
    </w:p>
    <w:p>
      <w:pPr>
        <w:spacing w:after="0" w:line="174"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cretostimogene and any future product candidates due to increased competition and, resultantly, on our business, financial condition, results of operations and prospects. The UPC and Unitary Patent are significant changes in European patent practice. As the UPC is a new court system, there is no precedent for the court, increasing the uncertainty of any litigation in the UPC.</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40"/>
          </w:cols>
          <w:pgMar w:left="320" w:top="451"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cretostimogene or any future product candidates could be found invalid or unenforceable if challenged in court or before administrative bodies in the United States or abroad.</w:t>
      </w:r>
    </w:p>
    <w:p>
      <w:pPr>
        <w:spacing w:after="0" w:line="54"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Our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any future licensors are unsuccessful in any of these proceedings, such patents and patent applications may be narrowed, invalidated or held unenforceable. Any of the foregoing could have a material adverse effect on our business, financial condition, results of operations and prospects.</w:t>
      </w:r>
    </w:p>
    <w:p>
      <w:pPr>
        <w:spacing w:after="0" w:line="185" w:lineRule="exact"/>
        <w:rPr>
          <w:sz w:val="20"/>
          <w:szCs w:val="20"/>
          <w:color w:val="auto"/>
        </w:rPr>
      </w:pPr>
    </w:p>
    <w:p>
      <w:pPr>
        <w:jc w:val="both"/>
        <w:ind w:left="220" w:firstLine="432"/>
        <w:spacing w:after="0" w:line="263" w:lineRule="auto"/>
        <w:rPr>
          <w:sz w:val="20"/>
          <w:szCs w:val="20"/>
          <w:color w:val="auto"/>
        </w:rPr>
      </w:pPr>
      <w:r>
        <w:rPr>
          <w:rFonts w:ascii="Times New Roman" w:cs="Times New Roman" w:eastAsia="Times New Roman" w:hAnsi="Times New Roman"/>
          <w:sz w:val="17"/>
          <w:szCs w:val="17"/>
          <w:color w:val="auto"/>
        </w:rPr>
        <w:t>If we initiate legal proceedings against a third party to enforce a patent covering cretostimogene or any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shortening the term of or amendment to our patent rights or any patent rights we may obtain or license in the future in such a way that they no longer cover cretostimogene or any future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for cretostimogene or any future product candidates. Such a loss of patent protection would have a material adverse impact on our business, financial condition, results of operations and prospects.</w:t>
      </w:r>
    </w:p>
    <w:p>
      <w:pPr>
        <w:spacing w:after="0" w:line="281"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the competitive position of cretostimogene or any future product candidates for an adequate amount of time.</w:t>
      </w:r>
    </w:p>
    <w:p>
      <w:pPr>
        <w:spacing w:after="0" w:line="54"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cretostimogene or any future product candidates are obtained, once the patent has expired, we may be vulnerable to competition from competitive products, including generics. Given the amount of time required for the development, testing and regulatory review of cretostimogene or any future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w:t>
      </w:r>
    </w:p>
    <w:p>
      <w:pPr>
        <w:spacing w:after="0" w:line="292"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equivalent extensions outside of the United States for cretostimogene or any future product candidates, our business may be materially harmed.</w:t>
      </w:r>
    </w:p>
    <w:p>
      <w:pPr>
        <w:spacing w:after="0" w:line="54"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regulatory approval of cretostimogene or any future product candidates, one or more of our U.S. patents may be eligible for limited patent term extension</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320" w:top="451" w:right="5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64" w:lineRule="auto"/>
        <w:rPr>
          <w:sz w:val="20"/>
          <w:szCs w:val="20"/>
          <w:color w:val="auto"/>
        </w:rPr>
      </w:pPr>
      <w:r>
        <w:rPr>
          <w:rFonts w:ascii="Times New Roman" w:cs="Times New Roman" w:eastAsia="Times New Roman" w:hAnsi="Times New Roman"/>
          <w:sz w:val="17"/>
          <w:szCs w:val="17"/>
          <w:color w:val="auto"/>
        </w:rPr>
        <w:t>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afforded could be less than we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1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We may be subject to claims that former employees, consultants, licensees, collaborators or other third parties have an interest in our patent rights, trade secrets, or other intellectual property as an inventor, co-inventor or owner of trade secrets. For example, we may have inventorship or ownership disputes arise from conflicting obligations of consultants or others who are involved in developing cretostimogene or any future product candidates and other proprietary technologies we may develop. Litigation may be necessary to defend against these and other claims challenging inventorship or ownership or our patent rights, trade secrets or other intellectual property. If we fail in defending any such claims, in addition to paying monetary damages, we may lose valuable intellectual property rights, such as ownership of, or the right to use intellectual property that is important to cretostimogene or any future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15"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In addition to seeking patent protection for cretostimogene or any future product candidates and proprietary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licensees,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320" w:top="451" w:right="5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obtained or independently developed by a competitor or other 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w:t>
      </w:r>
    </w:p>
    <w:p>
      <w:pPr>
        <w:spacing w:after="0" w:line="180"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cretostimogene or any future product candidates.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cretostimogene or any future product candidates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92"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54"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87"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7"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cretostimogene or any future product candidates.</w:t>
      </w:r>
    </w:p>
    <w:p>
      <w:pPr>
        <w:spacing w:after="0" w:line="54"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or will be complete or thorough, nor can we be certain that we have identified or will identify each and every third-party patent and pending patent application in the United States and abroad that is relevant to or necessary for the commercialization of cretostimogene or any future product candidates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cretostimogene or any future product candidates could have been filed by others without our</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40"/>
          </w:cols>
          <w:pgMar w:left="320" w:top="451" w:right="5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47" w:lineRule="auto"/>
        <w:rPr>
          <w:sz w:val="20"/>
          <w:szCs w:val="20"/>
          <w:color w:val="auto"/>
        </w:rPr>
      </w:pPr>
      <w:r>
        <w:rPr>
          <w:rFonts w:ascii="Times New Roman" w:cs="Times New Roman" w:eastAsia="Times New Roman" w:hAnsi="Times New Roman"/>
          <w:sz w:val="18"/>
          <w:szCs w:val="18"/>
          <w:color w:val="auto"/>
        </w:rPr>
        <w:t>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cretostimogene or any future product candidates are not covered by a third-party patent or may incorrectly predict whether a third party’s pending patent application will issue with claims of relevant scope. Alternatively, we may incorrectly determine that the Hatch-Waxman Amendments are a defense for a safe harbor to infringement of a patent we consider relevant to the research or clinical development of cretostimogene or any future product candidate.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cretostimogene or any future product candidates.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cretostimogene or any future product candidates that are held to be infringing. We might, if possible, also be forced to redesign cretostimogene or any future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4"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could be expensive and time consuming and may prevent or delay the development and commercialization of cretostimogene or any future product candidates.</w:t>
      </w:r>
    </w:p>
    <w:p>
      <w:pPr>
        <w:spacing w:after="0" w:line="54"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7"/>
          <w:szCs w:val="17"/>
          <w:color w:val="auto"/>
        </w:rPr>
        <w:t>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w:t>
      </w:r>
    </w:p>
    <w:p>
      <w:pPr>
        <w:spacing w:after="0" w:line="167"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Numerous U.S. and foreign-issued patents and pending patent applications owned by third parties exist in the fields in which we plan to commercialize our therapeutic programs and in which we are developing other proprietary technologies. As the biotechnology and pharmaceutical industries expand and more patents are issued, and as we gain greater visibility and market exposure as a public company, the risk increases that our therapeutic programs and commercializing activities may give rise to claims of infringement of the patent rights of others. We cannot guarantee that our therapeutic programs and other proprietary technologies we develop will not infringe existing or future patents owned by third parties. We may not be aware of patents that have already been issued for which a third party, such as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cretostimogene or</w:t>
      </w:r>
    </w:p>
    <w:p>
      <w:pPr>
        <w:spacing w:after="0" w:line="1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40"/>
          </w:cols>
          <w:pgMar w:left="320" w:top="451" w:right="5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5" w:lineRule="auto"/>
        <w:rPr>
          <w:sz w:val="20"/>
          <w:szCs w:val="20"/>
          <w:color w:val="auto"/>
        </w:rPr>
      </w:pPr>
      <w:r>
        <w:rPr>
          <w:rFonts w:ascii="Times New Roman" w:cs="Times New Roman" w:eastAsia="Times New Roman" w:hAnsi="Times New Roman"/>
          <w:sz w:val="18"/>
          <w:szCs w:val="18"/>
          <w:color w:val="auto"/>
        </w:rPr>
        <w:t>any future product candidates.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cretostimogene or any future product candidates or the use of cretostimogene or any such product candidates.</w:t>
      </w:r>
    </w:p>
    <w:p>
      <w:pPr>
        <w:spacing w:after="0" w:line="180"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a court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88"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spacing w:after="0" w:line="187"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cretostimogene or any future product candidates.</w:t>
      </w:r>
    </w:p>
    <w:p>
      <w:pPr>
        <w:spacing w:after="0" w:line="1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40"/>
          </w:cols>
          <w:pgMar w:left="320" w:top="451" w:right="5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54"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Third parties, such as a competitor, may infringe our patent rights. In an infringement proceeding, a court may decide that a patent we own or a patent we may license in the future is invalid or unenforceable or may refuse to stop the other party from using the invention at issue. In addition, our patent rights may become involved in inventorship, ownership, priority, enforceability,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w:t>
      </w:r>
    </w:p>
    <w:p>
      <w:pPr>
        <w:spacing w:after="0" w:line="187"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89"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4"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cretostimogene or any future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6"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We may not be able to obtain, protect or enforce our rights to these trademarks and trade names, which we need to build name recognition among potential partners or customers in our markets of interest. At times,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320" w:top="451" w:right="5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0" w:lineRule="auto"/>
        <w:rPr>
          <w:sz w:val="20"/>
          <w:szCs w:val="20"/>
          <w:color w:val="auto"/>
        </w:rPr>
      </w:pPr>
      <w:r>
        <w:rPr>
          <w:rFonts w:ascii="Times New Roman" w:cs="Times New Roman" w:eastAsia="Times New Roman" w:hAnsi="Times New Roman"/>
          <w:sz w:val="18"/>
          <w:szCs w:val="18"/>
          <w:color w:val="auto"/>
        </w:rPr>
        <w:t>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1" w:lineRule="exact"/>
        <w:rPr>
          <w:sz w:val="20"/>
          <w:szCs w:val="20"/>
          <w:color w:val="auto"/>
        </w:rPr>
      </w:pPr>
    </w:p>
    <w:p>
      <w:pPr>
        <w:ind w:left="1180" w:hanging="538"/>
        <w:spacing w:after="0" w:line="274"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cretostimogene or any future product candidates or utilize similar technology but that are not covered by the claims of the patents that we own or may license in the future;</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our current or future patent applications;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our or their inventions;</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and future patent applications that we own or may license will not lead to issued patents;</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 that we own or license in the future may be held invalid or unenforceable, including as a result of legal challenges by our competitors or other third parties;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24" w:lineRule="exact"/>
        <w:rPr>
          <w:rFonts w:ascii="Times New Roman" w:cs="Times New Roman" w:eastAsia="Times New Roman" w:hAnsi="Times New Roman"/>
          <w:sz w:val="18"/>
          <w:szCs w:val="18"/>
          <w:color w:val="auto"/>
        </w:rPr>
      </w:pPr>
    </w:p>
    <w:p>
      <w:pPr>
        <w:jc w:val="both"/>
        <w:ind w:left="1180" w:hanging="538"/>
        <w:spacing w:after="0" w:line="259"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w:t>
      </w:r>
    </w:p>
    <w:p>
      <w:pPr>
        <w:spacing w:after="0" w:line="85"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potential patentable subject matter and/or may fail to file on it;</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harm our business; and</w:t>
      </w:r>
    </w:p>
    <w:p>
      <w:pPr>
        <w:spacing w:after="0" w:line="124" w:lineRule="exact"/>
        <w:rPr>
          <w:rFonts w:ascii="Times New Roman" w:cs="Times New Roman" w:eastAsia="Times New Roman" w:hAnsi="Times New Roman"/>
          <w:sz w:val="18"/>
          <w:szCs w:val="18"/>
          <w:color w:val="auto"/>
        </w:rPr>
      </w:pPr>
    </w:p>
    <w:p>
      <w:pPr>
        <w:ind w:left="1180" w:hanging="538"/>
        <w:spacing w:after="0" w:line="304" w:lineRule="auto"/>
        <w:tabs>
          <w:tab w:leader="none" w:pos="11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for patent protection in order to maintain certain trade secrets or know-how, and a third party may subsequently file a patent application covering such intellectual property or disclose information resulting in a loss of protection for such trade secret.</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Should any of the foregoing occur, it could adversely affect our business, financial condition, results of operations and prospects.</w:t>
      </w:r>
    </w:p>
    <w:p>
      <w:pPr>
        <w:spacing w:after="0" w:line="319" w:lineRule="exact"/>
        <w:rPr>
          <w:sz w:val="20"/>
          <w:szCs w:val="20"/>
          <w:color w:val="auto"/>
        </w:rPr>
      </w:pPr>
    </w:p>
    <w:p>
      <w:pPr>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54" w:lineRule="exact"/>
        <w:rPr>
          <w:sz w:val="20"/>
          <w:szCs w:val="20"/>
          <w:color w:val="auto"/>
        </w:rPr>
      </w:pPr>
    </w:p>
    <w:p>
      <w:pPr>
        <w:ind w:left="220" w:firstLine="432"/>
        <w:spacing w:after="0" w:line="274"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in-license or use third-party intellectual property and proprietary rights. For example, cretostimogene or any future product candidates may</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320" w:top="451"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48" w:lineRule="auto"/>
        <w:rPr>
          <w:sz w:val="20"/>
          <w:szCs w:val="20"/>
          <w:color w:val="auto"/>
        </w:rPr>
      </w:pPr>
      <w:r>
        <w:rPr>
          <w:rFonts w:ascii="Times New Roman" w:cs="Times New Roman" w:eastAsia="Times New Roman" w:hAnsi="Times New Roman"/>
          <w:sz w:val="18"/>
          <w:szCs w:val="18"/>
          <w:color w:val="auto"/>
        </w:rPr>
        <w:t>require specific formulations to work effectively and efficiently, we may develop product candidates containing our compounds and pre-existing pharmaceutical compounds, we may develop combination therapies with our compounds and third-party compounds,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91"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are able to obtain a license, it may be non-exclusive, and our competitors may also receive access to the same technologies licensed to us.</w:t>
      </w:r>
    </w:p>
    <w:p>
      <w:pPr>
        <w:spacing w:after="0" w:line="18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cretostimogene or any future product candidates. More established companies may have a 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cretostimogene or any future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15"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public market for our common stock. An active, liquid and orderly market for our common stock may not develop, or we may in the future fail to satisfy the continued listing requirements of Nasdaq, and you may not be able to resell your common stock at or above the initial public offering price or at all.</w:t>
      </w:r>
    </w:p>
    <w:p>
      <w:pPr>
        <w:spacing w:after="0" w:line="68" w:lineRule="exact"/>
        <w:rPr>
          <w:sz w:val="20"/>
          <w:szCs w:val="20"/>
          <w:color w:val="auto"/>
        </w:rPr>
      </w:pPr>
    </w:p>
    <w:p>
      <w:pPr>
        <w:jc w:val="both"/>
        <w:ind w:left="220" w:firstLine="432"/>
        <w:spacing w:after="0" w:line="269"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our common stock. Although we have applied to list our common stock on the Nasdaq, an active trading market for our common stock may never develop or may not be sustained following this offering. We and the representatives of the underwriters will determine the initial public offering price of our common stock through negotiation. This price will not necessarily reflect the price at which investors in the market will be willing to buy and sell our shares following this offering. In addition, an active trading market may not develop following the completion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w:t>
      </w:r>
    </w:p>
    <w:p>
      <w:pPr>
        <w:spacing w:after="0" w:line="1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320" w:top="451" w:right="5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74" w:lineRule="auto"/>
        <w:rPr>
          <w:sz w:val="20"/>
          <w:szCs w:val="20"/>
          <w:color w:val="auto"/>
        </w:rPr>
      </w:pPr>
      <w:r>
        <w:rPr>
          <w:rFonts w:ascii="Times New Roman" w:cs="Times New Roman" w:eastAsia="Times New Roman" w:hAnsi="Times New Roman"/>
          <w:sz w:val="18"/>
          <w:szCs w:val="18"/>
          <w:color w:val="auto"/>
        </w:rPr>
        <w:t>selling shares and may impair our ability to acquire other businesses or technologies using our shares as consideration, which, in turn, could materially adversely affect our business.</w:t>
      </w:r>
    </w:p>
    <w:p>
      <w:pPr>
        <w:spacing w:after="0" w:line="16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88" w:lineRule="exact"/>
        <w:rPr>
          <w:sz w:val="20"/>
          <w:szCs w:val="20"/>
          <w:color w:val="auto"/>
        </w:rPr>
      </w:pPr>
    </w:p>
    <w:p>
      <w:pPr>
        <w:ind w:left="1180" w:hanging="538"/>
        <w:spacing w:after="0" w:line="274"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preclinical studies, and the results of trials of our competitors or those of other companies in our market sector;</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future clinical trials;</w:t>
      </w:r>
    </w:p>
    <w:p>
      <w:pPr>
        <w:spacing w:after="0" w:line="124" w:lineRule="exact"/>
        <w:rPr>
          <w:rFonts w:ascii="Times New Roman" w:cs="Times New Roman" w:eastAsia="Times New Roman" w:hAnsi="Times New Roman"/>
          <w:sz w:val="18"/>
          <w:szCs w:val="18"/>
          <w:color w:val="auto"/>
        </w:rPr>
      </w:pPr>
    </w:p>
    <w:p>
      <w:pPr>
        <w:ind w:left="1180" w:hanging="538"/>
        <w:spacing w:after="0" w:line="304" w:lineRule="auto"/>
        <w:tabs>
          <w:tab w:leader="none" w:pos="11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regulatory approval of cretostimogene or any future product candidates or additional indications thereof, or limitations to specific label indications or patient populations for its use, or changes or delays in the regulatory review process;</w:t>
      </w:r>
    </w:p>
    <w:p>
      <w:pPr>
        <w:spacing w:after="0" w:line="48" w:lineRule="exact"/>
        <w:rPr>
          <w:rFonts w:ascii="Times New Roman" w:cs="Times New Roman" w:eastAsia="Times New Roman" w:hAnsi="Times New Roman"/>
          <w:sz w:val="17"/>
          <w:szCs w:val="17"/>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foreign countries;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develop, acquire, or license cretostimogene or any future product candidates;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clinical trial results, product approvals and other developments regarding our competitors;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collaborators or other strategic partners;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development timelines or those of companies that are perceived to be similar to us, including variations from expectations of securities analysts or investors;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or our stockholders, as well as the anticipation of lock-up releases or expiration of market stand-off or lock-up agreements;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320" w:top="451" w:right="5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1180" w:hanging="538"/>
        <w:spacing w:after="0" w:line="274" w:lineRule="auto"/>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such as military conflict or war, inflation and financial institution instability, or pandemic or epidemic disease outbreaks, many of which are beyond our control;</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senior management, directors or key personnel;</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 or our inability to enforce our intellectual property;</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and the incurrence of additional debt;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17"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results of operations and prospects.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allocate the net proceeds from this offering in ways that you and other stockholders may not approve.</w:t>
      </w:r>
    </w:p>
    <w:p>
      <w:pPr>
        <w:spacing w:after="0" w:line="11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You will suffer immediate and substantial dilution in the net tangible book value of the common stock you purchase in this offering.</w:t>
      </w:r>
    </w:p>
    <w:p>
      <w:pPr>
        <w:spacing w:after="0" w:line="115" w:lineRule="exact"/>
        <w:rPr>
          <w:sz w:val="20"/>
          <w:szCs w:val="20"/>
          <w:color w:val="auto"/>
        </w:rPr>
      </w:pPr>
    </w:p>
    <w:p>
      <w:pPr>
        <w:jc w:val="both"/>
        <w:ind w:left="220" w:firstLine="432"/>
        <w:spacing w:after="0" w:line="269" w:lineRule="auto"/>
        <w:rPr>
          <w:sz w:val="20"/>
          <w:szCs w:val="20"/>
          <w:color w:val="auto"/>
        </w:rPr>
      </w:pPr>
      <w:r>
        <w:rPr>
          <w:rFonts w:ascii="Times New Roman" w:cs="Times New Roman" w:eastAsia="Times New Roman" w:hAnsi="Times New Roman"/>
          <w:sz w:val="17"/>
          <w:szCs w:val="17"/>
          <w:color w:val="auto"/>
        </w:rPr>
        <w:t>The initial public offering price of our common stock is substantially higher than the pro forma as adjusted net tangible book value per share of our outstanding common stock immediately after the completion of this offering. Purchasers of common stock in this offering will experience immediate dilution of approximately $      per share, assuming an initial public offering price of $      per share, which is the midpoint of the price range set forth on the cover page of this prospectus. In the past, we issued options to acquire common stock at prices significantly below the initial public offering price. To the extent these outstanding options are ultimately exercised, investors purchasing common stock in this offering will sustain further dilution. For a further description of the dilution that you will experience immediately after this offering, see the section titled “Dilution.”</w:t>
      </w:r>
    </w:p>
    <w:p>
      <w:pPr>
        <w:spacing w:after="0" w:line="271"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After this offering, our executive officers, directors, and principal stockholders, if they choose to act together, will continue to have the ability to significantly influence all matters submitted to stockholders for approval.</w:t>
      </w:r>
    </w:p>
    <w:p>
      <w:pPr>
        <w:spacing w:after="0" w:line="54"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Following the completion of this offering, our executive officers, directors and greater than 5% stockholders, in the aggregate, will own approximately     % of our outstanding common stock (assuming no exercise of the underwriters’ option to purchase additional shares and no exercise of outstanding options and without giving effect to any potential purchases by such persons in this offering). As a result, such persons, acting together, will have the ability to significantly influence all matters submitted to our board of directors or</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320" w:top="451" w:right="5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5" w:lineRule="auto"/>
        <w:rPr>
          <w:sz w:val="20"/>
          <w:szCs w:val="20"/>
          <w:color w:val="auto"/>
        </w:rPr>
      </w:pPr>
      <w:r>
        <w:rPr>
          <w:rFonts w:ascii="Times New Roman" w:cs="Times New Roman" w:eastAsia="Times New Roman" w:hAnsi="Times New Roman"/>
          <w:sz w:val="18"/>
          <w:szCs w:val="18"/>
          <w:color w:val="auto"/>
        </w:rPr>
        <w:t>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282"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so any returns on your investment will be limited to the value of our common stock.</w:t>
      </w:r>
    </w:p>
    <w:p>
      <w:pPr>
        <w:spacing w:after="0" w:line="54"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15"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Based on shares of common stock outstanding as of September 30, 2023, upon the completion of this offering, we will have a total of          </w:t>
      </w:r>
    </w:p>
    <w:p>
      <w:pPr>
        <w:spacing w:after="0" w:line="24" w:lineRule="exact"/>
        <w:rPr>
          <w:sz w:val="20"/>
          <w:szCs w:val="20"/>
          <w:color w:val="auto"/>
        </w:rPr>
      </w:pPr>
    </w:p>
    <w:p>
      <w:pPr>
        <w:jc w:val="both"/>
        <w:ind w:left="220" w:right="20"/>
        <w:spacing w:after="0" w:line="247" w:lineRule="auto"/>
        <w:rPr>
          <w:sz w:val="20"/>
          <w:szCs w:val="20"/>
          <w:color w:val="auto"/>
        </w:rPr>
      </w:pPr>
      <w:r>
        <w:rPr>
          <w:rFonts w:ascii="Times New Roman" w:cs="Times New Roman" w:eastAsia="Times New Roman" w:hAnsi="Times New Roman"/>
          <w:sz w:val="18"/>
          <w:szCs w:val="18"/>
          <w:color w:val="auto"/>
        </w:rPr>
        <w:t>shares of common stock outstanding, assuming no exercise of the underwriters’ option to purchase additional shares and no exercise of outstanding options. Of these shares, only the 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p>
    <w:p>
      <w:pPr>
        <w:spacing w:after="0" w:line="189"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Our directors and executive officers and substantially all of our securityholders have entered into lock-up agreements with the representatives pursuant to which they may not, with limited exceptions, for a period of 180 days from the date of this prospectus, offer, sell or otherwise transfer or dispose of any of our securities, without the prior written consent of Morgan Stanley &amp; Co. LLC and Goldman Sachs &amp; Co. LLC. The underwriters may permit our officers, directors and other securityholders who are subject to the lock-up agreements to sell shares prior to the expiration of the lock-up agreements at any time in their sole discretion. See the section titled “Underwriting.” Sales of these shares, or perceptions that they will be sold, could cause the trading price of our common stock to decline. After the lock-up agreements expire, up to an additional        shares of common stock will be eligible for sale in the public market, of which        shares will be held by directors, executive officers and other affiliates and will be subject to volume limitations under Rule 144 under the Securities Act, in each case based on shares of common stock outstanding as of September 30, 2023 and without giving effect to any potential purchases by such persons in this offering.</w:t>
      </w:r>
    </w:p>
    <w:p>
      <w:pPr>
        <w:spacing w:after="0" w:line="187"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In addition, as of September 30, 2023,         shares of common stock that are subject to outstanding options under our employee benefit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80"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After this offering, the holders of         shares of our outstanding common stock, or approximately        % of our total outstanding common stock based on shares outstanding as of</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40"/>
          </w:cols>
          <w:pgMar w:left="320" w:top="451"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2" w:lineRule="auto"/>
        <w:rPr>
          <w:sz w:val="20"/>
          <w:szCs w:val="20"/>
          <w:color w:val="auto"/>
        </w:rPr>
      </w:pPr>
      <w:r>
        <w:rPr>
          <w:rFonts w:ascii="Times New Roman" w:cs="Times New Roman" w:eastAsia="Times New Roman" w:hAnsi="Times New Roman"/>
          <w:sz w:val="18"/>
          <w:szCs w:val="18"/>
          <w:color w:val="auto"/>
        </w:rPr>
        <w:t>September 30, 2023, will be entitled to rights with respect to the registration of their shares under the Securities Act, subject to vesting and the 180-day lock-up agreements described above. See the section titled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287"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54"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as defined under the Exchange Act, our annual gross revenue exceeds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2" w:lineRule="exact"/>
        <w:rPr>
          <w:sz w:val="20"/>
          <w:szCs w:val="20"/>
          <w:color w:val="auto"/>
        </w:rPr>
      </w:pPr>
    </w:p>
    <w:p>
      <w:pPr>
        <w:jc w:val="both"/>
        <w:ind w:left="1180" w:hanging="538"/>
        <w:spacing w:after="0" w:line="259"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85"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the Sarbanes-Oxley Act of 2002 (Sarbanes-Oxley);</w:t>
      </w:r>
    </w:p>
    <w:p>
      <w:pPr>
        <w:spacing w:after="0" w:line="70" w:lineRule="exact"/>
        <w:rPr>
          <w:rFonts w:ascii="Times New Roman" w:cs="Times New Roman" w:eastAsia="Times New Roman" w:hAnsi="Times New Roman"/>
          <w:sz w:val="18"/>
          <w:szCs w:val="18"/>
          <w:color w:val="auto"/>
        </w:rPr>
      </w:pPr>
    </w:p>
    <w:p>
      <w:pPr>
        <w:jc w:val="both"/>
        <w:ind w:left="1180" w:hanging="538"/>
        <w:spacing w:after="0" w:line="259"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85"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3"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We have taken advantage of reduced reporting burdens in this prospectus. In particular, in this prospectus, we have provided only two years of audited financial statements and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9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320" w:top="451" w:right="5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9" w:lineRule="auto"/>
        <w:rPr>
          <w:sz w:val="20"/>
          <w:szCs w:val="20"/>
          <w:color w:val="auto"/>
        </w:rPr>
      </w:pPr>
      <w:r>
        <w:rPr>
          <w:rFonts w:ascii="Times New Roman" w:cs="Times New Roman" w:eastAsia="Times New Roman" w:hAnsi="Times New Roman"/>
          <w:sz w:val="18"/>
          <w:szCs w:val="18"/>
          <w:color w:val="auto"/>
        </w:rPr>
        <w:t>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0"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4" w:lineRule="exact"/>
        <w:rPr>
          <w:sz w:val="20"/>
          <w:szCs w:val="20"/>
          <w:color w:val="auto"/>
        </w:rPr>
      </w:pPr>
    </w:p>
    <w:p>
      <w:pPr>
        <w:jc w:val="both"/>
        <w:ind w:left="220" w:right="20" w:firstLine="432"/>
        <w:spacing w:after="0" w:line="282"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that will be in effect immediately prior to the completion of this offering will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w:t>
      </w:r>
    </w:p>
    <w:p>
      <w:pPr>
        <w:spacing w:after="0" w:line="66" w:lineRule="exact"/>
        <w:rPr>
          <w:sz w:val="20"/>
          <w:szCs w:val="20"/>
          <w:color w:val="auto"/>
        </w:rPr>
      </w:pPr>
    </w:p>
    <w:p>
      <w:pPr>
        <w:ind w:left="1180" w:right="20" w:hanging="538"/>
        <w:spacing w:after="0" w:line="274"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24" w:lineRule="exact"/>
        <w:rPr>
          <w:rFonts w:ascii="Times New Roman" w:cs="Times New Roman" w:eastAsia="Times New Roman" w:hAnsi="Times New Roman"/>
          <w:sz w:val="18"/>
          <w:szCs w:val="18"/>
          <w:color w:val="auto"/>
        </w:rPr>
      </w:pPr>
    </w:p>
    <w:p>
      <w:pPr>
        <w:jc w:val="both"/>
        <w:ind w:left="1180" w:right="20" w:hanging="538"/>
        <w:spacing w:after="0" w:line="259"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85"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remove a director for cause, and the prohibition on removal of directors without cause;</w:t>
      </w:r>
    </w:p>
    <w:p>
      <w:pPr>
        <w:spacing w:after="0" w:line="70" w:lineRule="exact"/>
        <w:rPr>
          <w:rFonts w:ascii="Times New Roman" w:cs="Times New Roman" w:eastAsia="Times New Roman" w:hAnsi="Times New Roman"/>
          <w:sz w:val="18"/>
          <w:szCs w:val="18"/>
          <w:color w:val="auto"/>
        </w:rPr>
      </w:pPr>
    </w:p>
    <w:p>
      <w:pPr>
        <w:jc w:val="both"/>
        <w:ind w:left="1180" w:right="20" w:hanging="538"/>
        <w:spacing w:after="0" w:line="259"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85"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70" w:lineRule="exact"/>
        <w:rPr>
          <w:rFonts w:ascii="Times New Roman" w:cs="Times New Roman" w:eastAsia="Times New Roman" w:hAnsi="Times New Roman"/>
          <w:sz w:val="18"/>
          <w:szCs w:val="18"/>
          <w:color w:val="auto"/>
        </w:rPr>
      </w:pPr>
    </w:p>
    <w:p>
      <w:pPr>
        <w:jc w:val="both"/>
        <w:ind w:left="1180" w:right="20" w:hanging="538"/>
        <w:spacing w:after="0" w:line="259"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8"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40"/>
          </w:cols>
          <w:pgMar w:left="320" w:top="451" w:right="5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2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current amended and restated certificate of incorporation provides, and our amended and restated certificate of incorporation will provide,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75"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Our current amended and restated certificate of incorporation provides, and our amended and restated certificate of incorporation that will be in effect immediately prior to the completion of this offering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our existing stockholders and/or their affiliated entities may reduce the public float for our common stock.</w:t>
      </w:r>
    </w:p>
    <w:p>
      <w:pPr>
        <w:spacing w:after="0" w:line="115"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5"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4"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40"/>
          </w:cols>
          <w:pgMar w:left="320" w:top="451" w:right="5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2" w:lineRule="auto"/>
        <w:rPr>
          <w:sz w:val="20"/>
          <w:szCs w:val="20"/>
          <w:color w:val="auto"/>
        </w:rPr>
      </w:pPr>
      <w:r>
        <w:rPr>
          <w:rFonts w:ascii="Times New Roman" w:cs="Times New Roman" w:eastAsia="Times New Roman" w:hAnsi="Times New Roman"/>
          <w:sz w:val="18"/>
          <w:szCs w:val="18"/>
          <w:color w:val="auto"/>
        </w:rPr>
        <w:t>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 consuming and costly. The increased costs will decrease our net income or increase our net loss, and may require us to reduce expenditures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comply with these requirements.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results of operations and prospects.</w:t>
      </w:r>
    </w:p>
    <w:p>
      <w:pPr>
        <w:spacing w:after="0" w:line="292"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spacing w:after="0" w:line="54" w:lineRule="exact"/>
        <w:rPr>
          <w:sz w:val="20"/>
          <w:szCs w:val="20"/>
          <w:color w:val="auto"/>
        </w:rPr>
      </w:pPr>
    </w:p>
    <w:p>
      <w:pPr>
        <w:jc w:val="both"/>
        <w:ind w:left="220" w:firstLine="432"/>
        <w:spacing w:after="0" w:line="264"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w:t>
      </w:r>
    </w:p>
    <w:p>
      <w:pPr>
        <w:spacing w:after="0" w:line="176"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certain products and services to countries, governments, and persons targeted by U.S. sanctions. U.S. sanctions that have been or may be imposed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320" w:top="451" w:right="5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time-consuming or costly.</w:t>
      </w:r>
    </w:p>
    <w:p>
      <w:pPr>
        <w:spacing w:after="0" w:line="54"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We and any of our third-party manufacturers or suppliers and our current or any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our manufacturers’ or our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w:t>
      </w:r>
    </w:p>
    <w:p>
      <w:pPr>
        <w:spacing w:after="0" w:line="188"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15"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Our operations and the operations of our manufacturers, suppliers, collaborators, CROs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(including, for example, the COVID-19 pandemic) and other natural or manmade disasters or business interruptions, for which we are predominantly self-insured. We rely on third-party manufacturers or suppliers to produce cretostimogene or any future product candidates and its components and on CROs and clinical sites to conduct our clinical trials, and do not have a redundant source of supply for all components of cretostimogene or any future product candidates. Our ability to obtain clinical or, if approved, commercial, supplies of cretostimogene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In addition, our corporate headquarters is located in Irvine,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40"/>
          </w:cols>
          <w:pgMar w:left="320" w:top="451" w:right="5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54"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conflicts between Russia and Ukraine, and in the Middle East,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limit, reduce or abandon product development or future commercialization efforts or grant rights to develop and market our product candidates even if we would otherwise prefer to develop and market such product candidates ourselves.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295"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may materially adversely affect our financial condition, results of operations and cash flows, or adversely impact the value of an investment in our common stock.</w:t>
      </w:r>
    </w:p>
    <w:p>
      <w:pPr>
        <w:spacing w:after="0" w:line="54"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w:t>
      </w:r>
    </w:p>
    <w:p>
      <w:pPr>
        <w:spacing w:after="0" w:line="265" w:lineRule="exact"/>
        <w:rPr>
          <w:sz w:val="20"/>
          <w:szCs w:val="20"/>
          <w:color w:val="auto"/>
        </w:rPr>
      </w:pPr>
    </w:p>
    <w:p>
      <w:pPr>
        <w:jc w:val="both"/>
        <w:ind w:left="22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54"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40"/>
          </w:cols>
          <w:pgMar w:left="320" w:top="451" w:right="5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4"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Pursuant to Section 404 of Sarbanes-Oxley, our management will be required to report upon the effectiveness of our internal control over financial reporting beginning with the second annual report following the completion of this offering. When we lose our status as an “emerging growth company” and do not otherwise qualify as a “smaller reporting company” with less than $100.0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87"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320" w:top="451" w:right="5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9"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All statements other than statements of historical facts contained in this prospectus,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3" w:lineRule="exact"/>
        <w:rPr>
          <w:sz w:val="20"/>
          <w:szCs w:val="20"/>
          <w:color w:val="auto"/>
        </w:rPr>
      </w:pPr>
    </w:p>
    <w:p>
      <w:pPr>
        <w:jc w:val="both"/>
        <w:ind w:left="220" w:right="20" w:firstLine="432"/>
        <w:spacing w:after="0" w:line="263"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prospectus and are subject to a number of risks, uncertainties and assumptions described under the sections 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 after the date of this prospectus. See the section titled “Where You Can Find More Information.”</w:t>
      </w:r>
    </w:p>
    <w:p>
      <w:pPr>
        <w:spacing w:after="0" w:line="181"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In addition, statements that “we believe” and similarly qualified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40"/>
          </w:cols>
          <w:pgMar w:left="320" w:top="451" w:right="5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19"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The content of these third-party sources, except to the extent specifically set forth in this prospectus, does not constitute a portion of this prospectus and is not incorporated herein.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87"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In addition, while we are responsible for all of the disclosure contained in this prospectus and we believe the industry, market and competitive position data included in this prospectus is reliable and based on reasonable assumptions, such data involve risks and uncertainties and are subject to change based on various factors, including those discussed in the sections titled “Risk Factors” and “Special Note Regarding Forward-Looking Statements.” These and other factors could cause results to differ materially from those expressed in the estimates made by the independent parties or by us.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320" w:top="451" w:right="5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7" w:lineRule="exact"/>
        <w:rPr>
          <w:sz w:val="20"/>
          <w:szCs w:val="20"/>
          <w:color w:val="auto"/>
        </w:rPr>
      </w:pPr>
    </w:p>
    <w:p>
      <w:pPr>
        <w:jc w:val="both"/>
        <w:ind w:left="220" w:right="20" w:firstLine="432"/>
        <w:spacing w:after="0" w:line="256"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million (or approximately $      million if the underwriters exercise their over-allotment option in full), based on the assumed initial public offering price 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per share, which is the midpoint of the price range set forth on the cover page of this prospectus, and after deducting the estimated underwriting discounts and commissions and estimated offering expenses payable by us.</w:t>
      </w:r>
    </w:p>
    <w:p>
      <w:pPr>
        <w:spacing w:after="0" w:line="177" w:lineRule="exact"/>
        <w:rPr>
          <w:sz w:val="20"/>
          <w:szCs w:val="20"/>
          <w:color w:val="auto"/>
        </w:rPr>
      </w:pPr>
    </w:p>
    <w:p>
      <w:pPr>
        <w:jc w:val="both"/>
        <w:ind w:left="220" w:right="20" w:firstLine="432"/>
        <w:spacing w:after="0" w:line="258"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per share, which is the midpoint of the price range set forth on the cover page of this prospectus, would increase or decrease, as applicable, the net proceeds to us from this offering by approximately $</w:t>
      </w:r>
      <w:r>
        <w:rPr>
          <w:rFonts w:ascii="Times New Roman" w:cs="Times New Roman" w:eastAsia="Times New Roman" w:hAnsi="Times New Roman"/>
          <w:sz w:val="18"/>
          <w:szCs w:val="18"/>
          <w:b w:val="1"/>
          <w:bCs w:val="1"/>
          <w:color w:val="auto"/>
        </w:rPr>
        <w:t xml:space="preserve">     </w:t>
      </w:r>
    </w:p>
    <w:p>
      <w:pPr>
        <w:jc w:val="both"/>
        <w:ind w:left="220" w:right="20"/>
        <w:spacing w:after="0" w:line="246" w:lineRule="auto"/>
        <w:rPr>
          <w:sz w:val="20"/>
          <w:szCs w:val="20"/>
          <w:color w:val="auto"/>
        </w:rPr>
      </w:pPr>
      <w:r>
        <w:rPr>
          <w:rFonts w:ascii="Times New Roman" w:cs="Times New Roman" w:eastAsia="Times New Roman" w:hAnsi="Times New Roman"/>
          <w:sz w:val="18"/>
          <w:szCs w:val="18"/>
          <w:color w:val="auto"/>
        </w:rPr>
        <w:t>million, assuming the number of shares offered by us, as set forth on the cover page of this prospectus, remains the same and after deducting the estimated underwriting discounts and commissions and estimated offering expenses payable by us. Similarly, each increase or decrease of 1.0 million shares in the number of shares of common stock offered by us would increase or decrease, as applicable, the net proceeds to us from this offering, after deducting the estimated underwriting discounts and commissions and estimated offering expenses payable by us, by approximately $      million, assuming the assumed initial public offering price stays the same. The information discussed above is illustrative only and will adjust based on the actual initial public offering price and other terms of this offering determined at pricing.</w:t>
      </w:r>
    </w:p>
    <w:p>
      <w:pPr>
        <w:spacing w:after="0" w:line="192"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The principal purposes of this offering are to obtain additional capital to support our operations, to create a public market for our common stock and to facilitate our future access to the public equity markets. We currently intend to use approximately $      million of the net proceeds from this offering, together with our existing cash, cash equivalents and marketable securities, to fund the research and development of cretostimogene, including certain manufacturing activities, and the remainder, if any, for working capital and other general corporate purposes, including pre-commercial activities. We expect the net proceeds from this offering and our existing cash, cash equivalents and marketable securities will allow us to complete           .</w:t>
      </w:r>
    </w:p>
    <w:p>
      <w:pPr>
        <w:spacing w:after="0" w:line="185"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We may also use a portion of the remaining net proceeds and our existing cash, cash equivalents and marketable securities to in-license, acquire, or invest in complementary businesses, technologies, products or assets. However, we have no current commitments or obligations to do so.</w:t>
      </w:r>
    </w:p>
    <w:p>
      <w:pPr>
        <w:spacing w:after="0" w:line="163" w:lineRule="exact"/>
        <w:rPr>
          <w:sz w:val="20"/>
          <w:szCs w:val="20"/>
          <w:color w:val="auto"/>
        </w:rPr>
      </w:pPr>
    </w:p>
    <w:p>
      <w:pPr>
        <w:jc w:val="both"/>
        <w:ind w:left="220" w:right="20" w:firstLine="432"/>
        <w:spacing w:after="0" w:line="263" w:lineRule="auto"/>
        <w:rPr>
          <w:sz w:val="20"/>
          <w:szCs w:val="20"/>
          <w:color w:val="auto"/>
        </w:rPr>
      </w:pPr>
      <w:r>
        <w:rPr>
          <w:rFonts w:ascii="Times New Roman" w:cs="Times New Roman" w:eastAsia="Times New Roman" w:hAnsi="Times New Roman"/>
          <w:sz w:val="17"/>
          <w:szCs w:val="17"/>
          <w:color w:val="auto"/>
        </w:rPr>
        <w:t>We believe, based on our current operating plan, that the net proceeds from this offering, together with our existing cash, cash equivalents and marketable securities, will be sufficient to fund our operations for at least the next         months from the date of this prospectus. We have based these estimates on assumptions that may prove to be wrong, and we could use our capital resources sooner than we currently expect. Additionally, our expected use of existing cash, cash equivalents and marketable securities and our net proceeds from this offering represent our intentions based upon our current plans and business conditions, which could change in the future as our plans and business conditions evolve. The amounts and timing of our actual expenditures may vary significantly depending on numerous factors, including the progress and costs of our development activities, the status of and results from clinical trials, as well as the progress of any current or future collaborations that we may enter into with third parties for cretostimogene and any future product candidates, and the amount of cash used in our operations and any unforeseen cash needs as well as other factors described in the sections titled “Risk Factors,” “Management’s Discussion and Analysis of Financial Condition and Results of Operations” and “Special Note Regarding Forward-Looking Statements.” The net proceeds from this offering, together with our existing cash, cash equivalents, and marketable securities will not be sufficient to complete development in all potential indications of cretostimogene and any future product candidates, and after this offering, we will require substantial capital in order to advance cretostimogene and any future product candidates through clinical trials, regulatory approval and commercialization. Until such time, if ever, as we can generate substantial product revenue,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40"/>
          </w:cols>
          <w:pgMar w:left="320" w:top="451"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the anticipated growth of our business. Pending the uses described above, we plan to invest the net proceeds in a variety of capital preservation instruments, including short-term, interest-bearing obligations, investment-grade instruments, certificates of deposit and direct or guaranteed obligations of the United States.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0"/>
          </w:cols>
          <w:pgMar w:left="320" w:top="451" w:right="5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9"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to finance the operation of our business and do not anticipate paying any cash dividends on our capital stock in the foreseeable future. Any future determination related to our dividend policy will be made at the discretion of our board of directors after considering our financial condition, results of operations, current and anticipated capital requirements, business prospects and other factors our board of directors deems relevant, and subject to applicable laws and the restrictions contained in any future financing instruments.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0"/>
          </w:cols>
          <w:pgMar w:left="320" w:top="451" w:right="5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and capitalization as of September 30, 2023:</w:t>
      </w:r>
    </w:p>
    <w:p>
      <w:pPr>
        <w:spacing w:after="0" w:line="124" w:lineRule="exact"/>
        <w:rPr>
          <w:sz w:val="20"/>
          <w:szCs w:val="20"/>
          <w:color w:val="auto"/>
        </w:rPr>
      </w:pPr>
    </w:p>
    <w:p>
      <w:pPr>
        <w:ind w:left="1180" w:hanging="538"/>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4" w:lineRule="exact"/>
        <w:rPr>
          <w:rFonts w:ascii="Times New Roman" w:cs="Times New Roman" w:eastAsia="Times New Roman" w:hAnsi="Times New Roman"/>
          <w:sz w:val="18"/>
          <w:szCs w:val="18"/>
          <w:color w:val="auto"/>
        </w:rPr>
      </w:pPr>
    </w:p>
    <w:p>
      <w:pPr>
        <w:jc w:val="both"/>
        <w:ind w:left="1180" w:hanging="538"/>
        <w:spacing w:after="0" w:line="255" w:lineRule="auto"/>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(i) the automatic conversion of all outstanding shares of our redeemable convertible preferred stock into 366,277,131 shares of our common stock and the related reclassification of the carrying value of the redeemable convertible preferred stock to permanent equity immediately prior to the closing of this offering, and (ii) the filing and effectiveness of our amended and restated certificate of incorporation immediately prior to the closing of this offering; and</w:t>
      </w:r>
    </w:p>
    <w:p>
      <w:pPr>
        <w:sectPr>
          <w:pgSz w:w="11900" w:h="16838" w:orient="portrait"/>
          <w:cols w:equalWidth="0" w:num="1">
            <w:col w:w="11020"/>
          </w:cols>
          <w:pgMar w:left="320" w:top="451" w:right="559" w:bottom="1440" w:gutter="0" w:footer="0" w:header="0"/>
        </w:sectPr>
      </w:pP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 pro forma as adjusted basis to give further effect to our issuance and sale of         shares of our common stock in this offering at an assumed initial public offering price of $      per share, which is the midpoint of the price range set forth on the cover page of this prospectus, after deducting the estimated underwriting discounts and commissions and estimated offering expenses payable by us.</w:t>
      </w:r>
    </w:p>
    <w:p>
      <w:pPr>
        <w:spacing w:after="0" w:line="178" w:lineRule="exact"/>
        <w:rPr>
          <w:sz w:val="20"/>
          <w:szCs w:val="20"/>
          <w:color w:val="auto"/>
        </w:rPr>
      </w:pPr>
    </w:p>
    <w:p>
      <w:pPr>
        <w:sectPr>
          <w:pgSz w:w="11900" w:h="16838" w:orient="portrait"/>
          <w:cols w:equalWidth="0" w:num="2">
            <w:col w:w="700" w:space="480"/>
            <w:col w:w="9840"/>
          </w:cols>
          <w:pgMar w:left="320" w:top="451" w:right="559" w:bottom="1440" w:gutter="0" w:footer="0" w:header="0"/>
          <w:type w:val="continuous"/>
        </w:sect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The pro forma and pro forma as adjusted information below is illustrative only, and our cash, cash equivalents and marketable securities and capitalization following the closing of this offering will be adjusted based on the actual initial public offering price and other terms of this offering determined at pricing. You should read this information in conjunction with our financial statements and related notes included in this prospectus and the section titled “Management’s Discussion and Analysis of Financial Condition and Results of Operations” and other financial information contained in this prospectus.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60" w:type="dxa"/>
            <w:vAlign w:val="bottom"/>
            <w:vMerge w:val="restart"/>
          </w:tcPr>
          <w:p>
            <w:pPr>
              <w:spacing w:after="0"/>
              <w:rPr>
                <w:sz w:val="9"/>
                <w:szCs w:val="9"/>
                <w:color w:val="auto"/>
              </w:rPr>
            </w:pPr>
          </w:p>
        </w:tc>
        <w:tc>
          <w:tcPr>
            <w:tcW w:w="960" w:type="dxa"/>
            <w:vAlign w:val="bottom"/>
          </w:tcPr>
          <w:p>
            <w:pPr>
              <w:ind w:left="160"/>
              <w:spacing w:after="0" w:line="11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8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spacing w:after="0" w:line="128" w:lineRule="exact"/>
              <w:rPr>
                <w:sz w:val="20"/>
                <w:szCs w:val="20"/>
                <w:color w:val="auto"/>
              </w:rPr>
            </w:pPr>
            <w:r>
              <w:rPr>
                <w:rFonts w:ascii="Times New Roman" w:cs="Times New Roman" w:eastAsia="Times New Roman" w:hAnsi="Times New Roman"/>
                <w:sz w:val="14"/>
                <w:szCs w:val="14"/>
                <w:b w:val="1"/>
                <w:bCs w:val="1"/>
                <w:color w:val="auto"/>
                <w:w w:val="89"/>
              </w:rPr>
              <w:t>except par value</w:t>
            </w:r>
          </w:p>
        </w:tc>
        <w:tc>
          <w:tcPr>
            <w:tcW w:w="260" w:type="dxa"/>
            <w:vAlign w:val="bottom"/>
          </w:tcPr>
          <w:p>
            <w:pPr>
              <w:ind w:left="60"/>
              <w:spacing w:after="0" w:line="128" w:lineRule="exact"/>
              <w:rPr>
                <w:sz w:val="20"/>
                <w:szCs w:val="20"/>
                <w:color w:val="auto"/>
              </w:rPr>
            </w:pPr>
            <w:r>
              <w:rPr>
                <w:rFonts w:ascii="Times New Roman" w:cs="Times New Roman" w:eastAsia="Times New Roman" w:hAnsi="Times New Roman"/>
                <w:sz w:val="14"/>
                <w:szCs w:val="14"/>
                <w:b w:val="1"/>
                <w:bCs w:val="1"/>
                <w:color w:val="auto"/>
                <w:w w:val="79"/>
              </w:rPr>
              <w:t>and</w:t>
            </w:r>
          </w:p>
        </w:tc>
        <w:tc>
          <w:tcPr>
            <w:tcW w:w="960" w:type="dxa"/>
            <w:vAlign w:val="bottom"/>
          </w:tcPr>
          <w:p>
            <w:pPr>
              <w:ind w:left="60"/>
              <w:spacing w:after="0" w:line="128" w:lineRule="exact"/>
              <w:rPr>
                <w:sz w:val="20"/>
                <w:szCs w:val="20"/>
                <w:color w:val="auto"/>
              </w:rPr>
            </w:pPr>
            <w:r>
              <w:rPr>
                <w:rFonts w:ascii="Times New Roman" w:cs="Times New Roman" w:eastAsia="Times New Roman" w:hAnsi="Times New Roman"/>
                <w:sz w:val="14"/>
                <w:szCs w:val="14"/>
                <w:b w:val="1"/>
                <w:bCs w:val="1"/>
                <w:color w:val="auto"/>
              </w:rPr>
              <w:t>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Cash, cash equivalents and marketable securities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center"/>
              <w:ind w:right="289"/>
              <w:spacing w:after="0"/>
              <w:rPr>
                <w:sz w:val="20"/>
                <w:szCs w:val="20"/>
                <w:color w:val="auto"/>
              </w:rPr>
            </w:pPr>
            <w:r>
              <w:rPr>
                <w:rFonts w:ascii="Times New Roman" w:cs="Times New Roman" w:eastAsia="Times New Roman" w:hAnsi="Times New Roman"/>
                <w:sz w:val="18"/>
                <w:szCs w:val="18"/>
                <w:color w:val="auto"/>
              </w:rPr>
              <w:t xml:space="preserve">          </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7440" w:type="dxa"/>
            <w:vAlign w:val="bottom"/>
            <w:gridSpan w:val="14"/>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440" w:type="dxa"/>
            <w:vAlign w:val="bottom"/>
            <w:gridSpan w:val="14"/>
          </w:tcPr>
          <w:p>
            <w:pPr>
              <w:spacing w:after="0" w:line="187" w:lineRule="exact"/>
              <w:rPr>
                <w:sz w:val="20"/>
                <w:szCs w:val="20"/>
                <w:color w:val="auto"/>
              </w:rPr>
            </w:pPr>
            <w:r>
              <w:rPr>
                <w:rFonts w:ascii="Times New Roman" w:cs="Times New Roman" w:eastAsia="Times New Roman" w:hAnsi="Times New Roman"/>
                <w:sz w:val="18"/>
                <w:szCs w:val="18"/>
                <w:color w:val="auto"/>
              </w:rPr>
              <w:t>Redeemable convertible preferred stock, $0.0001 par value; 366,277,131 shares authorized, issued</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81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and outstanding, actual; no shares authorized, issued and outstanding, pro forma, and pro forma as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0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8180" w:type="dxa"/>
            <w:vAlign w:val="bottom"/>
            <w:gridSpan w:val="14"/>
          </w:tcPr>
          <w:p>
            <w:pPr>
              <w:ind w:left="200"/>
              <w:spacing w:after="0" w:line="194"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 and outstanding, actual;</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48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14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shares authorized and no shares issued and outstanding, pro forma and pro forma as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adjusted</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60" w:type="dxa"/>
            <w:vAlign w:val="bottom"/>
            <w:shd w:val="clear" w:color="auto" w:fill="CCEEFF"/>
          </w:tcPr>
          <w:p>
            <w:pPr>
              <w:spacing w:after="0"/>
              <w:rPr>
                <w:sz w:val="16"/>
                <w:szCs w:val="16"/>
                <w:color w:val="auto"/>
              </w:rPr>
            </w:pPr>
          </w:p>
        </w:tc>
        <w:tc>
          <w:tcPr>
            <w:tcW w:w="2880" w:type="dxa"/>
            <w:vAlign w:val="bottom"/>
            <w:gridSpan w:val="5"/>
            <w:shd w:val="clear" w:color="auto" w:fill="CCEEFF"/>
          </w:tcPr>
          <w:p>
            <w:pPr>
              <w:ind w:left="200"/>
              <w:spacing w:after="0" w:line="194" w:lineRule="exact"/>
              <w:rPr>
                <w:sz w:val="20"/>
                <w:szCs w:val="20"/>
                <w:color w:val="auto"/>
              </w:rPr>
            </w:pPr>
            <w:r>
              <w:rPr>
                <w:rFonts w:ascii="Times New Roman" w:cs="Times New Roman" w:eastAsia="Times New Roman" w:hAnsi="Times New Roman"/>
                <w:sz w:val="18"/>
                <w:szCs w:val="18"/>
                <w:color w:val="auto"/>
                <w:w w:val="96"/>
              </w:rPr>
              <w:t>Common stock, $0.0001 par value;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660" w:type="dxa"/>
            <w:vAlign w:val="bottom"/>
            <w:shd w:val="clear" w:color="auto" w:fill="CCEEFF"/>
          </w:tcPr>
          <w:p>
            <w:pPr>
              <w:jc w:val="right"/>
              <w:ind w:right="32"/>
              <w:spacing w:after="0" w:line="194" w:lineRule="exact"/>
              <w:rPr>
                <w:sz w:val="20"/>
                <w:szCs w:val="20"/>
                <w:color w:val="auto"/>
              </w:rPr>
            </w:pPr>
            <w:r>
              <w:rPr>
                <w:rFonts w:ascii="Times New Roman" w:cs="Times New Roman" w:eastAsia="Times New Roman" w:hAnsi="Times New Roman"/>
                <w:sz w:val="18"/>
                <w:szCs w:val="18"/>
                <w:color w:val="auto"/>
                <w:w w:val="99"/>
              </w:rPr>
              <w:t>shares authorized,  </w:t>
            </w:r>
          </w:p>
        </w:tc>
        <w:tc>
          <w:tcPr>
            <w:tcW w:w="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2820" w:type="dxa"/>
            <w:vAlign w:val="bottom"/>
            <w:gridSpan w:val="2"/>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shares issued and</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outstanding, actual;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9"/>
              </w:rPr>
              <w:t xml:space="preserve">shares authorized,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and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0"/>
              </w:rPr>
              <w:t>outstanding, pro forma;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shares authorized,  </w:t>
            </w:r>
          </w:p>
        </w:tc>
        <w:tc>
          <w:tcPr>
            <w:tcW w:w="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shares issued and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9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shares outstanding, pro forma as adjusted</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shd w:val="clear" w:color="auto" w:fill="CCEEFF"/>
          </w:tcPr>
          <w:p>
            <w:pPr>
              <w:spacing w:after="0"/>
              <w:rPr>
                <w:sz w:val="18"/>
                <w:szCs w:val="18"/>
                <w:color w:val="auto"/>
              </w:rPr>
            </w:pPr>
          </w:p>
        </w:tc>
        <w:tc>
          <w:tcPr>
            <w:tcW w:w="28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4080" w:type="dxa"/>
            <w:vAlign w:val="bottom"/>
            <w:gridSpan w:val="6"/>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w w:val="85"/>
              </w:rPr>
              <w:t>(1)</w:t>
            </w:r>
          </w:p>
        </w:tc>
        <w:tc>
          <w:tcPr>
            <w:tcW w:w="5120" w:type="dxa"/>
            <w:vAlign w:val="bottom"/>
            <w:gridSpan w:val="10"/>
          </w:tcPr>
          <w:p>
            <w:pPr>
              <w:ind w:left="260"/>
              <w:spacing w:after="0" w:line="156" w:lineRule="exact"/>
              <w:rPr>
                <w:sz w:val="20"/>
                <w:szCs w:val="20"/>
                <w:color w:val="auto"/>
              </w:rPr>
            </w:pPr>
            <w:r>
              <w:rPr>
                <w:rFonts w:ascii="Times New Roman" w:cs="Times New Roman" w:eastAsia="Times New Roman" w:hAnsi="Times New Roman"/>
                <w:sz w:val="14"/>
                <w:szCs w:val="14"/>
                <w:color w:val="auto"/>
              </w:rPr>
              <w:t xml:space="preserve">Each $1.00 increase or decrease in the assumed initial public offering price of $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5280" w:type="dxa"/>
            <w:vAlign w:val="bottom"/>
            <w:gridSpan w:val="8"/>
          </w:tcPr>
          <w:p>
            <w:pPr>
              <w:ind w:left="160"/>
              <w:spacing w:after="0" w:line="156" w:lineRule="exact"/>
              <w:rPr>
                <w:sz w:val="20"/>
                <w:szCs w:val="20"/>
                <w:color w:val="auto"/>
              </w:rPr>
            </w:pPr>
            <w:r>
              <w:rPr>
                <w:rFonts w:ascii="Times New Roman" w:cs="Times New Roman" w:eastAsia="Times New Roman" w:hAnsi="Times New Roman"/>
                <w:sz w:val="14"/>
                <w:szCs w:val="14"/>
                <w:color w:val="auto"/>
              </w:rPr>
              <w:t>per share, which is the midpoint of the price range set forth on the cover page of this</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8180" w:type="dxa"/>
            <w:vAlign w:val="bottom"/>
            <w:gridSpan w:val="14"/>
          </w:tcPr>
          <w:p>
            <w:pPr>
              <w:ind w:left="260"/>
              <w:spacing w:after="0"/>
              <w:rPr>
                <w:sz w:val="20"/>
                <w:szCs w:val="20"/>
                <w:color w:val="auto"/>
              </w:rPr>
            </w:pPr>
            <w:r>
              <w:rPr>
                <w:rFonts w:ascii="Times New Roman" w:cs="Times New Roman" w:eastAsia="Times New Roman" w:hAnsi="Times New Roman"/>
                <w:sz w:val="14"/>
                <w:szCs w:val="14"/>
                <w:color w:val="auto"/>
              </w:rPr>
              <w:t>prospectus, would increase or decrease, as applicable, the pro forma as adjusted amount of each</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79</w:t>
            </w:r>
          </w:p>
        </w:tc>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1" w:right="5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640"/>
        <w:spacing w:after="0" w:line="225" w:lineRule="auto"/>
        <w:rPr>
          <w:sz w:val="20"/>
          <w:szCs w:val="20"/>
          <w:color w:val="auto"/>
        </w:rPr>
      </w:pPr>
      <w:r>
        <w:rPr>
          <w:rFonts w:ascii="Times New Roman" w:cs="Times New Roman" w:eastAsia="Times New Roman" w:hAnsi="Times New Roman"/>
          <w:sz w:val="14"/>
          <w:szCs w:val="14"/>
          <w:color w:val="auto"/>
        </w:rPr>
        <w:t xml:space="preserve">of our cash, cash equivalents and marketable securities, additional paid-in capital, total stockholders’ (deficit) equity and total capitalization by approximately $      ,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offered by us at the assumed initial public offering price of $     </w:t>
      </w:r>
    </w:p>
    <w:p>
      <w:pPr>
        <w:jc w:val="both"/>
        <w:ind w:left="640"/>
        <w:spacing w:after="0" w:line="228" w:lineRule="auto"/>
        <w:rPr>
          <w:sz w:val="20"/>
          <w:szCs w:val="20"/>
          <w:color w:val="auto"/>
        </w:rPr>
      </w:pPr>
      <w:r>
        <w:rPr>
          <w:rFonts w:ascii="Times New Roman" w:cs="Times New Roman" w:eastAsia="Times New Roman" w:hAnsi="Times New Roman"/>
          <w:sz w:val="14"/>
          <w:szCs w:val="14"/>
          <w:color w:val="auto"/>
        </w:rPr>
        <w:t>per share would increase or decrease, as applicable, the pro forma as adjusted amount of each of our cash, cash equivalents and marketable securities, additional paid-in capital, total stockholders’ (deficit) equity and total capitalization by approximately $      , after deducting the estimated underwriting discounts and commissions and estimated offering expenses payable by us.</w:t>
      </w:r>
    </w:p>
    <w:p>
      <w:pPr>
        <w:spacing w:after="0" w:line="179"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If the underwriters’ option to purchase additional shares is exercised in full, our pro forma as adjusted cash, cash equivalents and marketable securities, additional paid-in capital, total stockholders’ (deficit) equity, and total capitalization as of September 30, 2023, would be $      million, $      million, $      million, and $      million, respectively.</w:t>
      </w:r>
    </w:p>
    <w:p>
      <w:pPr>
        <w:spacing w:after="0" w:line="178" w:lineRule="exact"/>
        <w:rPr>
          <w:sz w:val="20"/>
          <w:szCs w:val="20"/>
          <w:color w:val="auto"/>
        </w:rPr>
      </w:pPr>
    </w:p>
    <w:p>
      <w:pPr>
        <w:ind w:left="220" w:firstLine="432"/>
        <w:spacing w:after="0" w:line="259" w:lineRule="auto"/>
        <w:rPr>
          <w:sz w:val="20"/>
          <w:szCs w:val="20"/>
          <w:color w:val="auto"/>
        </w:rPr>
      </w:pPr>
      <w:r>
        <w:rPr>
          <w:rFonts w:ascii="Times New Roman" w:cs="Times New Roman" w:eastAsia="Times New Roman" w:hAnsi="Times New Roman"/>
          <w:sz w:val="18"/>
          <w:szCs w:val="18"/>
          <w:color w:val="auto"/>
        </w:rPr>
        <w:t>The number of shares of our common stock issued and outstanding, pro forma and pro forma as adjusted, in the table above is based on         shares of our common stock outstanding as of September 30, 2023, after giving effect to the automatic conversion of all outstanding shares of our redeemable convertible preferred stock into 366,277,131 shares of our common stock immediately prior to the closing of this offering, and excludes:</w:t>
      </w:r>
    </w:p>
    <w:p>
      <w:pPr>
        <w:spacing w:after="0" w:line="85"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of common stock issuable upon the exercise of stock options outstanding as of September 30, 2023, with a weighted-</w:t>
            </w:r>
          </w:p>
        </w:tc>
      </w:tr>
      <w:tr>
        <w:trPr>
          <w:trHeight w:val="231"/>
        </w:trPr>
        <w:tc>
          <w:tcPr>
            <w:tcW w:w="300" w:type="dxa"/>
            <w:vAlign w:val="bottom"/>
          </w:tcPr>
          <w:p>
            <w:pPr>
              <w:spacing w:after="0"/>
              <w:rPr>
                <w:sz w:val="20"/>
                <w:szCs w:val="20"/>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 xml:space="preserve">average exercise price of $       </w:t>
            </w:r>
          </w:p>
        </w:tc>
        <w:tc>
          <w:tcPr>
            <w:tcW w:w="7400" w:type="dxa"/>
            <w:vAlign w:val="bottom"/>
          </w:tcPr>
          <w:p>
            <w:pPr>
              <w:jc w:val="right"/>
              <w:ind w:right="6612"/>
              <w:spacing w:after="0"/>
              <w:rPr>
                <w:sz w:val="20"/>
                <w:szCs w:val="20"/>
                <w:color w:val="auto"/>
              </w:rPr>
            </w:pPr>
            <w:r>
              <w:rPr>
                <w:rFonts w:ascii="Times New Roman" w:cs="Times New Roman" w:eastAsia="Times New Roman" w:hAnsi="Times New Roman"/>
                <w:sz w:val="18"/>
                <w:szCs w:val="18"/>
                <w:color w:val="auto"/>
                <w:w w:val="96"/>
              </w:rPr>
              <w:t>per share;</w:t>
            </w:r>
          </w:p>
        </w:tc>
      </w:tr>
      <w:tr>
        <w:trPr>
          <w:trHeight w:val="31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shares of common stock issuable upon the exercise of stock options subsequent to September 30, 2023, with a weighted-average</w:t>
            </w:r>
          </w:p>
        </w:tc>
      </w:tr>
      <w:tr>
        <w:trPr>
          <w:trHeight w:val="231"/>
        </w:trPr>
        <w:tc>
          <w:tcPr>
            <w:tcW w:w="300" w:type="dxa"/>
            <w:vAlign w:val="bottom"/>
          </w:tcPr>
          <w:p>
            <w:pPr>
              <w:spacing w:after="0"/>
              <w:rPr>
                <w:sz w:val="20"/>
                <w:szCs w:val="20"/>
                <w:color w:val="auto"/>
              </w:rPr>
            </w:pPr>
          </w:p>
        </w:tc>
        <w:tc>
          <w:tcPr>
            <w:tcW w:w="100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exercise price of $         per share;</w:t>
            </w:r>
          </w:p>
        </w:tc>
      </w:tr>
      <w:tr>
        <w:trPr>
          <w:trHeight w:val="31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2024 Plan, which will become effective in connection with this</w:t>
            </w:r>
          </w:p>
        </w:tc>
      </w:tr>
      <w:tr>
        <w:trPr>
          <w:trHeight w:val="212"/>
        </w:trPr>
        <w:tc>
          <w:tcPr>
            <w:tcW w:w="300" w:type="dxa"/>
            <w:vAlign w:val="bottom"/>
          </w:tcPr>
          <w:p>
            <w:pPr>
              <w:spacing w:after="0"/>
              <w:rPr>
                <w:sz w:val="18"/>
                <w:szCs w:val="18"/>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3"/>
              </w:rPr>
              <w:t>offering (which number includes  </w:t>
            </w:r>
          </w:p>
        </w:tc>
        <w:tc>
          <w:tcPr>
            <w:tcW w:w="7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shares of common stock reserved for issuance under the 2022 Plan as of September 30, 2023,</w:t>
            </w:r>
          </w:p>
        </w:tc>
      </w:tr>
      <w:tr>
        <w:trPr>
          <w:trHeight w:val="212"/>
        </w:trPr>
        <w:tc>
          <w:tcPr>
            <w:tcW w:w="300" w:type="dxa"/>
            <w:vAlign w:val="bottom"/>
          </w:tcPr>
          <w:p>
            <w:pPr>
              <w:spacing w:after="0"/>
              <w:rPr>
                <w:sz w:val="18"/>
                <w:szCs w:val="18"/>
                <w:color w:val="auto"/>
              </w:rPr>
            </w:pPr>
          </w:p>
        </w:tc>
        <w:tc>
          <w:tcPr>
            <w:tcW w:w="100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w w:val="99"/>
              </w:rPr>
              <w:t>which shares will be added to the 2024 Plan upon its effectiveness, but does not include any potential evergreen increases pursuant to the</w:t>
            </w:r>
          </w:p>
        </w:tc>
      </w:tr>
      <w:tr>
        <w:trPr>
          <w:trHeight w:val="231"/>
        </w:trPr>
        <w:tc>
          <w:tcPr>
            <w:tcW w:w="300" w:type="dxa"/>
            <w:vAlign w:val="bottom"/>
          </w:tcPr>
          <w:p>
            <w:pPr>
              <w:spacing w:after="0"/>
              <w:rPr>
                <w:sz w:val="20"/>
                <w:szCs w:val="20"/>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terms of the 2024 Plan); and</w:t>
            </w:r>
          </w:p>
        </w:tc>
        <w:tc>
          <w:tcPr>
            <w:tcW w:w="7400" w:type="dxa"/>
            <w:vAlign w:val="bottom"/>
          </w:tcPr>
          <w:p>
            <w:pPr>
              <w:spacing w:after="0"/>
              <w:rPr>
                <w:sz w:val="20"/>
                <w:szCs w:val="20"/>
                <w:color w:val="auto"/>
              </w:rPr>
            </w:pPr>
          </w:p>
        </w:tc>
      </w:tr>
      <w:tr>
        <w:trPr>
          <w:trHeight w:val="33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ESPP, which will become effective in connection with this</w:t>
            </w:r>
          </w:p>
        </w:tc>
      </w:tr>
    </w:tbl>
    <w:p>
      <w:pPr>
        <w:ind w:left="1180"/>
        <w:spacing w:after="0"/>
        <w:rPr>
          <w:sz w:val="20"/>
          <w:szCs w:val="20"/>
          <w:color w:val="auto"/>
        </w:rPr>
      </w:pPr>
      <w:r>
        <w:rPr>
          <w:rFonts w:ascii="Times New Roman" w:cs="Times New Roman" w:eastAsia="Times New Roman" w:hAnsi="Times New Roman"/>
          <w:sz w:val="18"/>
          <w:szCs w:val="18"/>
          <w:color w:val="auto"/>
        </w:rPr>
        <w:t>offering (which number does not include any potential evergreen increases pursuant to the terms of the ESPP).</w:t>
      </w:r>
    </w:p>
    <w:p>
      <w:pPr>
        <w:spacing w:after="0" w:line="1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0"/>
          </w:cols>
          <w:pgMar w:left="320" w:top="451" w:right="5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9"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and substantially diluted to the extent of the difference between the initial public offering price per share and the pro forma as adjusted net tangible book value per share of our common stock immediately after this offering.</w:t>
      </w:r>
    </w:p>
    <w:p>
      <w:pPr>
        <w:spacing w:after="0" w:line="176" w:lineRule="exact"/>
        <w:rPr>
          <w:sz w:val="20"/>
          <w:szCs w:val="20"/>
          <w:color w:val="auto"/>
        </w:rPr>
      </w:pPr>
    </w:p>
    <w:p>
      <w:pPr>
        <w:jc w:val="both"/>
        <w:ind w:left="220" w:firstLine="432"/>
        <w:spacing w:after="0" w:line="275" w:lineRule="auto"/>
        <w:rPr>
          <w:sz w:val="20"/>
          <w:szCs w:val="20"/>
          <w:color w:val="auto"/>
        </w:rPr>
      </w:pPr>
      <w:r>
        <w:rPr>
          <w:rFonts w:ascii="Times New Roman" w:cs="Times New Roman" w:eastAsia="Times New Roman" w:hAnsi="Times New Roman"/>
          <w:sz w:val="17"/>
          <w:szCs w:val="17"/>
          <w:color w:val="auto"/>
        </w:rPr>
        <w:t>As of September 30, 2023, our historical net tangible book value (deficit) was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 million, or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 per share of our common stock, based on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 shares of common stock issued and outstanding as of such date. Our historical net tangible book value (deficit) per share represents total tangible assets less total liabilities and redeemable convertible preferred stock, which is not included within permanent equity, divided by the number of shares of common stock outstanding at September 30, 2023.</w:t>
      </w:r>
    </w:p>
    <w:p>
      <w:pPr>
        <w:spacing w:after="0" w:line="166"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On a pro forma basis, after giving effect to the automatic conversion of all outstanding shares of our redeemable convertible preferred stock into 366,277,131 shares of our common stock and the related reclassification of the carrying value of the redeemable convertible preferred stock to permanent equity immediately prior to the closing of this offering, our pro forma net tangible book value (deficit) as of September 30, 2023 would have been approximately $      million, or approximately $      per share of our common stock.</w:t>
      </w:r>
    </w:p>
    <w:p>
      <w:pPr>
        <w:spacing w:after="0" w:line="180"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After giving further effect to the sale and issuance of     shares of our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 as of September 30, 2023 would have been approximately $      million, or approximately $      per share. This amount represents an immediate increase in pro forma net tangible book value of approximately $      per share to our existing stockholders and an immediate dilution in pro forma net tangible book value of approximately $      per share to new investors purchasing shares of common stock in this offering.</w:t>
      </w:r>
    </w:p>
    <w:p>
      <w:pPr>
        <w:spacing w:after="0" w:line="18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2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2"/>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September 30, 2023</w:t>
            </w:r>
          </w:p>
        </w:tc>
        <w:tc>
          <w:tcPr>
            <w:tcW w:w="306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9600" w:type="dxa"/>
            <w:vAlign w:val="bottom"/>
            <w:gridSpan w:val="3"/>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Pro forma increase in historical net tangible book value per share as of September 30, 2023 attributable to the pro</w:t>
            </w: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0"/>
        </w:trPr>
        <w:tc>
          <w:tcPr>
            <w:tcW w:w="6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forma adjustments described above</w:t>
            </w:r>
          </w:p>
        </w:tc>
        <w:tc>
          <w:tcPr>
            <w:tcW w:w="244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8"/>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2023</w:t>
            </w:r>
          </w:p>
        </w:tc>
        <w:tc>
          <w:tcPr>
            <w:tcW w:w="2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9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participating in this offering</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5"/>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24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24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8"/>
        </w:trPr>
        <w:tc>
          <w:tcPr>
            <w:tcW w:w="6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Each $1.00 increase or decrease in the assumed initial public offering price of $       </w:t>
            </w:r>
          </w:p>
        </w:tc>
        <w:tc>
          <w:tcPr>
            <w:tcW w:w="42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7"/>
              </w:rPr>
              <w:t>per share, which is the midpoint of the price range set forth</w:t>
            </w:r>
          </w:p>
        </w:tc>
      </w:tr>
    </w:tbl>
    <w:p>
      <w:pPr>
        <w:jc w:val="both"/>
        <w:ind w:left="220"/>
        <w:spacing w:after="0" w:line="247" w:lineRule="auto"/>
        <w:rPr>
          <w:sz w:val="20"/>
          <w:szCs w:val="20"/>
          <w:color w:val="auto"/>
        </w:rPr>
      </w:pPr>
      <w:r>
        <w:rPr>
          <w:rFonts w:ascii="Times New Roman" w:cs="Times New Roman" w:eastAsia="Times New Roman" w:hAnsi="Times New Roman"/>
          <w:sz w:val="18"/>
          <w:szCs w:val="18"/>
          <w:color w:val="auto"/>
        </w:rPr>
        <w:t>on the cover page of this prospectus, would increase or decrease, as applicable, the pro forma as adjusted net tangible book value per share after this offering by approximately $      per share, and dilution in pro forma as adjusted net tangible book value per share to new investors by approximately $      per share, assuming that the number of shares offered by us, as set forth on the cover page of this prospectus, remains the same and after deducting the estimated underwriting discounts and</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0"/>
          </w:cols>
          <w:pgMar w:left="320" w:top="451" w:right="5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2" w:lineRule="auto"/>
        <w:rPr>
          <w:sz w:val="20"/>
          <w:szCs w:val="20"/>
          <w:color w:val="auto"/>
        </w:rPr>
      </w:pPr>
      <w:r>
        <w:rPr>
          <w:rFonts w:ascii="Times New Roman" w:cs="Times New Roman" w:eastAsia="Times New Roman" w:hAnsi="Times New Roman"/>
          <w:sz w:val="18"/>
          <w:szCs w:val="18"/>
          <w:color w:val="auto"/>
        </w:rPr>
        <w:t>commissions and the estimated offering expenses payable by us. Each increase or decrease of 1.0 million shares in the number of shares of common stock offered by us would increase or decrease, as applicable, our pro forma as adjusted net tangible book value per share after this offering by approximately $      per share and decrease or increase, as applicable, the dilution to investors participating in this offering by approximately $      per share, assuming that the assumed initial public offering price of $      per share remains the same, and after deducting the estimated underwriting discounts and commissions and the estimated offering expenses payable by us.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our common stock in full in this offering, the pro forma as adjusted net</w:t>
      </w:r>
    </w:p>
    <w:p>
      <w:pPr>
        <w:spacing w:after="0" w:line="1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tangible book value after the offering would be approximately $ </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per share, the increase in pro forma as adjusted net tangible book value per share</w:t>
            </w:r>
          </w:p>
        </w:tc>
      </w:tr>
      <w:tr>
        <w:trPr>
          <w:trHeight w:val="21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 existing stockholders would be approximately $       </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and the dilution per share to investors in this offering would be $         per share,</w:t>
            </w:r>
          </w:p>
        </w:tc>
      </w:tr>
      <w:tr>
        <w:trPr>
          <w:trHeight w:val="21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 each case assuming an initial public offering price of $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which is the midpoint of the price range set forth on the cover page of this</w:t>
            </w:r>
          </w:p>
        </w:tc>
      </w:tr>
      <w:tr>
        <w:trPr>
          <w:trHeight w:val="23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prospectus.</w:t>
            </w:r>
          </w:p>
        </w:tc>
        <w:tc>
          <w:tcPr>
            <w:tcW w:w="460" w:type="dxa"/>
            <w:vAlign w:val="bottom"/>
          </w:tcPr>
          <w:p>
            <w:pPr>
              <w:spacing w:after="0"/>
              <w:rPr>
                <w:sz w:val="20"/>
                <w:szCs w:val="20"/>
                <w:color w:val="auto"/>
              </w:rPr>
            </w:pPr>
          </w:p>
        </w:tc>
        <w:tc>
          <w:tcPr>
            <w:tcW w:w="6160" w:type="dxa"/>
            <w:vAlign w:val="bottom"/>
          </w:tcPr>
          <w:p>
            <w:pPr>
              <w:spacing w:after="0"/>
              <w:rPr>
                <w:sz w:val="20"/>
                <w:szCs w:val="20"/>
                <w:color w:val="auto"/>
              </w:rPr>
            </w:pPr>
          </w:p>
        </w:tc>
      </w:tr>
    </w:tbl>
    <w:p>
      <w:pPr>
        <w:spacing w:after="0" w:line="19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dilution information above is for illustration purposes only. Our pro forma as adjusted net tangible book value following the closing of this offering will depend on the actual initial public offering price and other terms of this offering determined at pricing.</w:t>
      </w:r>
    </w:p>
    <w:p>
      <w:pPr>
        <w:spacing w:after="0" w:line="16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The following table summarizes on the pro forma as adjusted basis described above, as of September 30, 2023, the differences between the number of shares purchased from us, the total consideration paid to us in cash and the weighted-average price per share paid by existing stockholders for shares issued prior to this offering and the price to be paid by new investors in this offering. The calculations below are based on an assumed initial public offering price of         $      per share, the midpoint of the price range set forth on the cover page of this prospectus, before deducting the estimated underwriting discounts and commissions and estimated offering expenses payable by us.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6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04"/>
        </w:trPr>
        <w:tc>
          <w:tcPr>
            <w:tcW w:w="4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6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0" w:type="dxa"/>
            <w:vAlign w:val="bottom"/>
            <w:tcBorders>
              <w:bottom w:val="single" w:sz="8" w:color="auto"/>
            </w:tcBorders>
            <w:gridSpan w:val="3"/>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restart"/>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line="20" w:lineRule="exact"/>
              <w:rPr>
                <w:sz w:val="1"/>
                <w:szCs w:val="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Borders>
              <w:top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 before this offering</w:t>
            </w:r>
          </w:p>
        </w:tc>
        <w:tc>
          <w:tcPr>
            <w:tcW w:w="21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2"/>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 participating in this offering</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our common stock in full:</w:t>
      </w:r>
    </w:p>
    <w:p>
      <w:pPr>
        <w:sectPr>
          <w:pgSz w:w="11900" w:h="16838" w:orient="portrait"/>
          <w:cols w:equalWidth="0" w:num="1">
            <w:col w:w="11020"/>
          </w:cols>
          <w:pgMar w:left="320" w:top="451" w:right="559" w:bottom="1440" w:gutter="0" w:footer="0" w:header="0"/>
        </w:sectPr>
      </w:pP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percentage of shares of common stock held by existing stockholders will decrease to approximately  </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 the total number of</w:t>
      </w:r>
    </w:p>
    <w:p>
      <w:pPr>
        <w:spacing w:after="0" w:line="24" w:lineRule="exact"/>
        <w:rPr>
          <w:sz w:val="20"/>
          <w:szCs w:val="20"/>
          <w:color w:val="auto"/>
        </w:rPr>
      </w:pPr>
    </w:p>
    <w:p>
      <w:pPr>
        <w:sectPr>
          <w:pgSz w:w="11900" w:h="16838" w:orient="portrait"/>
          <w:cols w:equalWidth="0" w:num="4">
            <w:col w:w="700" w:space="480"/>
            <w:col w:w="7660" w:space="120"/>
            <w:col w:w="40" w:space="200"/>
            <w:col w:w="1820"/>
          </w:cols>
          <w:pgMar w:left="320" w:top="451" w:right="55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7"/>
          <w:szCs w:val="17"/>
          <w:color w:val="auto"/>
        </w:rPr>
        <w:t>shares of our common stock outstanding after this offering; and</w:t>
      </w:r>
    </w:p>
    <w:p>
      <w:pPr>
        <w:sectPr>
          <w:pgSz w:w="11900" w:h="16838" w:orient="portrait"/>
          <w:cols w:equalWidth="0" w:num="1">
            <w:col w:w="11020"/>
          </w:cols>
          <w:pgMar w:left="320" w:top="451" w:right="559" w:bottom="1440" w:gutter="0" w:footer="0" w:header="0"/>
          <w:type w:val="continuous"/>
        </w:sectPr>
      </w:pPr>
    </w:p>
    <w:p>
      <w:pPr>
        <w:spacing w:after="0" w:line="116" w:lineRule="exact"/>
        <w:rPr>
          <w:sz w:val="20"/>
          <w:szCs w:val="20"/>
          <w:color w:val="auto"/>
        </w:rPr>
      </w:pPr>
    </w:p>
    <w:p>
      <w:pPr>
        <w:ind w:left="1180" w:hanging="538"/>
        <w:spacing w:after="0" w:line="274" w:lineRule="auto"/>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new investors participating in this offering will increase to         , or approximately     % of the total number of shares of our common stock outstanding after this offering.</w:t>
      </w:r>
    </w:p>
    <w:p>
      <w:pPr>
        <w:spacing w:after="0" w:line="161" w:lineRule="exact"/>
        <w:rPr>
          <w:sz w:val="20"/>
          <w:szCs w:val="20"/>
          <w:color w:val="auto"/>
        </w:rPr>
      </w:pPr>
    </w:p>
    <w:p>
      <w:pPr>
        <w:jc w:val="both"/>
        <w:ind w:left="2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foregoing tables and calculations (other than the historical net tangible book value calculations) are based on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shares of our common stock outstanding as of September 30, 2023, after giving effect to the automatic conversion of all outstanding shares of our redeemable convertible preferred stock into 366,277,131 shares of our common stock immediately prior to the closing of this offering, and excludes:</w:t>
      </w:r>
    </w:p>
    <w:p>
      <w:pPr>
        <w:sectPr>
          <w:pgSz w:w="11900" w:h="16838" w:orient="portrait"/>
          <w:cols w:equalWidth="0" w:num="1">
            <w:col w:w="11020"/>
          </w:cols>
          <w:pgMar w:left="320" w:top="451" w:right="559" w:bottom="1440" w:gutter="0" w:footer="0" w:header="0"/>
          <w:type w:val="continuous"/>
        </w:sectPr>
      </w:pP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shares of common stock issuable upon the exercise of outstanding stock options as of September 30, 2023, with a weighted-average exercise price 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per share;</w:t>
      </w:r>
    </w:p>
    <w:p>
      <w:pPr>
        <w:spacing w:after="0" w:line="71" w:lineRule="exact"/>
        <w:rPr>
          <w:sz w:val="20"/>
          <w:szCs w:val="20"/>
          <w:color w:val="auto"/>
        </w:rPr>
      </w:pPr>
    </w:p>
    <w:p>
      <w:pPr>
        <w:sectPr>
          <w:pgSz w:w="11900" w:h="16838" w:orient="portrait"/>
          <w:cols w:equalWidth="0" w:num="2">
            <w:col w:w="700" w:space="480"/>
            <w:col w:w="9840"/>
          </w:cols>
          <w:pgMar w:left="320" w:top="451" w:right="55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Times New Roman" w:cs="Times New Roman" w:eastAsia="Times New Roman" w:hAnsi="Times New Roman"/>
          <w:sz w:val="18"/>
          <w:szCs w:val="18"/>
          <w:color w:val="auto"/>
        </w:rPr>
        <w:t>        shares of common stock issuable upon the exercise of stock options subsequent to September 30, 2023, with a weighted-average exercise price of $      per share;</w:t>
      </w:r>
    </w:p>
    <w:p>
      <w:pPr>
        <w:spacing w:after="0" w:line="97" w:lineRule="exact"/>
        <w:rPr>
          <w:sz w:val="20"/>
          <w:szCs w:val="20"/>
          <w:color w:val="auto"/>
        </w:rPr>
      </w:pPr>
    </w:p>
    <w:p>
      <w:pPr>
        <w:sectPr>
          <w:pgSz w:w="11900" w:h="16838" w:orient="portrait"/>
          <w:cols w:equalWidth="0" w:num="2">
            <w:col w:w="700" w:space="480"/>
            <w:col w:w="9840"/>
          </w:cols>
          <w:pgMar w:left="320" w:top="451" w:right="559" w:bottom="1440" w:gutter="0" w:footer="0" w:header="0"/>
          <w:type w:val="continuous"/>
        </w:sectPr>
      </w:pPr>
    </w:p>
    <w:p>
      <w:pPr>
        <w:jc w:val="center"/>
        <w:ind w:right="-2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320" w:top="451" w:right="55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8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0000EE"/>
                <w:w w:val="96"/>
              </w:rPr>
              <w:t>Table of Contents</w:t>
            </w:r>
          </w:p>
        </w:tc>
        <w:tc>
          <w:tcPr>
            <w:tcW w:w="9180" w:type="dxa"/>
            <w:vAlign w:val="bottom"/>
          </w:tcPr>
          <w:p>
            <w:pPr>
              <w:spacing w:after="0"/>
              <w:rPr>
                <w:sz w:val="17"/>
                <w:szCs w:val="17"/>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505"/>
        </w:trPr>
        <w:tc>
          <w:tcPr>
            <w:tcW w:w="9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9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2024 Plan which will become effective in connection with this</w:t>
            </w:r>
          </w:p>
        </w:tc>
      </w:tr>
      <w:tr>
        <w:trPr>
          <w:trHeight w:val="212"/>
        </w:trPr>
        <w:tc>
          <w:tcPr>
            <w:tcW w:w="940" w:type="dxa"/>
            <w:vAlign w:val="bottom"/>
          </w:tcPr>
          <w:p>
            <w:pPr>
              <w:spacing w:after="0"/>
              <w:rPr>
                <w:sz w:val="18"/>
                <w:szCs w:val="18"/>
                <w:color w:val="auto"/>
              </w:rPr>
            </w:pPr>
          </w:p>
        </w:tc>
        <w:tc>
          <w:tcPr>
            <w:tcW w:w="10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offering (which number includes          shares of common stock reserved for issuance under the 2022 Plan as of September 30, 2023,</w:t>
            </w:r>
          </w:p>
        </w:tc>
      </w:tr>
      <w:tr>
        <w:trPr>
          <w:trHeight w:val="212"/>
        </w:trPr>
        <w:tc>
          <w:tcPr>
            <w:tcW w:w="940" w:type="dxa"/>
            <w:vAlign w:val="bottom"/>
          </w:tcPr>
          <w:p>
            <w:pPr>
              <w:spacing w:after="0"/>
              <w:rPr>
                <w:sz w:val="18"/>
                <w:szCs w:val="18"/>
                <w:color w:val="auto"/>
              </w:rPr>
            </w:pPr>
          </w:p>
        </w:tc>
        <w:tc>
          <w:tcPr>
            <w:tcW w:w="10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which shares will be added to the 2024 Plan upon its effectiveness but does not include any potential evergreen increases pursuant to the</w:t>
            </w:r>
          </w:p>
        </w:tc>
      </w:tr>
      <w:tr>
        <w:trPr>
          <w:trHeight w:val="231"/>
        </w:trPr>
        <w:tc>
          <w:tcPr>
            <w:tcW w:w="940" w:type="dxa"/>
            <w:vAlign w:val="bottom"/>
          </w:tcPr>
          <w:p>
            <w:pPr>
              <w:spacing w:after="0"/>
              <w:rPr>
                <w:sz w:val="20"/>
                <w:szCs w:val="20"/>
                <w:color w:val="auto"/>
              </w:rPr>
            </w:pPr>
          </w:p>
        </w:tc>
        <w:tc>
          <w:tcPr>
            <w:tcW w:w="10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terms of the 2024 Plan); and</w:t>
            </w:r>
          </w:p>
        </w:tc>
      </w:tr>
      <w:tr>
        <w:trPr>
          <w:trHeight w:val="331"/>
        </w:trPr>
        <w:tc>
          <w:tcPr>
            <w:tcW w:w="9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9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ESPP, which will become effective in connection with this</w:t>
            </w:r>
          </w:p>
        </w:tc>
      </w:tr>
    </w:tbl>
    <w:p>
      <w:pPr>
        <w:ind w:left="1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offering (which number does not include any potential evergreen increases pursuant to the terms of the ESPP).</w:t>
      </w:r>
    </w:p>
    <w:p>
      <w:pPr>
        <w:spacing w:after="0" w:line="198" w:lineRule="exact"/>
        <w:rPr>
          <w:sz w:val="20"/>
          <w:szCs w:val="20"/>
          <w:color w:val="auto"/>
        </w:rPr>
      </w:pPr>
    </w:p>
    <w:p>
      <w:pPr>
        <w:ind w:left="220" w:firstLine="432"/>
        <w:spacing w:after="0" w:line="274" w:lineRule="auto"/>
        <w:rPr>
          <w:sz w:val="20"/>
          <w:szCs w:val="20"/>
          <w:color w:val="auto"/>
        </w:rPr>
      </w:pPr>
      <w:r>
        <w:rPr>
          <w:rFonts w:ascii="Times New Roman" w:cs="Times New Roman" w:eastAsia="Times New Roman" w:hAnsi="Times New Roman"/>
          <w:sz w:val="18"/>
          <w:szCs w:val="18"/>
          <w:color w:val="auto"/>
        </w:rPr>
        <w:t>To the extent any outstanding options are exercised, new options or other equity awards are issued under our equity incentive plans, or we issue additional equity or convertible securities in the future, there will be further dilution to new investors participating in this offering.</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320" w:top="436" w:right="5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6"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and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 See also the section titled “Special Note Regarding Forward-Looking Statements.”</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a potential backbone bladder-sparing therapeutic for patients afflicted with bladder cancer. Our product candidate, cretostimogene, is initially in clinical development for the treatment of patients with high-risk NMIBC who are unresponsive to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our ongoing Phase 3 clinical trial in high-risk BCG-unresponsive NMIBC patients. We have completed enrollment for this trial and expect to report topline data by</w:t>
      </w:r>
    </w:p>
    <w:p>
      <w:pPr>
        <w:spacing w:after="0" w:line="3" w:lineRule="exact"/>
        <w:rPr>
          <w:sz w:val="20"/>
          <w:szCs w:val="20"/>
          <w:color w:val="auto"/>
        </w:rPr>
      </w:pPr>
    </w:p>
    <w:p>
      <w:pPr>
        <w:jc w:val="both"/>
        <w:ind w:left="220" w:hanging="2"/>
        <w:spacing w:after="0" w:line="263" w:lineRule="auto"/>
        <w:tabs>
          <w:tab w:leader="none" w:pos="39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If successful, we believe that this trial could serve as the basis for a BLA submission to the FDA. We are also evaluating the use of cretostimogene when administered to this same patient population in combination with FDA-approved pembrolizumab in CORE-001, our ongoing Phase 2 clinical trial. Moreover, we intend to assess the safety and efficacy of cretostimogene in treating a range of other bladder cancer indications as an alternative to BCG therapy and in patients who are not categorized as BCG-unresponsive. We intend to evaluate the safety and efficacy of cretostimogene in: (1) intermediate-risk NMIBC patients following TURBT in our PIVOT-006 Phase 3 clinical trial; and (2) high-risk NMIBC patients in our planned CORE-008 open-label multi-cohort Phase 2 clinical trial. We believe cretostimogene, if approved, has the potential to serve as first-line therapy, thereby alleviating the current need to prioritize treatment recipients and ration administration of BCG given its significant market shortage.</w:t>
      </w:r>
    </w:p>
    <w:p>
      <w:pPr>
        <w:spacing w:after="0" w:line="177"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spacing w:after="0" w:line="180"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Our net losses were $12.8 million and $35.4 million for the years ended December 31, 2021 and 2022, respectively. As of December 31, 2022, we had an accumulated deficit of $81.3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w:t>
      </w:r>
    </w:p>
    <w:p>
      <w:pPr>
        <w:spacing w:after="0" w:line="1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0"/>
          </w:cols>
          <w:pgMar w:left="320" w:top="451" w:right="5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9" w:lineRule="auto"/>
        <w:rPr>
          <w:sz w:val="20"/>
          <w:szCs w:val="20"/>
          <w:color w:val="auto"/>
        </w:rPr>
      </w:pPr>
      <w:r>
        <w:rPr>
          <w:rFonts w:ascii="Times New Roman" w:cs="Times New Roman" w:eastAsia="Times New Roman" w:hAnsi="Times New Roman"/>
          <w:sz w:val="18"/>
          <w:szCs w:val="18"/>
          <w:color w:val="auto"/>
        </w:rPr>
        <w:t>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spacing w:after="0" w:line="178" w:lineRule="exact"/>
        <w:rPr>
          <w:sz w:val="20"/>
          <w:szCs w:val="20"/>
          <w:color w:val="auto"/>
        </w:rPr>
      </w:pPr>
    </w:p>
    <w:p>
      <w:pPr>
        <w:jc w:val="both"/>
        <w:ind w:left="220" w:firstLine="432"/>
        <w:spacing w:after="0" w:line="267" w:lineRule="auto"/>
        <w:rPr>
          <w:sz w:val="20"/>
          <w:szCs w:val="20"/>
          <w:color w:val="auto"/>
        </w:rPr>
      </w:pPr>
      <w:r>
        <w:rPr>
          <w:rFonts w:ascii="Times New Roman" w:cs="Times New Roman" w:eastAsia="Times New Roman" w:hAnsi="Times New Roman"/>
          <w:sz w:val="17"/>
          <w:szCs w:val="17"/>
          <w:color w:val="auto"/>
        </w:rPr>
        <w:t>To date, we have primarily funded our operations with proceeds from the sale of shares of our redeemable convertible preferred stock and previously outstanding term debt. Through December 31, 2022, we have received aggregate gross proceeds of approximately $202.9 million from the sale of shares of our redeemable convertible preferred stock. In addition, through December 31, 2022, we have recognized $24.8 million in research and collaboration revenue pursuant to our license and collaboration agreements. As of December 31, 2022, we had cash, cash equivalents and marketable securities of $143.5 million. In July 2023, we received net proceeds of $104.6 million from the sale of shares of our Series F redeemable convertible preferred stock.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spacing w:after="0" w:line="174"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 requirements through at least         .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8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cretostimogene or any future product candidates, which we expect will take a number of years and may never occur. As a result, we will need substantial additional funding in addition to the net proceeds from this offering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spacing w:after="0" w:line="187"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cretostimogene.</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Below is a summary of the key terms for certain of our license and collaboration agreements. For a more detailed description of these agreements, see the section titled “Business—License and Collaboration Agreements.”</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Lepu License Agreement</w:t>
      </w:r>
    </w:p>
    <w:p>
      <w:pPr>
        <w:spacing w:after="0" w:line="11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In March 2019, we entered into a development and license agreement (the Lepu License Agreement) with Lepu, under which we granted an exclusive license to Lepu to develop, manufacture and commercialize</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320" w:top="451" w:right="5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cretostimogene and/or DDM to treat and/or prevent cancer in the Lepu Territory. Lepu paid to us a one-time upfront payment of $4.5 million, and Lepu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As of December 31, 2021 and 2022, no revenue was recorded related to the Lepu License Agreement.</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Kissei License Agreement</w:t>
      </w:r>
    </w:p>
    <w:p>
      <w:pPr>
        <w:spacing w:after="0" w:line="115"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In March 2020, and as amended September 2022, we entered into a license and collaboration agreement (the Kissei License Agreement) with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make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year ended December 31, 2021, we recorded $10.0 million in milestone revenue and $0.4 million in development income related to the Kissei License Agreement. During the year ended December 31, 2022, we recorded $0.2 million in development income related to the Kissei License Agreement.</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5"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Through December 31, 2022, we have recognized $24.8 million in research and collaboration revenue through our license and collaboration agreements. We have not generated any revenue from the sale of products, however, and do not expect to generate any revenue from the sale of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3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external and internal costs incurred in performing clinical and preclinical development activities.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R&amp;D expenses consist of:</w:t>
      </w:r>
    </w:p>
    <w:p>
      <w:pPr>
        <w:spacing w:after="0" w:line="124" w:lineRule="exact"/>
        <w:rPr>
          <w:sz w:val="20"/>
          <w:szCs w:val="20"/>
          <w:color w:val="auto"/>
        </w:rPr>
      </w:pPr>
    </w:p>
    <w:p>
      <w:pPr>
        <w:ind w:left="1180" w:hanging="538"/>
        <w:spacing w:after="0" w:line="274" w:lineRule="auto"/>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incurred under agreements with CROs, contract manufacturers, consultants and other third parties to conduct and support our clinical trials and preclinical studies; and</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 R&amp;D personnel-related expenses such as salaries, stock-based compensation and benefits, as well as allocated facilities costs and dues and subscriptions.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20"/>
          </w:cols>
          <w:pgMar w:left="320" w:top="451" w:right="5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We expense R&amp;D costs as incurred. We currently only have one product candidate, cretostimogene. Therefore, since our inception, substantially all of our R&amp;D costs were related to the development of cretostimogene.</w:t>
      </w:r>
    </w:p>
    <w:p>
      <w:pPr>
        <w:spacing w:after="0" w:line="163"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spacing w:after="0" w:line="95" w:lineRule="exact"/>
        <w:rPr>
          <w:sz w:val="20"/>
          <w:szCs w:val="20"/>
          <w:color w:val="auto"/>
        </w:rPr>
      </w:pPr>
    </w:p>
    <w:p>
      <w:pPr>
        <w:jc w:val="both"/>
        <w:ind w:left="1180" w:hanging="538"/>
        <w:spacing w:after="0" w:line="259" w:lineRule="auto"/>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spacing w:after="0" w:line="85"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requested by regulatory agencies;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cretostimogene and any future product candidates;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changes in government regulation and regulatory guidance;</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cretostimogene and any future product candidates;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17" w:lineRule="exact"/>
        <w:rPr>
          <w:sz w:val="20"/>
          <w:szCs w:val="20"/>
          <w:color w:val="auto"/>
        </w:rPr>
      </w:pPr>
    </w:p>
    <w:p>
      <w:pPr>
        <w:jc w:val="both"/>
        <w:ind w:left="220"/>
        <w:spacing w:after="0" w:line="259"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such as salaries, stock-based compensation and benefits, for our personnel in executive, legal, finance and accounting, human resources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20"/>
          </w:cols>
          <w:pgMar w:left="320" w:top="451" w:right="5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9" w:lineRule="auto"/>
        <w:rPr>
          <w:sz w:val="20"/>
          <w:szCs w:val="20"/>
          <w:color w:val="auto"/>
        </w:rPr>
      </w:pPr>
      <w:r>
        <w:rPr>
          <w:rFonts w:ascii="Times New Roman" w:cs="Times New Roman" w:eastAsia="Times New Roman" w:hAnsi="Times New Roman"/>
          <w:sz w:val="18"/>
          <w:szCs w:val="18"/>
          <w:color w:val="auto"/>
        </w:rPr>
        <w:t>and other administrative functions. General and administrative expenses also include legal fees relating to patent and corporate matters and professional fees paid for accounting, auditing, consulting and tax services, as well as facilities-related costs not otherwise included in R&amp;D expenses and other costs such as insurance costs and travel expenses.</w:t>
      </w:r>
    </w:p>
    <w:p>
      <w:pPr>
        <w:spacing w:after="0" w:line="178"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3"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Interest expense, net, consists of interest expense related to our previously outstanding term loan debt and interest income related to interest earned on our invested cash and cash equivalents and marketable securities balances. We expect our interest income will increase as we invest the cash received from the net proceeds from this offering.</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13"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Other (expense) income consists of miscellaneous items, such as the amortization of debt related costs and other items not related to our core operations.</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2021 and 2022</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2021 and 2022 (in thousands):</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7"/>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xml:space="preserve">Change    </w:t>
            </w:r>
          </w:p>
        </w:tc>
        <w:tc>
          <w:tcPr>
            <w:tcW w:w="0" w:type="dxa"/>
            <w:vAlign w:val="bottom"/>
          </w:tcPr>
          <w:p>
            <w:pPr>
              <w:spacing w:after="0"/>
              <w:rPr>
                <w:sz w:val="1"/>
                <w:szCs w:val="1"/>
                <w:color w:val="auto"/>
              </w:rPr>
            </w:pPr>
          </w:p>
        </w:tc>
      </w:tr>
      <w:tr>
        <w:trPr>
          <w:trHeight w:val="139"/>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40" w:type="dxa"/>
            <w:vAlign w:val="bottom"/>
            <w:tcBorders>
              <w:top w:val="single" w:sz="8" w:color="auto"/>
            </w:tcBorders>
            <w:gridSpan w:val="3"/>
          </w:tcPr>
          <w:p>
            <w:pPr>
              <w:jc w:val="right"/>
              <w:ind w:right="420"/>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2021    </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33"/>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collaboration revenue</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300" w:type="dxa"/>
            <w:vAlign w:val="bottom"/>
          </w:tcPr>
          <w:p>
            <w:pPr>
              <w:spacing w:after="0"/>
              <w:rPr>
                <w:sz w:val="19"/>
                <w:szCs w:val="19"/>
                <w:color w:val="auto"/>
              </w:rPr>
            </w:pP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3"/>
              <w:spacing w:after="0"/>
              <w:rPr>
                <w:sz w:val="20"/>
                <w:szCs w:val="20"/>
                <w:color w:val="auto"/>
              </w:rPr>
            </w:pPr>
            <w:r>
              <w:rPr>
                <w:rFonts w:ascii="Times New Roman" w:cs="Times New Roman" w:eastAsia="Times New Roman" w:hAnsi="Times New Roman"/>
                <w:sz w:val="18"/>
                <w:szCs w:val="18"/>
                <w:color w:val="auto"/>
              </w:rPr>
              <w:t>191</w:t>
            </w:r>
          </w:p>
        </w:tc>
        <w:tc>
          <w:tcPr>
            <w:tcW w:w="50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(10,167)</w:t>
            </w: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3"/>
              <w:spacing w:after="0"/>
              <w:rPr>
                <w:sz w:val="20"/>
                <w:szCs w:val="20"/>
                <w:color w:val="auto"/>
              </w:rPr>
            </w:pPr>
            <w:r>
              <w:rPr>
                <w:rFonts w:ascii="Times New Roman" w:cs="Times New Roman" w:eastAsia="Times New Roman" w:hAnsi="Times New Roman"/>
                <w:sz w:val="18"/>
                <w:szCs w:val="18"/>
                <w:color w:val="auto"/>
              </w:rPr>
              <w:t>29,029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(10,710)</w:t>
            </w: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6,408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5"/>
        </w:trPr>
        <w:tc>
          <w:tcPr>
            <w:tcW w:w="6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22,964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35,437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(35,246)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(22,640)</w:t>
            </w:r>
          </w:p>
        </w:tc>
        <w:tc>
          <w:tcPr>
            <w:tcW w:w="0" w:type="dxa"/>
            <w:vAlign w:val="bottom"/>
          </w:tcPr>
          <w:p>
            <w:pPr>
              <w:spacing w:after="0"/>
              <w:rPr>
                <w:sz w:val="1"/>
                <w:szCs w:val="1"/>
                <w:color w:val="auto"/>
              </w:rPr>
            </w:pPr>
          </w:p>
        </w:tc>
      </w:tr>
      <w:tr>
        <w:trPr>
          <w:trHeight w:val="21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450</w:t>
            </w:r>
          </w:p>
        </w:tc>
        <w:tc>
          <w:tcPr>
            <w:tcW w:w="0" w:type="dxa"/>
            <w:vAlign w:val="bottom"/>
          </w:tcPr>
          <w:p>
            <w:pPr>
              <w:spacing w:after="0"/>
              <w:rPr>
                <w:sz w:val="1"/>
                <w:szCs w:val="1"/>
                <w:color w:val="auto"/>
              </w:rPr>
            </w:pPr>
          </w:p>
        </w:tc>
      </w:tr>
      <w:tr>
        <w:trPr>
          <w:trHeight w:val="212"/>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8"/>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Pr>
          <w:p>
            <w:pPr>
              <w:spacing w:after="0"/>
              <w:rPr>
                <w:sz w:val="19"/>
                <w:szCs w:val="19"/>
                <w:color w:val="auto"/>
              </w:rPr>
            </w:pPr>
          </w:p>
        </w:tc>
        <w:tc>
          <w:tcPr>
            <w:tcW w:w="2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Collaboration Revenue</w:t>
      </w:r>
    </w:p>
    <w:p>
      <w:pPr>
        <w:spacing w:after="0" w:line="113"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Research and collaboration revenue was $10.4 million for the year ended December 31, 2021 compared to $0.2 million for the year ended December 31, 2022. The decrease of $10.2 million was due to a decrease in</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40"/>
          </w:cols>
          <w:pgMar w:left="320" w:top="451" w:right="5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9" w:lineRule="auto"/>
        <w:rPr>
          <w:sz w:val="20"/>
          <w:szCs w:val="20"/>
          <w:color w:val="auto"/>
        </w:rPr>
      </w:pPr>
      <w:r>
        <w:rPr>
          <w:rFonts w:ascii="Times New Roman" w:cs="Times New Roman" w:eastAsia="Times New Roman" w:hAnsi="Times New Roman"/>
          <w:sz w:val="18"/>
          <w:szCs w:val="18"/>
          <w:color w:val="auto"/>
        </w:rPr>
        <w:t>revenue generated through our license and collaboration agreements. During the year ended December 31, 2021, we recorded $10.0 million in milestone revenue and $0.4 million in development income related to the Kissei License Agreement. During the year ended December 31, 2022, we recorded $0.2 million in development income related to the Kissei License Agreement.</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years ended December 31, 2021 and 2022 (in thousands):</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4"/>
                <w:szCs w:val="14"/>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Change    </w:t>
            </w:r>
          </w:p>
        </w:tc>
        <w:tc>
          <w:tcPr>
            <w:tcW w:w="0" w:type="dxa"/>
            <w:vAlign w:val="bottom"/>
          </w:tcPr>
          <w:p>
            <w:pPr>
              <w:spacing w:after="0"/>
              <w:rPr>
                <w:sz w:val="1"/>
                <w:szCs w:val="1"/>
                <w:color w:val="auto"/>
              </w:rPr>
            </w:pPr>
          </w:p>
        </w:tc>
      </w:tr>
      <w:tr>
        <w:trPr>
          <w:trHeight w:val="139"/>
        </w:trPr>
        <w:tc>
          <w:tcPr>
            <w:tcW w:w="6780" w:type="dxa"/>
            <w:vAlign w:val="bottom"/>
          </w:tcPr>
          <w:p>
            <w:pPr>
              <w:spacing w:after="0"/>
              <w:rPr>
                <w:sz w:val="12"/>
                <w:szCs w:val="12"/>
                <w:color w:val="auto"/>
              </w:rPr>
            </w:pPr>
          </w:p>
        </w:tc>
        <w:tc>
          <w:tcPr>
            <w:tcW w:w="24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240" w:type="dxa"/>
            <w:vAlign w:val="bottom"/>
            <w:tcBorders>
              <w:top w:val="single" w:sz="8" w:color="auto"/>
            </w:tcBorders>
            <w:gridSpan w:val="3"/>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2021    </w:t>
            </w:r>
          </w:p>
        </w:tc>
        <w:tc>
          <w:tcPr>
            <w:tcW w:w="22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5"/>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7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External clinical trial expenses</w:t>
            </w:r>
          </w:p>
        </w:tc>
        <w:tc>
          <w:tcPr>
            <w:tcW w:w="2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w w:val="92"/>
              </w:rPr>
              <w:t>12,421</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19,314</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6,893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Facilities-related fees and other expenses</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8"/>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2"/>
              </w:rPr>
              <w:t>18,319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7"/>
          <w:szCs w:val="17"/>
          <w:color w:val="auto"/>
        </w:rPr>
        <w:t>R&amp;D expenses were $18.3 million for the year ended December 31, 2021 compared to $29.0 million for the year ended December 31, 2022. The increase of $10.7 million in R&amp;D expenses for the year ended December 31, 2022 was primarily due to an increase of $6.9 million in clinical trial expenses related to higher CRO fees as patient enrollment increased and higher CMC and consultant and other third party expenses, an increase of $3.4 million in personnel-related expenses due to increased headcount for R&amp;D, and higher facilities-related, fees and other related costs of $0.4 million.</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ended December 31, 2021 and 2022 (in thousands):</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4"/>
                <w:szCs w:val="14"/>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Change    </w:t>
            </w:r>
          </w:p>
        </w:tc>
        <w:tc>
          <w:tcPr>
            <w:tcW w:w="0" w:type="dxa"/>
            <w:vAlign w:val="bottom"/>
          </w:tcPr>
          <w:p>
            <w:pPr>
              <w:spacing w:after="0"/>
              <w:rPr>
                <w:sz w:val="1"/>
                <w:szCs w:val="1"/>
                <w:color w:val="auto"/>
              </w:rPr>
            </w:pPr>
          </w:p>
        </w:tc>
      </w:tr>
      <w:tr>
        <w:trPr>
          <w:trHeight w:val="139"/>
        </w:trPr>
        <w:tc>
          <w:tcPr>
            <w:tcW w:w="6620" w:type="dxa"/>
            <w:vAlign w:val="bottom"/>
          </w:tcPr>
          <w:p>
            <w:pPr>
              <w:spacing w:after="0"/>
              <w:rPr>
                <w:sz w:val="12"/>
                <w:szCs w:val="12"/>
                <w:color w:val="auto"/>
              </w:rPr>
            </w:pPr>
          </w:p>
        </w:tc>
        <w:tc>
          <w:tcPr>
            <w:tcW w:w="24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60" w:type="dxa"/>
            <w:vAlign w:val="bottom"/>
            <w:tcBorders>
              <w:top w:val="single" w:sz="8" w:color="auto"/>
            </w:tcBorders>
            <w:gridSpan w:val="3"/>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2021    </w:t>
            </w: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5"/>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6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Personnel-related expenses</w:t>
            </w:r>
          </w:p>
        </w:tc>
        <w:tc>
          <w:tcPr>
            <w:tcW w:w="2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2,179</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3,310</w:t>
            </w: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1,131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2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2,478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Facilities-related and other costs</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8"/>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$4.6 million for the year ended December 31, 2021 compared to $6.4 million for the year ended December 31, 2022. The increase of $1.8 million in general and administrative expenses for the year ended December 31, 2022 was primarily due to an increase in personnel-related expenses of $1.2 million due to increased headcount, increased professional consulting fees related to legal fees, accounting and consulting fees of $0.4 million and higher facilities-related, fees and dues and subscriptions costs of $0.2 million.</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Other (expense) income, net, for the years ended December 31, 2021 and 2022 was a net expense of $0.2 million for each year. For the year ended December 31, 2021, interest expense, net of $0.4 million, consisted primarily of interest expense and debt fee amortization. Other income (expense), net of $0.2 million consisted of income related to the loan forgiveness under the Paycheck Protection Program of $0.4 million offset by success fee expense of $0.2 million. For the year ended December 31, 2022, interest expense, net and other (expense) income, net consisted of term loan interest expense, the final payment accretion and related amortization of $1.8 million, offset by interest income of $1.6 million related to marketable securities balances during the year.</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40"/>
          </w:cols>
          <w:pgMar w:left="320" w:top="451" w:right="5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redeemable convertible preferred stock, and previously outstanding term debt. Through December 31, 2022, we have received aggregate gross proceeds of $202.9 million from the sale of shares of our redeemable convertible preferred stock. In addition, through December 31, 2022, we have recognized $24.8 million in research and collaboration revenue through our license and collaboration agreements. As of December 31, 2021 and 2022, we had cash, cash equivalents and marketable securities of $53.6 million and $143.5 million, respectively. In July 2023, we received net proceeds of $104.6 million from the sale of shares of our Series F redeemable convertible preferred stock.</w:t>
      </w:r>
    </w:p>
    <w:p>
      <w:pPr>
        <w:spacing w:after="0" w:line="190"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In January 2021, we entered into a loan agreement with Silicon Valley Bank for a term loan in three tranches. As of December 31, 2022, we had drawn down $15.0 million in aggregate principal amount under the loan agreement. On May 12, 2023, we repaid all outstanding principal and accrued and unpaid interest under the loan agreement. See Notes 11 and 14 to our financial statements included elsewhere in this prospectus for additional information.</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1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7"/>
          <w:szCs w:val="17"/>
          <w:color w:val="auto"/>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expand and protect our intellectual property, and incur additional costs associated with being a public company.</w:t>
      </w:r>
    </w:p>
    <w:p>
      <w:pPr>
        <w:spacing w:after="0" w:line="167" w:lineRule="exact"/>
        <w:rPr>
          <w:sz w:val="20"/>
          <w:szCs w:val="20"/>
          <w:color w:val="auto"/>
        </w:rPr>
      </w:pPr>
    </w:p>
    <w:p>
      <w:pPr>
        <w:jc w:val="both"/>
        <w:ind w:left="220" w:firstLine="432"/>
        <w:spacing w:after="0" w:line="304" w:lineRule="auto"/>
        <w:rPr>
          <w:sz w:val="20"/>
          <w:szCs w:val="20"/>
          <w:color w:val="auto"/>
        </w:rPr>
      </w:pPr>
      <w:r>
        <w:rPr>
          <w:rFonts w:ascii="Times New Roman" w:cs="Times New Roman" w:eastAsia="Times New Roman" w:hAnsi="Times New Roman"/>
          <w:sz w:val="17"/>
          <w:szCs w:val="17"/>
          <w:color w:val="auto"/>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spacing w:after="0" w:line="48" w:lineRule="exact"/>
        <w:rPr>
          <w:sz w:val="20"/>
          <w:szCs w:val="20"/>
          <w:color w:val="auto"/>
        </w:rPr>
      </w:pPr>
    </w:p>
    <w:p>
      <w:pPr>
        <w:jc w:val="both"/>
        <w:ind w:left="1180" w:hanging="538"/>
        <w:spacing w:after="0" w:line="282" w:lineRule="auto"/>
        <w:tabs>
          <w:tab w:leader="none" w:pos="11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66" w:lineRule="exact"/>
        <w:rPr>
          <w:rFonts w:ascii="Times New Roman" w:cs="Times New Roman" w:eastAsia="Times New Roman" w:hAnsi="Times New Roman"/>
          <w:sz w:val="17"/>
          <w:szCs w:val="17"/>
          <w:color w:val="auto"/>
        </w:rPr>
      </w:pPr>
    </w:p>
    <w:p>
      <w:pPr>
        <w:jc w:val="both"/>
        <w:ind w:left="1180" w:hanging="538"/>
        <w:spacing w:after="0" w:line="259" w:lineRule="auto"/>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spacing w:after="0" w:line="85"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regulatory, CMC quality and commercial personnel;</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payment of milestone, royalty or other payments we must make pursuant to our existing and potential future license or collaboration agreements with third parties;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0"/>
          </w:cols>
          <w:pgMar w:left="320" w:top="451" w:right="5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1180" w:right="20" w:hanging="538"/>
        <w:spacing w:after="0" w:line="274"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cretostimogene or any future product candidate is approved;</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strategic decision to develop future product candidates other than cretostimogene, and the timing of such development, if any;</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17"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Based upon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 requirements through at least         .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85" w:lineRule="exact"/>
        <w:rPr>
          <w:sz w:val="20"/>
          <w:szCs w:val="20"/>
          <w:color w:val="auto"/>
        </w:rPr>
      </w:pPr>
    </w:p>
    <w:p>
      <w:pPr>
        <w:jc w:val="both"/>
        <w:ind w:left="220" w:right="20" w:firstLine="432"/>
        <w:spacing w:after="0" w:line="264" w:lineRule="auto"/>
        <w:rPr>
          <w:sz w:val="20"/>
          <w:szCs w:val="20"/>
          <w:color w:val="auto"/>
        </w:rPr>
      </w:pPr>
      <w:r>
        <w:rPr>
          <w:rFonts w:ascii="Times New Roman" w:cs="Times New Roman" w:eastAsia="Times New Roman" w:hAnsi="Times New Roman"/>
          <w:sz w:val="17"/>
          <w:szCs w:val="17"/>
          <w:color w:val="auto"/>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for Known Contractual and Other Obligations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have entered into various non-cancelable operating leases for our corporate office. The leases have varying terms expiring between 2023 and</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2025. See Note 5 to our financial statements included elsewhere in this prospectus for additional details.</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We are continuing to invest in our cretostimogene clinical trials and have entered into contractual obligations with each clinical trial site. Each contract shall continue until the completion of the trial at that site. Our clinical trial costs are dependent on, among other things, the size, number and length of our clinical trials.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40"/>
          </w:cols>
          <w:pgMar w:left="320" w:top="451" w:right="5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Capital Requirements and Additional Royalty Obligations.</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various vendors, which are generally cancellable upon notice. Payments due upon cancellation typically consist only of payments for services provided or expenses incurred, including non-cancellable obligations of service providers, up to the date of cancellation.</w:t>
      </w:r>
    </w:p>
    <w:p>
      <w:pPr>
        <w:spacing w:after="0" w:line="178"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In addition to our obligation to make potential royalty payments under the Kissei License Agreement discussed above, we are also obligated to pay royalties and milestone payments to the initial supplier of a certain cell line we use to manufacture cretostimogene, in an amount less than 1% on the net sales of cretostimogene, worldwide. These royalty obligations last for as long as we use the certain cell line to manufacture cretostimogene. The timing of when our royalty payments will actually be made is uncertain as the payments are contingent upon future activities, including the successful development, regulatory approval and commercialization of cretostimogene.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2021 and 2022 (in thousands):</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9"/>
        </w:trPr>
        <w:tc>
          <w:tcPr>
            <w:tcW w:w="8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140" w:type="dxa"/>
            <w:vAlign w:val="bottom"/>
            <w:tcBorders>
              <w:top w:val="single" w:sz="8" w:color="auto"/>
            </w:tcBorders>
            <w:gridSpan w:val="3"/>
          </w:tcPr>
          <w:p>
            <w:pPr>
              <w:jc w:val="right"/>
              <w:ind w:right="620"/>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2021    </w:t>
            </w:r>
          </w:p>
        </w:tc>
        <w:tc>
          <w:tcPr>
            <w:tcW w:w="22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5"/>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100" w:type="dxa"/>
            <w:vAlign w:val="bottom"/>
          </w:tcPr>
          <w:p>
            <w:pPr>
              <w:spacing w:after="0"/>
              <w:rPr>
                <w:sz w:val="12"/>
                <w:szCs w:val="12"/>
                <w:color w:val="auto"/>
              </w:rPr>
            </w:pPr>
          </w:p>
        </w:tc>
      </w:tr>
      <w:tr>
        <w:trPr>
          <w:trHeight w:val="205"/>
        </w:trPr>
        <w:tc>
          <w:tcPr>
            <w:tcW w:w="85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97"/>
              </w:rPr>
              <w:t>(13,654)</w:t>
            </w:r>
          </w:p>
        </w:tc>
        <w:tc>
          <w:tcPr>
            <w:tcW w:w="52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97"/>
              </w:rPr>
              <w:t>(29,804)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(55,352)</w:t>
            </w:r>
          </w:p>
        </w:tc>
      </w:tr>
      <w:tr>
        <w:trPr>
          <w:trHeight w:val="212"/>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15,446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119,692</w:t>
            </w:r>
          </w:p>
        </w:tc>
      </w:tr>
      <w:tr>
        <w:trPr>
          <w:trHeight w:val="21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34,536</w:t>
            </w:r>
          </w:p>
        </w:tc>
        <w:tc>
          <w:tcPr>
            <w:tcW w:w="100" w:type="dxa"/>
            <w:vAlign w:val="bottom"/>
          </w:tcPr>
          <w:p>
            <w:pPr>
              <w:spacing w:after="0"/>
              <w:rPr>
                <w:sz w:val="19"/>
                <w:szCs w:val="19"/>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2021, operating activities used $13.7 million of cash, primarily resulting from our net loss of $12.8 million and net cash provided by changes in our operating assets and liabilities of $2.0 million, partially offset by non-cash charges of $1.1 million, including stock-based compensation expense and amortization associated with the term loan final fees.</w:t>
      </w:r>
    </w:p>
    <w:p>
      <w:pPr>
        <w:spacing w:after="0" w:line="178"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$29.8 million of cash, primarily resulting from our net loss of $35.4 million, partially offset by non-cash charges of $1.2 million, including stock-based compensation expense and amortization associated with the term loan final fees and mark to market success fee and net cash used in changes in our operating assets and liabilities of $4.4 million.</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2021, net cash used in investing activities was $0.1 million, due to purchases of property and equipment.</w:t>
      </w:r>
    </w:p>
    <w:p>
      <w:pPr>
        <w:spacing w:after="0" w:line="217"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2022, net cash used in investing activities was $55.4 million, primarily due to purchases of marketable securities.</w:t>
      </w: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2021, net cash provided by financing activities was $15.4 million, consisting primarily of net proceeds from term loan debt, proceeds from the PPP loan and proceeds from the exercise of common stock options.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20"/>
          </w:cols>
          <w:pgMar w:left="320" w:top="451" w:right="5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2022, net cash used in financing activities was $119.7 million, consisting of net proceeds from the issuance of Series E redeemable convertible preferred stock and proceeds from the exercise of common stock options.</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1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5" w:lineRule="exact"/>
        <w:rPr>
          <w:sz w:val="20"/>
          <w:szCs w:val="20"/>
          <w:color w:val="auto"/>
        </w:rPr>
      </w:pPr>
    </w:p>
    <w:p>
      <w:pPr>
        <w:jc w:val="both"/>
        <w:ind w:left="220" w:right="20" w:firstLine="432"/>
        <w:spacing w:after="0" w:line="304"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Note 2 to our financial statements included elsewhere in this prospectus, we believe the following accounting policies are those most critical to the judgments and estimates used in the preparation of our financial statements.</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R&amp;D Expenses and Related Prepaid and Accrued Expenses</w:t>
      </w:r>
    </w:p>
    <w:p>
      <w:pPr>
        <w:spacing w:after="0" w:line="115"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R&amp;D expenses as of each balance sheet date based on facts and circumstances known to us at that time. The significant estimates in our R&amp;D expenses include the costs incurred for services performed by our vendors in connection with services for which we have not yet been invoiced. 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spacing w:after="0" w:line="190"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spacing w:after="0" w:line="185"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We periodically grant equity-based payment awards in the form of stock options to employees, directors and non-employees and record stock-based compensation expenses for awards of stock-based payments based on their estimated fair value at the grant date. We recognize stock-based compensation expense for all equity-based</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40"/>
          </w:cols>
          <w:pgMar w:left="320" w:top="451" w:right="5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payments, including stock options. Stock-based compensation costs are calculated based on the estimated fair value of the underlying option using the Black-Scholes option pricing model on the date of grant for stock options and recognized as expense in the accompanying statement of operations and comprehensive loss on a straight-line basis over the requisite service period, which is the vesting period. This model requires the use of highly subjective assumptions to determine the appropriate fair value of each equity-based payment award, including:</w:t>
      </w:r>
    </w:p>
    <w:p>
      <w:pPr>
        <w:spacing w:after="0" w:line="86" w:lineRule="exact"/>
        <w:rPr>
          <w:sz w:val="20"/>
          <w:szCs w:val="20"/>
          <w:color w:val="auto"/>
        </w:rPr>
      </w:pPr>
    </w:p>
    <w:p>
      <w:pPr>
        <w:ind w:left="1180" w:hanging="538"/>
        <w:spacing w:after="0"/>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See the subsection titled “—Determination of Fair Value of Our Common Stock” below.</w:t>
      </w:r>
    </w:p>
    <w:p>
      <w:pPr>
        <w:spacing w:after="0" w:line="124" w:lineRule="exact"/>
        <w:rPr>
          <w:rFonts w:ascii="Times New Roman" w:cs="Times New Roman" w:eastAsia="Times New Roman" w:hAnsi="Times New Roman"/>
          <w:sz w:val="18"/>
          <w:szCs w:val="18"/>
          <w:color w:val="auto"/>
        </w:rPr>
      </w:pPr>
    </w:p>
    <w:p>
      <w:pPr>
        <w:jc w:val="both"/>
        <w:ind w:left="1180" w:hanging="538"/>
        <w:spacing w:after="0" w:line="253"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Since we are not yet a public company and do not have any trading history for our common stock,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was estimated based on the historical volatilities of common stock of comparable publicly traded companies, for a look-back period commensurate with the expected term of the stock options. The comparable companies were chosen based on their size, stage of their life cycle or area of specialty. We will continue to apply this process until enough historical information regarding the volatility of our stock price becomes available.</w:t>
      </w:r>
    </w:p>
    <w:p>
      <w:pPr>
        <w:spacing w:after="0" w:line="88" w:lineRule="exact"/>
        <w:rPr>
          <w:rFonts w:ascii="Times New Roman" w:cs="Times New Roman" w:eastAsia="Times New Roman" w:hAnsi="Times New Roman"/>
          <w:sz w:val="18"/>
          <w:szCs w:val="18"/>
          <w:color w:val="auto"/>
        </w:rPr>
      </w:pPr>
    </w:p>
    <w:p>
      <w:pPr>
        <w:ind w:left="1180" w:hanging="538"/>
        <w:spacing w:after="0" w:line="276"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used is based on the published U.S. Department of Treasury interest rates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stock option grant for zero coupon U.S. Treasury notes with maturities approximating each grant’s expected term.</w:t>
      </w:r>
    </w:p>
    <w:p>
      <w:pPr>
        <w:spacing w:after="0" w:line="67" w:lineRule="exact"/>
        <w:rPr>
          <w:rFonts w:ascii="Times New Roman" w:cs="Times New Roman" w:eastAsia="Times New Roman" w:hAnsi="Times New Roman"/>
          <w:sz w:val="18"/>
          <w:szCs w:val="18"/>
          <w:color w:val="auto"/>
        </w:rPr>
      </w:pPr>
    </w:p>
    <w:p>
      <w:pPr>
        <w:ind w:left="1180" w:hanging="538"/>
        <w:spacing w:after="0" w:line="276"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expected dividend yield is zero as we have not paid dividends and do not anticipate paying a cash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foreseeable future.</w:t>
      </w:r>
    </w:p>
    <w:p>
      <w:pPr>
        <w:spacing w:after="0" w:line="67" w:lineRule="exact"/>
        <w:rPr>
          <w:rFonts w:ascii="Times New Roman" w:cs="Times New Roman" w:eastAsia="Times New Roman" w:hAnsi="Times New Roman"/>
          <w:sz w:val="18"/>
          <w:szCs w:val="18"/>
          <w:color w:val="auto"/>
        </w:rPr>
      </w:pPr>
    </w:p>
    <w:p>
      <w:pPr>
        <w:ind w:left="1180" w:hanging="538"/>
        <w:spacing w:after="0" w:line="276"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options granted is calculated using the simplified method and represents the average time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are expected to be outstanding based on the mid-point between the vesting date and the end of the contractual term of the award.</w:t>
      </w:r>
    </w:p>
    <w:p>
      <w:pPr>
        <w:spacing w:after="0" w:line="162"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See Note 9 to our financial statements included elsewhere in this prospectus for information concerning certain of the specific assumptions we used in applying the Black-Scholes option pricing model to determine the estimated fair value of our stock options granted in the periods presented.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 forfeitures related to stock-based compensation awards as they occur.</w:t>
      </w:r>
    </w:p>
    <w:p>
      <w:pPr>
        <w:spacing w:after="0" w:line="217"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We classify stock-based compensation expense in the statement of operations in the same manner in which the award recipients’ payroll costs are classified or in which the award recipients’ service payments are classified. We expect to continue to grant equity-based awards in the future, and to the extent that we do, our stock-based compensation expense recognized in future periods will likely increase.</w:t>
      </w:r>
    </w:p>
    <w:p>
      <w:pPr>
        <w:spacing w:after="0" w:line="178"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As of         , 2023, there was $      million of total unrecognized stock-based compensation expense related to our granted options, which we expect to recognize over a remaining weighted-average period of         years. The intrinsic value of all outstanding options as of         , 2023 was $      million based on the assumed initial public offering price of $      per share, which is the midpoint of the price range set forth on the cover of this prospectus, of which approximately $      was related to vested options and approximately $      was related to unvested options.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Determination of Fair Value of Our Common Stock</w:t>
      </w:r>
    </w:p>
    <w:p>
      <w:pPr>
        <w:spacing w:after="0" w:line="11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Given the absence of a public trading market to date, the fair value of our common stock has been determined by our board of directors at the time of each option grant, with input from management, considering contemporaneous independent third-party valuations of common stock, and our board of directors’ assessment of additional objective and subjective factors that it believed were relevant and which may have changed from the date of the most recent valuation through the date of the grant, including: the prices at which we sold shares of our redeemable convertible preferred stock to outside investors in arms-length transactions, and the superior</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320" w:top="451" w:right="5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0" w:lineRule="auto"/>
        <w:rPr>
          <w:sz w:val="20"/>
          <w:szCs w:val="20"/>
          <w:color w:val="auto"/>
        </w:rPr>
      </w:pPr>
      <w:r>
        <w:rPr>
          <w:rFonts w:ascii="Times New Roman" w:cs="Times New Roman" w:eastAsia="Times New Roman" w:hAnsi="Times New Roman"/>
          <w:sz w:val="18"/>
          <w:szCs w:val="18"/>
          <w:color w:val="auto"/>
        </w:rPr>
        <w:t>rights, preferences, and privileges of the redeemable convertible preferred stock relative to the common stock at the time of each grant; the progress of our company’s R&amp;D programs, including their stages of development, and our company’s business strategy; operating and financial performance; the lack of liquidity of the common stock and trends in the broader economy and biotechnology industry also impact the determination of the fair value of the common stock; the likelihood of achieving a liquidity event for our company’s securityholders, such as an initial public offering or a sale of the company, taking into consideration prevailing market conditions; the hiring of key personnel and the experience of management; and the analysis of initial public offerings and the market performance of peer companies in the biopharmaceutical industry, as well as completed mergers and acquisitions of public peer companies.</w:t>
      </w:r>
    </w:p>
    <w:p>
      <w:pPr>
        <w:spacing w:after="0" w:line="187"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 xml:space="preserve">These independent third-party valuations were performed in accordance with the guidance outlined in the American Institute of Certified Public Accountants’ Auditing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xml:space="preserve"> (the Guide). The methodology to determine the fair value of our common stock included estimating the fair value of the enterprise using a market approach, which estimates the fair value of a company by including an estimation of the value of the business based on guideline public companies under a number of different scenarios. The Practice Aid identifies various available methods for allocating enterprise value across classes and series of capital stock to determine the estimated fair value of common stock at each valuation date.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Guide, we considered the following methods:</w:t>
      </w:r>
    </w:p>
    <w:p>
      <w:pPr>
        <w:spacing w:after="0" w:line="122" w:lineRule="exact"/>
        <w:rPr>
          <w:sz w:val="20"/>
          <w:szCs w:val="20"/>
          <w:color w:val="auto"/>
        </w:rPr>
      </w:pPr>
    </w:p>
    <w:p>
      <w:pPr>
        <w:jc w:val="both"/>
        <w:ind w:left="1180" w:right="20" w:hanging="538"/>
        <w:spacing w:after="0" w:line="261" w:lineRule="auto"/>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Value Method</w:t>
      </w:r>
      <w:r>
        <w:rPr>
          <w:rFonts w:ascii="Times New Roman" w:cs="Times New Roman" w:eastAsia="Times New Roman" w:hAnsi="Times New Roman"/>
          <w:sz w:val="18"/>
          <w:szCs w:val="18"/>
          <w:color w:val="auto"/>
        </w:rPr>
        <w:t>. Under the current value method, once the fair value of the enterprise is established, the value is allocated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series of preferred and common stock based on their respective seniority, liquidation preferences or conversion values, whichever is greatest.</w:t>
      </w:r>
    </w:p>
    <w:p>
      <w:pPr>
        <w:spacing w:after="0" w:line="79" w:lineRule="exact"/>
        <w:rPr>
          <w:rFonts w:ascii="Times New Roman" w:cs="Times New Roman" w:eastAsia="Times New Roman" w:hAnsi="Times New Roman"/>
          <w:sz w:val="18"/>
          <w:szCs w:val="18"/>
          <w:color w:val="auto"/>
        </w:rPr>
      </w:pPr>
    </w:p>
    <w:p>
      <w:pPr>
        <w:jc w:val="both"/>
        <w:ind w:left="1180" w:right="20" w:hanging="538"/>
        <w:spacing w:after="0" w:line="256" w:lineRule="auto"/>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Pricing Method (OPM)</w:t>
      </w:r>
      <w:r>
        <w:rPr>
          <w:rFonts w:ascii="Times New Roman" w:cs="Times New Roman" w:eastAsia="Times New Roman" w:hAnsi="Times New Roman"/>
          <w:sz w:val="18"/>
          <w:szCs w:val="18"/>
          <w:color w:val="auto"/>
        </w:rPr>
        <w:t>. Under the OPM, shares are valued by creating a series of call options with exercise prices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preferences and conversion terms of each equity class. The estimated fair values of the redeemable convertible preferred stock and common stock are inferred by analyzing these options. This method is appropriate to use when the range of possible future outcomes is so difficult to predict that estimates would be highly speculative, and dissolution or liquidation is not imminent.</w:t>
      </w:r>
    </w:p>
    <w:p>
      <w:pPr>
        <w:spacing w:after="0" w:line="84" w:lineRule="exact"/>
        <w:rPr>
          <w:rFonts w:ascii="Times New Roman" w:cs="Times New Roman" w:eastAsia="Times New Roman" w:hAnsi="Times New Roman"/>
          <w:sz w:val="18"/>
          <w:szCs w:val="18"/>
          <w:color w:val="auto"/>
        </w:rPr>
      </w:pPr>
    </w:p>
    <w:p>
      <w:pPr>
        <w:jc w:val="both"/>
        <w:ind w:left="1180" w:right="20" w:hanging="538"/>
        <w:spacing w:after="0" w:line="261" w:lineRule="auto"/>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Probability-Weighted Expected Return Method (PWERM)</w:t>
      </w:r>
      <w:r>
        <w:rPr>
          <w:rFonts w:ascii="Times New Roman" w:cs="Times New Roman" w:eastAsia="Times New Roman" w:hAnsi="Times New Roman"/>
          <w:sz w:val="18"/>
          <w:szCs w:val="18"/>
          <w:color w:val="auto"/>
        </w:rPr>
        <w:t>. The PWERM is a scenario-based analysis that estimates value per share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probability-weighted present value of expected future investment returns, considering each of the possible outcomes available to us, as well as the economic and control rights of each share class.</w:t>
      </w:r>
    </w:p>
    <w:p>
      <w:pPr>
        <w:spacing w:after="0" w:line="17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Based on our early stage of development, the difficulty in predicting the range of specific outcomes (and their likelihood), and other relevant factors, a hybrid method computing the probability-weighted value across two scenarios: the Current Value Method scenario and the OPM scenario, was considered most appropriate for valuations prior to April 2023. For options granted after April 30, 2023, a hybrid method between the PWERM and OPM was used, where the equity value was probability-weighted across multiple scenarios but using the OPM to estimate the allocation of value within one or more of those scenarios, and in certain cases taking into account secondary sale transactions. This method was determined to be the most appropriate valuation methodology based on our stage of development and other relevant factors.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90"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There are significant judgments and estimates inherent in the determination of the fair value of our common stock. These judgments and estimates include assumptions regarding our future operating performance, the time to complete an initial public offering or other liquidity event, and the determination of the appropriate valuation methods.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40"/>
          </w:cols>
          <w:pgMar w:left="320" w:top="451" w:right="5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or for any other such awards we may grant, as the fair value of our common stock will be determined based on the closing price of our common stock as reported on the date of grant on the primary stock exchange on which our common stock is traded.</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3"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3"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A description of recently issued accounting standards that may potentially impact our financial position, cash flows, and results of operations is included in Note 2 to our financial statements included elsewhere in this prospectus.</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Emerging Growth Company Status and Smaller Reporting Company Status</w:t>
      </w:r>
    </w:p>
    <w:p>
      <w:pPr>
        <w:spacing w:after="0" w:line="11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permits an emerging growth company such as us to take advantage of an extended transition period to comply with new or revised accounting standards. We have elected to avail ourselves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w:t>
      </w:r>
    </w:p>
    <w:p>
      <w:pPr>
        <w:spacing w:after="0" w:line="1" w:lineRule="exact"/>
        <w:rPr>
          <w:sz w:val="20"/>
          <w:szCs w:val="20"/>
          <w:color w:val="auto"/>
        </w:rPr>
      </w:pPr>
    </w:p>
    <w:p>
      <w:pPr>
        <w:jc w:val="both"/>
        <w:ind w:left="220" w:right="20" w:hanging="2"/>
        <w:spacing w:after="0" w:line="246" w:lineRule="auto"/>
        <w:tabs>
          <w:tab w:leader="none" w:pos="4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elect to opt out of such extended transition period or (ii) no longer qualify as an emerging growth company. We may choose to early adopt any new or revised accounting standards whenever such early adoption is permitted for private companies. We will continue to remain an emerging growth company until the earliest of the following: (1) the last day of the fiscal year following the fifth anniversary of the date of the completion of this offering; (2) the last day of the fiscal year in which our total annual gross revenue is equal to or more than $1.235 billion; (3) the date on which we have issued more than $1.0 billion in nonconvertible debt during the previous three years; or (4) the date on which we are deemed to be a large accelerated filer under the rules of the SEC.</w:t>
      </w:r>
    </w:p>
    <w:p>
      <w:pPr>
        <w:spacing w:after="0" w:line="192"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5"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Our cash, cash equivalents, and marketable securities consist of cash held in readily available checking and money market accounts, as well as short-term debt securities. Our primary exposure to market risk is interest rate sensitivity, which is affected by changes in the general level of U.S. interest rates. However, because of the short-term nature of the instruments in our portfolio, a sudden change in market interest rates would not be expected to have a material impact on our financial condition or results of operations.</w:t>
      </w:r>
    </w:p>
    <w:p>
      <w:pPr>
        <w:spacing w:after="0" w:line="180"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Under our investment policy, we invest in highly rated securities, issued by the U.S. government or liquid money market funds. We do not invest in financial instruments for trading or speculative purposes, nor do we use</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40"/>
          </w:cols>
          <w:pgMar w:left="320" w:top="451" w:right="5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74" w:lineRule="auto"/>
        <w:rPr>
          <w:sz w:val="20"/>
          <w:szCs w:val="20"/>
          <w:color w:val="auto"/>
        </w:rPr>
      </w:pPr>
      <w:r>
        <w:rPr>
          <w:rFonts w:ascii="Times New Roman" w:cs="Times New Roman" w:eastAsia="Times New Roman" w:hAnsi="Times New Roman"/>
          <w:sz w:val="18"/>
          <w:szCs w:val="18"/>
          <w:color w:val="auto"/>
        </w:rPr>
        <w:t>leveraged financial instruments. We do not believe a hypothetical 10% increase or decrease in interest rates during any of the periods presented would have had a material impact on our financial statements included elsewhere in this prospectus.</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5"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As we continue to develop our business, our results of operations and cash flows will likely be more affected by fluctuations in foreign currency exchange rates, including the Euro and other currencies, which could adversely affect our results of operations. All of our employees and operations are currently located in the United States and our expenses are generally denominated in U.S. dollar. To date, we have not entered into any foreign currency hedging contracts to mitigate our exposure to foreign currency exchange risk. We do not believe that a hypothetical 10% increase or decrease in exchange rates during any of the periods presented would have had a material impact on our financial statements included elsewhere in this prospectus.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1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Inflation could affect us by increasing our cost of labor and R&amp;D costs. We do not believe inflation has had a material effect on our business, financial condition or results of operations, or on our financial statements included elsewhere in this prospectus.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40"/>
          </w:cols>
          <w:pgMar w:left="320" w:top="451" w:right="5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a potential backbone bladder-sparing therapeutic for patients afflicted with bladder cancer. Our product candidate, cretostimogene, is initially in clinical development for the treatment of patients with high-risk Non-Muscle Invasive Bladder Cancer (NMIBC) who are unresponsive to Bacillus Calmette Guerin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our ongoing Phase 3 clinical trial in high-risk BCG-unresponsive NMIBC patients. We have completed enrollment for this trial and expect to report topline data by          . If successful, we believe that this trial could serve as the basis for a Biologics License Application (BLA) submission to the U.S. Food and Drug Administration (FDA). We are also evaluating the use of cretostimogene when administered to this same patient population in combination with FDA-approved pembrolizumab in CORE-001, our ongoing Phase 2 clinical trial. Moreover, we intend to assess the safety and efficacy of cretostimogene in treating a range of other bladder cancer indications as an alternative to BCG therapy and in patients who are not categorized as BCG-unresponsive, including our second Phase 3 clinical trial, PIVOT-006, evaluating adjuvant cretostimogene in intermediate-risk NMIBC patients following transurethral resection of the bladder tumor (TURBT). We believe cretostimogene, if approved, has the potential to serve as first-line therapy, thereby alleviating the current need to prioritize treatment recipients and ration administration of BCG given its significant market shortage.</w:t>
      </w:r>
    </w:p>
    <w:p>
      <w:pPr>
        <w:spacing w:after="0" w:line="198" w:lineRule="exact"/>
        <w:rPr>
          <w:sz w:val="20"/>
          <w:szCs w:val="20"/>
          <w:color w:val="auto"/>
        </w:rPr>
      </w:pPr>
    </w:p>
    <w:p>
      <w:pPr>
        <w:jc w:val="both"/>
        <w:ind w:left="220" w:right="20" w:firstLine="432"/>
        <w:spacing w:after="0" w:line="264" w:lineRule="auto"/>
        <w:rPr>
          <w:sz w:val="20"/>
          <w:szCs w:val="20"/>
          <w:color w:val="auto"/>
        </w:rPr>
      </w:pPr>
      <w:r>
        <w:rPr>
          <w:rFonts w:ascii="Times New Roman" w:cs="Times New Roman" w:eastAsia="Times New Roman" w:hAnsi="Times New Roman"/>
          <w:sz w:val="17"/>
          <w:szCs w:val="17"/>
          <w:color w:val="auto"/>
        </w:rPr>
        <w:t xml:space="preserve">Cretostimogene has shown clinical benefit and has been generally well-tolerated as both a monotherapy and in combination with other therapies in clinical trials to date. In BOND-002, our completed open-label Phase 2 clinical trial which evaluated the use of cretostimogene as monotherapy to treat patients with high-risk NMIBC who had failed BCG therapy with a specific high-risk bladder cancer profile designated as carcinoma </w:t>
      </w:r>
      <w:r>
        <w:rPr>
          <w:rFonts w:ascii="Times New Roman" w:cs="Times New Roman" w:eastAsia="Times New Roman" w:hAnsi="Times New Roman"/>
          <w:sz w:val="17"/>
          <w:szCs w:val="17"/>
          <w:i w:val="1"/>
          <w:iCs w:val="1"/>
          <w:color w:val="auto"/>
        </w:rPr>
        <w:t>in situ</w:t>
      </w:r>
      <w:r>
        <w:rPr>
          <w:rFonts w:ascii="Times New Roman" w:cs="Times New Roman" w:eastAsia="Times New Roman" w:hAnsi="Times New Roman"/>
          <w:sz w:val="17"/>
          <w:szCs w:val="17"/>
          <w:color w:val="auto"/>
        </w:rPr>
        <w:t xml:space="preserve"> (CIS), 65% of the 46 patients with CIS-containing NMIBC achieved a complete response (CR), meaning no detectable tumor lesions, at any time after the administration of cretostimogene. The duration of response (DOR) was also notable, with 44% and 28% of patients maintaining a CR at six months and 12 months, respectively. Cretostimogene was generally well-tolerated in this trial, with two Grade 3 (dysuria and hypotension) and no Grade 4 or 5 treatment-related adverse effects (TRAEs) observed or patient discontinuations due to TRAEs. We have also observed encouraging interim results in our ongoing open-label Phase 2 CORE-001 clinical trial of cretostimogene in combination with pembrolizumab in high-risk BCG-unresponsive NMIBC patients. In this trial, 29 of the 34 (85%) patients evaluable as of the March 3, 2023 data cutoff achieved a CR after an initial induction course of therapy, with 82% (n=27/33) of patients maintaining a CR at six months, and 68% (n=17/25) of patients maintaining a CR at 12 months. Cretostimogene was generally well-tolerated in this trial as of the January 31, 2023 safety data cutoff, with one TRAE leading to a patient discontinuation of pembrolizumab. We intend to evaluate cretostimogene for use in a variety of bladder cancer treatment settings, as shown in our pipeline below.</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40"/>
          </w:cols>
          <w:pgMar w:left="320" w:top="451" w:right="5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Our Cretostimogene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167640</wp:posOffset>
            </wp:positionV>
            <wp:extent cx="5073650" cy="27768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73650" cy="277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0" w:hanging="422"/>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Planned clinical trials to be conducted under existing Investigational New Drug application (IND) previously cleared by the FDA.</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13" w:lineRule="exact"/>
        <w:rPr>
          <w:sz w:val="20"/>
          <w:szCs w:val="20"/>
          <w:color w:val="auto"/>
        </w:rPr>
      </w:pPr>
    </w:p>
    <w:p>
      <w:pPr>
        <w:ind w:left="220" w:firstLine="432"/>
        <w:spacing w:after="0" w:line="274" w:lineRule="auto"/>
        <w:rPr>
          <w:sz w:val="20"/>
          <w:szCs w:val="20"/>
          <w:color w:val="auto"/>
        </w:rPr>
      </w:pPr>
      <w:r>
        <w:rPr>
          <w:rFonts w:ascii="Times New Roman" w:cs="Times New Roman" w:eastAsia="Times New Roman" w:hAnsi="Times New Roman"/>
          <w:sz w:val="18"/>
          <w:szCs w:val="18"/>
          <w:color w:val="auto"/>
        </w:rPr>
        <w:t>We believe our product candidate is differentiated by several strengths that support our vision of cretostimogene as a potential backbone therapy in bladder cancer, including:</w:t>
      </w:r>
    </w:p>
    <w:p>
      <w:pPr>
        <w:spacing w:after="0" w:line="71" w:lineRule="exact"/>
        <w:rPr>
          <w:sz w:val="20"/>
          <w:szCs w:val="20"/>
          <w:color w:val="auto"/>
        </w:rPr>
      </w:pPr>
    </w:p>
    <w:p>
      <w:pPr>
        <w:ind w:left="1180" w:hanging="538"/>
        <w:spacing w:after="0" w:line="274" w:lineRule="auto"/>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monotherapy clinical utility and durability of response, with a 65% CR at any time, in addition to 44% and 28% CR at six months and 12 months, respectively, in our completed Phase 2 BOND-002 cretostimogene monotherapy trial.</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Observed tolerability, with two Grade 3 TRAEs and no Grade 4 or 5 TRAEs or patient discontinuations due to TRAEs in our completed BOND-002 cretostimogene monotherapy trial.</w:t>
      </w:r>
    </w:p>
    <w:p>
      <w:pPr>
        <w:spacing w:after="0" w:line="70" w:lineRule="exact"/>
        <w:rPr>
          <w:rFonts w:ascii="Times New Roman" w:cs="Times New Roman" w:eastAsia="Times New Roman" w:hAnsi="Times New Roman"/>
          <w:sz w:val="18"/>
          <w:szCs w:val="18"/>
          <w:color w:val="auto"/>
        </w:rPr>
      </w:pPr>
    </w:p>
    <w:p>
      <w:pPr>
        <w:jc w:val="both"/>
        <w:ind w:left="1180" w:hanging="538"/>
        <w:spacing w:after="0" w:line="259" w:lineRule="auto"/>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Cretostimogene is administered intravesically and uses a similar route of administration as standard-of-care BCG therapy which urology practices perform regularly. This is unlike some treatment procedures that require a urologist to perform a cystoscopic examination that involves local anesthesia.</w:t>
      </w:r>
    </w:p>
    <w:p>
      <w:pPr>
        <w:spacing w:after="0" w:line="85" w:lineRule="exact"/>
        <w:rPr>
          <w:rFonts w:ascii="Times New Roman" w:cs="Times New Roman" w:eastAsia="Times New Roman" w:hAnsi="Times New Roman"/>
          <w:sz w:val="18"/>
          <w:szCs w:val="18"/>
          <w:color w:val="auto"/>
        </w:rPr>
      </w:pPr>
    </w:p>
    <w:p>
      <w:pPr>
        <w:jc w:val="both"/>
        <w:ind w:left="1180" w:hanging="538"/>
        <w:spacing w:after="0" w:line="259" w:lineRule="auto"/>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deploying cretostimogene in combination with other therapies due to its observed tolerability and novel mechanism of action, supported by 85% of patients having shown a CR at any time in our ongoing Phase 2 CORE-001 clinical trial of cretostimogene in combination with the checkpoint inhibitor (CPI) pembrolizumab as of March 3, 2023.</w:t>
      </w:r>
    </w:p>
    <w:p>
      <w:pPr>
        <w:spacing w:after="0" w:line="85" w:lineRule="exact"/>
        <w:rPr>
          <w:rFonts w:ascii="Times New Roman" w:cs="Times New Roman" w:eastAsia="Times New Roman" w:hAnsi="Times New Roman"/>
          <w:sz w:val="18"/>
          <w:szCs w:val="18"/>
          <w:color w:val="auto"/>
        </w:rPr>
      </w:pPr>
    </w:p>
    <w:p>
      <w:pPr>
        <w:jc w:val="both"/>
        <w:ind w:left="1180" w:hanging="538"/>
        <w:spacing w:after="0" w:line="259" w:lineRule="auto"/>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Cretostimogene’s potential broad applicability across bladder cancer indications, beginning with high-risk BCG-unresponsive NMIBC, and expanding into intermediate-risk and BCG-exposed and BCG-naïve high-risk NMIBC, with potential incremental opportunity in muscle invasive bladder cancer (MIBC).</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20"/>
          </w:cols>
          <w:pgMar w:left="320" w:top="451" w:right="5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Bladder Cancer Overview</w:t>
      </w:r>
    </w:p>
    <w:p>
      <w:pPr>
        <w:spacing w:after="0" w:line="113"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Bladder cancer is a heterogeneous disease and involves several different cancer sub-types, which can be segmented into NMIBC or MIBC. The American Cancer Society estimates that in 2023, more than 82,000 people will be diagnosed with bladder cancer and that the disease will result in nearly 17,000 deaths. An estimated 725,000 people in the United States are currently living with the disease. NMIBC, which accounts for approximately 75% of newly diagnosed patients, describes earlier-stage bladder cancer that has not spread to the muscle wall. NMIBC can be further stratified by its specific risk profile, with high-risk NMIBC patients, who make up approximately 40% of the NMIBC patient population, at an elevated probability of disease progression to more aggressive MIBC within five years of initial diagnosis. Patients with intermediate-risk disease account for approximately 30% of total NMIBC diagnoses.</w:t>
      </w:r>
    </w:p>
    <w:p>
      <w:pPr>
        <w:spacing w:after="0" w:line="187"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Current treatment for high-risk NMIBC typically involves TURBT followed by the intravesical (IVE) delivery of BCG therapy to induce a non-specific anti-tumor immune response. This treatment protocol has demonstrated therapeutic benefit with nearly 70% of patients achieving a CR following an initial induction course of therapy. However, approximately 50% of these patients will experience a recurrence of the tumor and few treatment options are available for patients who become unresponsive to BCG treatment. While radical cystectomy is the current standard-of-care, only approximately 6% of NMIBC patients elect to undergo the procedure in light of the significant social, functional and emotional burden associated with it. Further complicating the treatment options available to NMIBC patients is the ongoing shortage of BCG which has restricted patient eligibility to high-risk BCG-naïve patients only. Even among these patients a significant number of newly-diagnosed, BCG-eligible, treatment-naïve patients in the United States may not receive sufficient BCG therapy, if at all. Moreover, patients with intermediate-risk NMIBC may not have access to BCG due to the shortage, despite the likely therapeutic benefit of earlier adjuvant BCG therapy, because high-risk patients are prioritized in line with guidance published by the National Comprehensive Care Network (NCCN) and guidance published jointly by the American Urological Association (AUA) and the Society of Urologic Oncology (SUO).</w:t>
      </w:r>
    </w:p>
    <w:p>
      <w:pPr>
        <w:spacing w:after="0" w:line="191"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Instances of refractory and recurrence disease, patient aversion to cystectomy and the ongoing BCG supply constraints, have created a sizeable unmet medical need for alternative NMIBC therapeutics that are both safe and efficacious. Beyond our ongoing clinical trials in NMIBC, we also intend to initiate CORE-008, an open-label multi-cohort Phase 2 clinical trial designed to assess the safety and efficacy of cretostimogene when administered as monotherapy and in combination with a CPI in high-risk NMIBC patients including BCG-exposed and BCG-naïve NMIBC patients. BCG-exposed patients are classified as those NMIBC patients with persistent, recurrent or progressive disease after BCG treatment but who do not meet the specific disease classification criteria requisite to be designated as BCG-unresponsive. BCG-naïve patients are classified as those NMIBC patients who have not received any prior BCG therapy.</w:t>
      </w:r>
    </w:p>
    <w:p>
      <w:pPr>
        <w:spacing w:after="0" w:line="187"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In addition to NMIBC, we are also evaluating cretostimogene as a potential therapeutic to treat patients with MIBC. MIBC is a more aggressive form of bladder cancer than NMIBC and is associated with significantly higher mortality. In CORE-002, an ongoing single-arm exploratory investigator-sponsored clinical trial, cretostimogene is being evaluated in combination with the CPI nivolumab in MIBC patients ineligible for cisplatin chemotherapy prior to radical cystectomy.</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Our Team and Investors</w:t>
      </w:r>
    </w:p>
    <w:p>
      <w:pPr>
        <w:spacing w:after="0" w:line="113"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Our management team includes industry executives with extensive biopharmaceutical experience. Arthur Kuan, our Chief Executive Officer, was a founding member of the Ally Bridge Group, a global healthcare-focused investment platform. Previously, Arthur was a member of Themes Investment Partners, a healthcare and life sciences-focused private equity fund. Our President and Chief Operating Officer, Ambaw Bellete, has over 30 years of industry experience, including serving as Chief Operating Officer for FerGene, the Ferring Pharmaceuticals subsidiary responsible for the development and commercialization of its bladder cancer</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40"/>
          </w:cols>
          <w:pgMar w:left="320" w:top="451" w:right="5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48" w:lineRule="auto"/>
        <w:rPr>
          <w:sz w:val="20"/>
          <w:szCs w:val="20"/>
          <w:color w:val="auto"/>
        </w:rPr>
      </w:pPr>
      <w:r>
        <w:rPr>
          <w:rFonts w:ascii="Times New Roman" w:cs="Times New Roman" w:eastAsia="Times New Roman" w:hAnsi="Times New Roman"/>
          <w:sz w:val="18"/>
          <w:szCs w:val="18"/>
          <w:color w:val="auto"/>
        </w:rPr>
        <w:t>treatment, nadofaragene. Ambaw was also the President of Photocure, a company focused on the diagnosis and treatment of bladder cancer and has also held several global leadership positions with biotech and medical device companies. Our Chief Medical Officer, Vijay Kasturi, M.D., previously served as Vice President, Clinical Development and Medical Affairs with AVEO Pharmaceuticals and SVP of Scientific Affairs at FerGene where he led Medical Affairs, Clinical Operations, Regulatory and Clinical Development in connection with the nadofaragene program. Earlier, he led U.S. Medical Affairs, Oncology for EMD Serono, where he had broad leadership responsibilities including developing and managing the global medical strategy and launch plan for an anti-PD-L1 agent in bladder and kidney cancers. Our Chief Technical Officer, Swapnil Bhargava, Ph.D., has supported multiple INDs and BLAs and has contributed to bringing multiple modalities to the clinic and market. He was previously a Senior Vice President of CMC Development and GMP Manufacturing for Abcellera, leading Tech Ops. Prior to that, he was the VP for Drug Substance Process Development at Seagen, where he was responsible for leading cell line development, upstream, downstream and conjugation process development and analytical sciences departments for early and late-stage drug development. We believe the breadth and depth of experience amongst our management team will enable us to bolster the cretostimogene development strategy and, if approved, its commercialization.</w:t>
      </w:r>
    </w:p>
    <w:p>
      <w:pPr>
        <w:spacing w:after="0" w:line="191"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In addition to the strength and experience of our leadership team, we believe we have a world class Chemistry, Manufacturing and Control (CMC) Advisory Board. The advisory board is chaired by Rick Rutter, Ph.D., who was previously the Executive Vice President of Biotherapeutics Pharmaceutical Sciences at Pfizer, responsible for Drug Substance and Drug Product Development for all macromolecules and vaccines in the Pfizer portfolio. Dan Takefman, Ph.D. was formerly the chief of the Gene Therapy Branch at the FDA. Dr. Takefman also headed regulatory activities at Spark Therapeutics from 2014 until its acquisition by Roche and oversaw the submission through regulatory approval of Luxturna (voretigene neparvovec). Richard Peluso, Ph.D. was the former Vice President of Biologics, Vaccines and Bioprocess R&amp;D at Merck &amp; Co (Merck), responsible for research and development for biologics and vaccines across the Merck portfolio. Victoria Sluzky, Ph.D., was the Senior Vice President of Technical Development at BioMarin, leading Global Quality and Process Sciences and facilitating implementation of global regulatory CMC strategy. We believe our CMC Advisory Board provides differentiated expertise in production and potential commercialization of cretostimogene.</w:t>
      </w:r>
    </w:p>
    <w:p>
      <w:pPr>
        <w:spacing w:after="0" w:line="187" w:lineRule="exact"/>
        <w:rPr>
          <w:sz w:val="20"/>
          <w:szCs w:val="20"/>
          <w:color w:val="auto"/>
        </w:rPr>
      </w:pPr>
    </w:p>
    <w:p>
      <w:pPr>
        <w:jc w:val="both"/>
        <w:ind w:left="220" w:firstLine="432"/>
        <w:spacing w:after="0" w:line="267" w:lineRule="auto"/>
        <w:rPr>
          <w:sz w:val="20"/>
          <w:szCs w:val="20"/>
          <w:color w:val="auto"/>
        </w:rPr>
      </w:pPr>
      <w:r>
        <w:rPr>
          <w:rFonts w:ascii="Times New Roman" w:cs="Times New Roman" w:eastAsia="Times New Roman" w:hAnsi="Times New Roman"/>
          <w:sz w:val="17"/>
          <w:szCs w:val="17"/>
          <w:color w:val="auto"/>
        </w:rPr>
        <w:t>We are backed by a strong set of healthcare-specific investors, including our 5% or greater stockholders, ORI Capital, Decheng Capital, Longitude Capital, Kissei Pharmaceutical Co., Foresite Capital Management and TCGX.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Securities Exchange Act of 1934 (the Exchange Act), and, thus, prospective investors may not necessarily know the total amount of investment by each of the prior investors and if and when some of the prior investors decide to sell any of their shares. See the sections titled “Certain Relationships and Related Person Transactions” and “Principal Stockholders” for more information on prior purchases by and current holdings of these stockholders.</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3"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We intend to become a leading company in the development and commercialization of innovative therapeutics to treat cancer, with an initial focus on bladder cancer. Key elements of our strategy to accomplish this objective include:</w:t>
      </w:r>
    </w:p>
    <w:p>
      <w:pPr>
        <w:spacing w:after="0" w:line="69" w:lineRule="exact"/>
        <w:rPr>
          <w:sz w:val="20"/>
          <w:szCs w:val="20"/>
          <w:color w:val="auto"/>
        </w:rPr>
      </w:pPr>
    </w:p>
    <w:p>
      <w:pPr>
        <w:jc w:val="both"/>
        <w:ind w:left="1180" w:right="20" w:hanging="538"/>
        <w:spacing w:after="0" w:line="251" w:lineRule="auto"/>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Complete the ongoing BOND-003 Phase 3 trial of cretostimogene as monotherapy in high-risk BCG-unresponsive NMIBC and pursue FDA approval</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are evaluating the safety and efficacy of cretostimogene in BOND-003, our ongoing Phase 3 clinical trial.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completed enrollment for this trial and expect to report topline data in         . Given the significant unmet need in this indication, the FDA published guidance in 2018 that stated a single-arm clinical trial in patients with BCG-unresponsive NMIBC that assess CR rate as the primary endpoint, taking DOR into account, may be appropriate for full approval. Based on this guidance, we believe that, if successful, our BOND-003 trial could serve as the basis for a BLA submission to the FDA.</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40"/>
          </w:cols>
          <w:pgMar w:left="320" w:top="451" w:right="5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both"/>
        <w:ind w:left="1180" w:right="20" w:hanging="538"/>
        <w:spacing w:after="0" w:line="248" w:lineRule="auto"/>
        <w:tabs>
          <w:tab w:leader="none" w:pos="1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the development of cretostimogene monotherapy as a potential backbone therapy across NMIBC indications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evaluating cretostimogene in patients with high-risk BCG-unresponsive NMIBC, and in light of the significant and ongoing global shortage of BCG, we intend to evaluate the safety and efficacy of cretostimogene as an alternative to BCG therapy in additional bladder cancer indications, including: (1) patients diagnosed with intermediate-risk NMIBC, who would likely benefit from earlier therapeutic intervention but are currently lacking access to BCG therapy, in our PIVOT-006 Phase 3 clinical trial; and (2) patients with high-risk BCG-exposed and BCG-naïve NMIBC in the monotherapy portion of our planned CORE-008 open-label multi-cohort Phase 2 clinical trial. Through expanding the clinical evaluation of cretostimogene across NMIBC indications, we will attempt to address the significant unmet need in treatment of bladder cancer, with over 82,000 new U.S. diagnoses per year and over 725,000 patients living with bladder cancer in the United States, according to the American Cancer Society. We believe cretostimogene, if approved, has the potential to serve as first-line therapy, thereby alleviating the current need to prioritize treatment recipients and ration administration of BCG given its significant market shortage.</w:t>
      </w:r>
    </w:p>
    <w:p>
      <w:pPr>
        <w:spacing w:after="0" w:line="98" w:lineRule="exact"/>
        <w:rPr>
          <w:rFonts w:ascii="Times New Roman" w:cs="Times New Roman" w:eastAsia="Times New Roman" w:hAnsi="Times New Roman"/>
          <w:sz w:val="18"/>
          <w:szCs w:val="18"/>
          <w:color w:val="auto"/>
        </w:rPr>
      </w:pPr>
    </w:p>
    <w:p>
      <w:pPr>
        <w:jc w:val="both"/>
        <w:ind w:left="1180" w:right="20" w:hanging="538"/>
        <w:spacing w:after="0" w:line="248" w:lineRule="auto"/>
        <w:tabs>
          <w:tab w:leader="none" w:pos="1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evaluate cretostimogene in combination with other therapies, such as CPIs, to potentially further enhance its clinical utility across various stages of bladder cancer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September 30, 2023, cretostimogene had been administered in over 270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broad range of NMIBC risk profiles across multiple clinical trials and has been generally well tolerated with no Grade 4 or 5 TRAEs observed and one TRAE resulting in a patient discontinuation of pembrolizumab in the CORE-001 trial. Based on observed tolerability data to date, we plan to evaluate the safety and efficacy of cretostimogene in combination with other therapies in addition to our monotherapy trials. These include our ongoing Phase 2 CORE-001 trial in combination with pembrolizumab for BCG-unresponsive NMIBC, the combination portion of our planned CORE-008 multi-cohort trial in combination with a CPI in BCG-exposed and BCG-naïve NMIBC, and CORE-002, an ongoing exploratory investigator-sponsored single arm clinical trial in combination with nivolumab in MIBC. We believe our approach to combine cretostimogene with other therapeutics across several bladder cancer indications may potentially enhance the potential utility of our product candidate beyond our core strategy of targeting intermediate- and high-risk NMIBC via cretostimogene monotherapy.</w:t>
      </w:r>
    </w:p>
    <w:p>
      <w:pPr>
        <w:spacing w:after="0" w:line="98" w:lineRule="exact"/>
        <w:rPr>
          <w:rFonts w:ascii="Times New Roman" w:cs="Times New Roman" w:eastAsia="Times New Roman" w:hAnsi="Times New Roman"/>
          <w:sz w:val="18"/>
          <w:szCs w:val="18"/>
          <w:color w:val="auto"/>
        </w:rPr>
      </w:pPr>
    </w:p>
    <w:p>
      <w:pPr>
        <w:jc w:val="both"/>
        <w:ind w:left="1180" w:right="20" w:hanging="538"/>
        <w:spacing w:after="0" w:line="249" w:lineRule="auto"/>
        <w:tabs>
          <w:tab w:leader="none" w:pos="1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 our operational capabilities to successfully commercialize cretostimogene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we obtain FDA regulatory approval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cretostimogene, we intend to build in-house sales and marketing capabilities to commercialize cretostimogene in the United States. While the number of patients suffering from bladder cancer is large and growing, a high volume of patients is concentrated in a small number of high value targets and a significant portion of large urology practices including academic urology practices that are concentrated in a relatively small number of major metropolitan areas. We believe this concentration will potentially enable us to efficiently reach a large portion of our addressable market with a relatively small commercial footprint. Importantly, urology practices are already deeply familiar with IVE delivery of BCG in NMIBC patients. Cretostimogene is similarly administered via IVE in the clinic setting by a nurse or medical assistant, and therefore does not require urologists nor anesthesia. We believe this could drive increased physician adoption and improve patient experience versus alternative treatments that require urology practices to learn an entirely new and unfamiliar procedure or to transfer them to a medical oncologist for treatment and follow-up.</w:t>
      </w:r>
    </w:p>
    <w:p>
      <w:pPr>
        <w:spacing w:after="0" w:line="91" w:lineRule="exact"/>
        <w:rPr>
          <w:rFonts w:ascii="Times New Roman" w:cs="Times New Roman" w:eastAsia="Times New Roman" w:hAnsi="Times New Roman"/>
          <w:sz w:val="18"/>
          <w:szCs w:val="18"/>
          <w:color w:val="auto"/>
        </w:rPr>
      </w:pPr>
    </w:p>
    <w:p>
      <w:pPr>
        <w:jc w:val="both"/>
        <w:ind w:left="1180" w:hanging="538"/>
        <w:spacing w:after="0" w:line="250" w:lineRule="auto"/>
        <w:tabs>
          <w:tab w:leader="none" w:pos="1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Leverage our CMC expertise and relationships to scale commercialization efforts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established in-house CMC expertise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of individuals with oncolytic immunotherapy manufacturing experience, enhanced by an advisory board to help oversee our overall CMC strategic focus, while leveraging third parties for product manufacturing. We believe this approach will drive a high-yield manufacturing process capable of rapidly scaling to meet demand should cretostimogene receive FDA approval. We have established a world class CMC Advisory Board providing differentiated expertise in production and potential commercialization of cretostimogene. Our CMC Advisory Board represents former senior leadership from large pharmaceutical companies with deep experience in manufacturing at scale, as well as former FDA leadership. We believe our strategic CMC</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40"/>
          </w:cols>
          <w:pgMar w:left="320" w:top="451" w:right="5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1180"/>
        <w:spacing w:after="0" w:line="274" w:lineRule="auto"/>
        <w:rPr>
          <w:sz w:val="20"/>
          <w:szCs w:val="20"/>
          <w:color w:val="auto"/>
        </w:rPr>
      </w:pPr>
      <w:r>
        <w:rPr>
          <w:rFonts w:ascii="Times New Roman" w:cs="Times New Roman" w:eastAsia="Times New Roman" w:hAnsi="Times New Roman"/>
          <w:sz w:val="18"/>
          <w:szCs w:val="18"/>
          <w:color w:val="auto"/>
        </w:rPr>
        <w:t>approach will potentially enable us to maintain an attractive cost of goods while rapidly achieving commercial scalability, if cretostimogene receives FDA approval.</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Bladder Cancer</w:t>
      </w:r>
    </w:p>
    <w:p>
      <w:pPr>
        <w:spacing w:after="0" w:line="11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The human bladder, which functions in the storage and elimination of urine, is a hollow muscular organ composed of multiple tissue layers. As shown below, the inner wall of the bladder is the urothelium, or transitional epithelium. The interior space where urine collects is known as the bladder lumen. The internal side of the urothelium is lined by a glycosaminoglycan (GAG) membrane, which acts as a protective barrier from urine as well as infectious agents. Between the thick, detrusor muscular portion of the bladder wall and the urothelium is the lamina propria, which consists of connective tissue, blood vessels and nerves. A fatty connective tissue layer makes up the organ’s exterior surface, facing the rest of the body.</w:t>
      </w:r>
    </w:p>
    <w:p>
      <w:pPr>
        <w:spacing w:after="0" w:line="1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The Anatomy of the Bladder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167640</wp:posOffset>
            </wp:positionV>
            <wp:extent cx="5098415" cy="28689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98415" cy="286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220" w:firstLine="432"/>
        <w:spacing w:after="0" w:line="269" w:lineRule="auto"/>
        <w:rPr>
          <w:sz w:val="20"/>
          <w:szCs w:val="20"/>
          <w:color w:val="auto"/>
        </w:rPr>
      </w:pPr>
      <w:r>
        <w:rPr>
          <w:rFonts w:ascii="Times New Roman" w:cs="Times New Roman" w:eastAsia="Times New Roman" w:hAnsi="Times New Roman"/>
          <w:sz w:val="17"/>
          <w:szCs w:val="17"/>
          <w:color w:val="auto"/>
        </w:rPr>
        <w:t>The American Cancer Society estimates that in 2023, more than 82,000 people will be diagnosed with bladder cancer in the United States and that it will result in nearly 17,000 deaths. Notable is the disease prevalence with an estimated 725,000 people in the United States living with the disease. The relatively high prevalence rate is driven in part by chances of recurrence, which can be very high for NMIBC. It is estimated that approximately 31% to 78% of people with NMIBC will develop recurrence or a secondary bladder cancer within five years following treatment, depending on risk-factors. Bladder cancer is the sixth most common form of cancer in the United States, and men account for three-quarters of newly diagnosed cases. The global bladder cancer treatment market has been forecast to be approximately $9.9 billion by 2028, according to Evaluate Pharma.</w:t>
      </w:r>
    </w:p>
    <w:p>
      <w:pPr>
        <w:spacing w:after="0" w:line="169"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Bladder cancer is a heterogeneous disease and involves a number of different cancer sub-types. In the United States, the vast majority of patients with bladder cancer, accounting for approximately 90% of all diagnoses, have urothelial carcinoma (UC). UC is further segmented into two subtypes, papillary and non-papillary. Papillary UC involves tumors configured as finger-like projections extending from the transitional epithelium into the bladder lumen. Non-papillary, or flat, UC, which contains CIS, is restricted to the transitional epithelium, and is generally difficult to treat via resection. The 5% of bladder cancer that is not UC includes squamous cell carcinomas and adenocarcinomas.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20"/>
          </w:cols>
          <w:pgMar w:left="320" w:top="451" w:right="5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NMIBC is often used to describe earlier stage disease that has not reached the muscle wall. NMIBC accounts for approximately 75% of newly diagnosed patients, and includes three stages: CIS-containing tumors, Ta and T1. Ta and T1 are papillary UCs which have not spread beyond the lamina propria. T2 through T4 stage make up MIBC, indicative of more aggressive locally advanced and metastatic disease. Bladder cancer has metastasized in an estimated 5% of patients with newly diagnosed disease. The graphic presented below illustrates the differences in disease progression represented by these stages.</w:t>
      </w:r>
    </w:p>
    <w:p>
      <w:pPr>
        <w:spacing w:after="0" w:line="1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Bladder Cancer is Classified as either NMIBC or MIBC.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167640</wp:posOffset>
            </wp:positionV>
            <wp:extent cx="3660140" cy="26504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60140" cy="265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NMIBC may be further differentiated by the risk of progression to MIBC. NMIBC patients with high-grade Ta or T1 stage cancer, any cancer containing CIS (which can occur in any grade of NMIBC or MIBC), and large volume or recurrent Ta stage tumors are considered to be high-risk tumors. Approximately 40% of patients with NMIBC have high-risk disease. Intermediate-risk NMIBC includes mostly low-grade Ta tumors that reoccur within 12 months, solitary low-grade Ta tumors greater than three centimeters, multifocal low-grade Ta tumors, or high-grade Ta tumors less than or equal to three centimeters. Intermediate-risk NMIBC accounts for an estimated 30% of patients with NMIBC. Low-risk NMIBC consists of low-grade solitary Ta stage tumors and makes up the remaining 30% of NMIBC cases.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Current Treatment for NMIBC and its Limitations</w:t>
      </w:r>
    </w:p>
    <w:p>
      <w:pPr>
        <w:spacing w:after="0" w:line="113"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Regardless of risk stratification, treatment of NMIBC generally involves TURBT, a surgical procedure enabling the visual inspection and biopsy of the lesion along with removal of the cancerous cells allowing a patient with NMIBC to retain normal bladder function. Use of TURBT alone is associated with a five-year estimated recurrence rate of approximately 44% to 63%, and remains a backbone of early NMIBC treatment regimen. CIS-containing tumors cannot be resected using TURBT. Progression to a more advanced stage or grade subsequent to initial diagnosis is also commonly encountered. As such, in both high-risk and intermediate-risk NMIBC patients, surgical removal of NMIBC tumors through TURBT is often accompanied by the delivery of adjuvant BCG therapy or chemotherapy, through IVE delivery.</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40"/>
          </w:cols>
          <w:pgMar w:left="320" w:top="451" w:right="5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BCG therapy involves the use of a live, attenuated mycobacterium to induce a non-specific anti-tumor immune response in the bladder mucosa and provides meaningful therapeutic utility in the treatment of NMIBC. The use of BCG therapy following TURBT has exhibited sustained anti-tumor activity, with nearly 70% of patients experiencing a CR after an initial induction course of therapy. Despite BCG’s effectiveness, there is a significant global shortage of BCG as described below. In addition, approximately 50% of these patients will experience a recurrence of the tumor and few treatment options are available for patients who become unresponsive to BCG treatment.</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Patient Classification</w:t>
      </w:r>
    </w:p>
    <w:p>
      <w:pPr>
        <w:spacing w:after="0" w:line="115"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NMIBC is a heterogeneous disease with significant variation in individual risk of recurrence and progression to MIBC. In clinical practice, patients fall on a spectrum of high-risk NMIBC extending from BCG-naïve NMIBC, which refers to patients who haven’t received BCG treatment, at one end to BCG-unresponsive NMIBC at the other. Numerous iterations of guidelines on disease classification have evolved over time, primarily from medical industry groups such as the AUA. In February 2018, the FDA published guidance titled “BCG-Unresponsive Nonmuscle Invasive Bladder Cancer: Developing Drugs and Biologics for Treatment,” in order to assist sponsors in the development of drugs, including biologics, for the treatment of BCG-unresponsive NMIBC patients. The FDA guidance provides disease-state definitions and advice on patient selection, risk stratification, and clinical trial design in the BCG-unresponsive NMIBC patient population.</w:t>
      </w:r>
    </w:p>
    <w:p>
      <w:pPr>
        <w:spacing w:after="0" w:line="187"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According to the 2018 FDA guidance, BCG-unresponsive NMIBC is defined as being at least one of the following: (1) persistent or recurrent CIS alone or with recurrent Ta/T1 disease within 12 months of completion of adequate BCG therapy; (2) recurrent high-grade Ta/T1 disease within six months of completion of adequate BCG therapy; or (3) T1 high-grade disease at the first evaluation following an induction BCG course.</w:t>
      </w:r>
    </w:p>
    <w:p>
      <w:pPr>
        <w:spacing w:after="0" w:line="178"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In this context, adequate BCG therapy is defined as at least one of the following: (1) at least five of six doses of an initial induction course plus at least two of three doses of maintenance therapy, or (2) at least five of six doses of an initial induction course plus at least two of six doses of a second induction course.</w:t>
      </w:r>
    </w:p>
    <w:p>
      <w:pPr>
        <w:spacing w:after="0" w:line="178"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In between BCG-naïve and BCG-unresponsive NMIBC lies a disease state where patients do not meet the criteria for either definition called BCG-exposed, which describes a combination of disease states related to prior BCG treatment that are neither BCG-naïve nor BCG-unresponsive. The chart below shows the various treatment pathways leading patients to be classified as BCG-unresponsive or BCG-exposed.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141605</wp:posOffset>
            </wp:positionV>
            <wp:extent cx="5090160" cy="23812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90160" cy="238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20"/>
          </w:cols>
          <w:pgMar w:left="320" w:top="451" w:right="5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Patients will be classified as BCG-exposed in many cases including: (1) persistent or recurrent high-grade Ta or CIS-containing disease within three months of completion of adequate BCG therapy; (2) any high-risk recurrence after completion of adequate BCG therapy outside of the BCG-unresponsive window; or (3) any high-risk recurrence after completion of inadequate BCG therapy within a 24-month window.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 to AUA risk stratification guidelines, intermediate-risk NMIBC is defined as at least one of the following:</w:t>
      </w:r>
    </w:p>
    <w:p>
      <w:pPr>
        <w:spacing w:after="0" w:line="124" w:lineRule="exact"/>
        <w:rPr>
          <w:sz w:val="20"/>
          <w:szCs w:val="20"/>
          <w:color w:val="auto"/>
        </w:rPr>
      </w:pPr>
    </w:p>
    <w:p>
      <w:pPr>
        <w:ind w:left="1180" w:hanging="538"/>
        <w:spacing w:after="0"/>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Low-grade urothelial carcinoma</w:t>
      </w:r>
    </w:p>
    <w:p>
      <w:pPr>
        <w:spacing w:after="0" w:line="124" w:lineRule="exact"/>
        <w:rPr>
          <w:rFonts w:ascii="Times New Roman" w:cs="Times New Roman" w:eastAsia="Times New Roman" w:hAnsi="Times New Roman"/>
          <w:sz w:val="18"/>
          <w:szCs w:val="18"/>
          <w:color w:val="auto"/>
        </w:rPr>
      </w:pPr>
    </w:p>
    <w:p>
      <w:pPr>
        <w:ind w:left="1600" w:hanging="415"/>
        <w:spacing w:after="0"/>
        <w:tabs>
          <w:tab w:leader="none" w:pos="1600" w:val="left"/>
        </w:tabs>
        <w:numPr>
          <w:ilvl w:val="1"/>
          <w:numId w:val="52"/>
        </w:numPr>
        <w:rPr>
          <w:rFonts w:ascii="Wingdings" w:cs="Wingdings" w:eastAsia="Wingdings" w:hAnsi="Wingdings"/>
          <w:sz w:val="13"/>
          <w:szCs w:val="13"/>
          <w:b w:val="1"/>
          <w:bCs w:val="1"/>
          <w:color w:val="auto"/>
        </w:rPr>
      </w:pPr>
      <w:r>
        <w:rPr>
          <w:rFonts w:ascii="Times New Roman" w:cs="Times New Roman" w:eastAsia="Times New Roman" w:hAnsi="Times New Roman"/>
          <w:sz w:val="18"/>
          <w:szCs w:val="18"/>
          <w:color w:val="auto"/>
        </w:rPr>
        <w:t>Low-grade T1 disease</w:t>
      </w:r>
    </w:p>
    <w:p>
      <w:pPr>
        <w:spacing w:after="0" w:line="124" w:lineRule="exact"/>
        <w:rPr>
          <w:rFonts w:ascii="Wingdings" w:cs="Wingdings" w:eastAsia="Wingdings" w:hAnsi="Wingdings"/>
          <w:sz w:val="13"/>
          <w:szCs w:val="13"/>
          <w:b w:val="1"/>
          <w:bCs w:val="1"/>
          <w:color w:val="auto"/>
        </w:rPr>
      </w:pPr>
    </w:p>
    <w:p>
      <w:pPr>
        <w:ind w:left="1600" w:hanging="415"/>
        <w:spacing w:after="0"/>
        <w:tabs>
          <w:tab w:leader="none" w:pos="1600" w:val="left"/>
        </w:tabs>
        <w:numPr>
          <w:ilvl w:val="1"/>
          <w:numId w:val="52"/>
        </w:numPr>
        <w:rPr>
          <w:rFonts w:ascii="Wingdings" w:cs="Wingdings" w:eastAsia="Wingdings" w:hAnsi="Wingdings"/>
          <w:sz w:val="13"/>
          <w:szCs w:val="13"/>
          <w:b w:val="1"/>
          <w:bCs w:val="1"/>
          <w:color w:val="auto"/>
        </w:rPr>
      </w:pPr>
      <w:r>
        <w:rPr>
          <w:rFonts w:ascii="Times New Roman" w:cs="Times New Roman" w:eastAsia="Times New Roman" w:hAnsi="Times New Roman"/>
          <w:sz w:val="18"/>
          <w:szCs w:val="18"/>
          <w:color w:val="auto"/>
        </w:rPr>
        <w:t>Solitary low-grade Ta disease &gt; 3 cm</w:t>
      </w:r>
    </w:p>
    <w:p>
      <w:pPr>
        <w:spacing w:after="0" w:line="124" w:lineRule="exact"/>
        <w:rPr>
          <w:rFonts w:ascii="Wingdings" w:cs="Wingdings" w:eastAsia="Wingdings" w:hAnsi="Wingdings"/>
          <w:sz w:val="13"/>
          <w:szCs w:val="13"/>
          <w:b w:val="1"/>
          <w:bCs w:val="1"/>
          <w:color w:val="auto"/>
        </w:rPr>
      </w:pPr>
    </w:p>
    <w:p>
      <w:pPr>
        <w:ind w:left="1600" w:hanging="415"/>
        <w:spacing w:after="0"/>
        <w:tabs>
          <w:tab w:leader="none" w:pos="1600" w:val="left"/>
        </w:tabs>
        <w:numPr>
          <w:ilvl w:val="1"/>
          <w:numId w:val="52"/>
        </w:numPr>
        <w:rPr>
          <w:rFonts w:ascii="Wingdings" w:cs="Wingdings" w:eastAsia="Wingdings" w:hAnsi="Wingdings"/>
          <w:sz w:val="13"/>
          <w:szCs w:val="13"/>
          <w:b w:val="1"/>
          <w:bCs w:val="1"/>
          <w:color w:val="auto"/>
        </w:rPr>
      </w:pPr>
      <w:r>
        <w:rPr>
          <w:rFonts w:ascii="Times New Roman" w:cs="Times New Roman" w:eastAsia="Times New Roman" w:hAnsi="Times New Roman"/>
          <w:sz w:val="18"/>
          <w:szCs w:val="18"/>
          <w:color w:val="auto"/>
        </w:rPr>
        <w:t>Multifocal low-grade Ta disease</w:t>
      </w:r>
    </w:p>
    <w:p>
      <w:pPr>
        <w:spacing w:after="0" w:line="124" w:lineRule="exact"/>
        <w:rPr>
          <w:rFonts w:ascii="Wingdings" w:cs="Wingdings" w:eastAsia="Wingdings" w:hAnsi="Wingdings"/>
          <w:sz w:val="13"/>
          <w:szCs w:val="13"/>
          <w:b w:val="1"/>
          <w:bCs w:val="1"/>
          <w:color w:val="auto"/>
        </w:rPr>
      </w:pPr>
    </w:p>
    <w:p>
      <w:pPr>
        <w:ind w:left="1600" w:hanging="415"/>
        <w:spacing w:after="0"/>
        <w:tabs>
          <w:tab w:leader="none" w:pos="1600" w:val="left"/>
        </w:tabs>
        <w:numPr>
          <w:ilvl w:val="1"/>
          <w:numId w:val="52"/>
        </w:numPr>
        <w:rPr>
          <w:rFonts w:ascii="Wingdings" w:cs="Wingdings" w:eastAsia="Wingdings" w:hAnsi="Wingdings"/>
          <w:sz w:val="13"/>
          <w:szCs w:val="13"/>
          <w:b w:val="1"/>
          <w:bCs w:val="1"/>
          <w:color w:val="auto"/>
        </w:rPr>
      </w:pPr>
      <w:r>
        <w:rPr>
          <w:rFonts w:ascii="Times New Roman" w:cs="Times New Roman" w:eastAsia="Times New Roman" w:hAnsi="Times New Roman"/>
          <w:sz w:val="18"/>
          <w:szCs w:val="18"/>
          <w:color w:val="auto"/>
        </w:rPr>
        <w:t>Recurrent low-grade Ta disease within 1 year</w:t>
      </w:r>
    </w:p>
    <w:p>
      <w:pPr>
        <w:spacing w:after="0" w:line="124" w:lineRule="exact"/>
        <w:rPr>
          <w:rFonts w:ascii="Wingdings" w:cs="Wingdings" w:eastAsia="Wingdings" w:hAnsi="Wingdings"/>
          <w:sz w:val="13"/>
          <w:szCs w:val="13"/>
          <w:b w:val="1"/>
          <w:bCs w:val="1"/>
          <w:color w:val="auto"/>
        </w:rPr>
      </w:pPr>
    </w:p>
    <w:p>
      <w:pPr>
        <w:ind w:left="1180" w:hanging="538"/>
        <w:spacing w:after="0"/>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High-grade urothelial carcinoma</w:t>
      </w:r>
    </w:p>
    <w:p>
      <w:pPr>
        <w:spacing w:after="0" w:line="124" w:lineRule="exact"/>
        <w:rPr>
          <w:rFonts w:ascii="Times New Roman" w:cs="Times New Roman" w:eastAsia="Times New Roman" w:hAnsi="Times New Roman"/>
          <w:sz w:val="18"/>
          <w:szCs w:val="18"/>
          <w:color w:val="auto"/>
        </w:rPr>
      </w:pPr>
    </w:p>
    <w:p>
      <w:pPr>
        <w:ind w:left="1600" w:hanging="415"/>
        <w:spacing w:after="0"/>
        <w:tabs>
          <w:tab w:leader="none" w:pos="1600" w:val="left"/>
        </w:tabs>
        <w:numPr>
          <w:ilvl w:val="1"/>
          <w:numId w:val="52"/>
        </w:numPr>
        <w:rPr>
          <w:rFonts w:ascii="Wingdings" w:cs="Wingdings" w:eastAsia="Wingdings" w:hAnsi="Wingdings"/>
          <w:sz w:val="13"/>
          <w:szCs w:val="13"/>
          <w:b w:val="1"/>
          <w:bCs w:val="1"/>
          <w:color w:val="auto"/>
        </w:rPr>
      </w:pPr>
      <w:r>
        <w:rPr>
          <w:rFonts w:ascii="Times New Roman" w:cs="Times New Roman" w:eastAsia="Times New Roman" w:hAnsi="Times New Roman"/>
          <w:sz w:val="18"/>
          <w:szCs w:val="18"/>
          <w:color w:val="auto"/>
        </w:rPr>
        <w:t>Solitary High-grade Ta ≤ 3cm</w:t>
      </w:r>
    </w:p>
    <w:p>
      <w:pPr>
        <w:spacing w:after="0" w:line="3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Limited Treatment Options for High-risk BCG-unresponsive NMIBC Patients</w:t>
      </w:r>
    </w:p>
    <w:p>
      <w:pPr>
        <w:spacing w:after="0" w:line="115"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While BCG has been the standard adjuvant therapy for high-risk NMIBC after TURBT, BCG is not without its limitations; it is estimated that approximately 50% of patients eventually develop tumor recurrence. While a subset of these patients will respond to a second round of BCG induction therapy, few treatment options are available to those who are BCG-unresponsive. IVE-delivery of chemotherapy has demonstrated limited benefit. The CR rate reported for valrubicin, the only approved chemotherapy for BCG-refractory patients, is 18% at six months. CIS-containing tumors are typically not considered resectable, further limiting treatment options for BCG-unresponsive patients. Failure to achieve a CR is associated with an increased risk of death or a disease-worsening event. As such, the use of valrubicin in this setting has not been widely adopted.</w:t>
      </w:r>
    </w:p>
    <w:p>
      <w:pPr>
        <w:spacing w:after="0" w:line="185"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In January 2020, pembrolizumab, sold by Merck, was approved by the FDA to treat high-risk BCG-unresponsive NMIBC as monotherapy based on the results of the KEYNOTE-057 Phase 2 clinical trial. In the cohort of participants with CIS-stage tumors, with or without papillary tumors, 39 of 96 patients, or 41%, had a CR at 3 months, with the median duration of response being 16.2 months. The percentage of trial participants with a CR declined to 19% at 12 months. Among the trial cohort involving BCG-unresponsive, high-risk non-CIS papillary tumors the 12-month disease free survival (DFS) rate was 43.5% with a median DFS of 7.7 months. Patients in KEYNOTE-057 were administered systemic pembrolizumab by a medical oncologist by infusion every 3 weeks for up to 24 months or until disease persistence, recurrence, progression, unacceptable toxic effects, or withdrawal of consent. Across both trial cohorts, Grade 3 or 4 toxicities were observed in 13% of participants, of which the most common were hyponatremia and arthralgia. Serious treatment-related adverse events were noted in 8% of patients, including but not limited to colitis, autoimmune nephritis, hyperthyroidism, lymphocyte count decrease, pulmonary embolism, and syncope. Seven percent of patients discontinued due to TRAEs (cholestatic hepatitis, hyponatremia, nephritis, and type 1 diabetes mellitus).</w:t>
      </w:r>
    </w:p>
    <w:p>
      <w:pPr>
        <w:spacing w:after="0" w:line="193"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Nadofaragene firadenovec (nadofaragene), a non-replicating adenoviral-based gene therapy produced by Ferring that activates interferon a2b, was approved by the FDA in December 2022 to treat high-risk BCG-unresponsive NMIBC CIS-stage, with or without papillary tumors. In a Phase 3 clinical trial evaluating nadofaragene for the treatment BCG-unresponsive NMIBC, 51% of patients achieved a CR and 24% of patients maintained a CR at 12 months. Grade 3 or 4 treatment-related adverse events occurred in 4% of patients, including micturition urgency, bladder spasms, urinary incontinence, syncope, and hypertension. Serious treatment-related adverse events were reported in 2% of patients (syncope, sepsis, and hematuria). In September 2023, Ferring announced that it dosed the first bladder cancer patient with commercially available nadofaragene as part of their limited-release commercial launch as they increase manufacturing capacity.</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20"/>
          </w:cols>
          <w:pgMar w:left="320" w:top="451" w:right="5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Based in part on a retrospective analysis of high-risk NMIBC patients, combination chemotherapy of gemcitabine and docetaxel are used in practice, although these drugs have not received FDA approval for this indication.</w:t>
      </w:r>
    </w:p>
    <w:p>
      <w:pPr>
        <w:spacing w:after="0" w:line="163"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Given the significant unmet medical need, several additional potential treatments for NMIBC are in various stages of clinical development and regulatory approval. There are multiple companies that have reported drug candidates in clinical development. For example, ImmunityBio Inc.’s N-803 is an IVE-delivered IL-15 agonist delivered in combination with BCG. N-803’s regulatory application received a complete response letter from the FDA due to deficiencies in pre-license inspections of the company’s third-party manufacturers. In addition, Urogen Pharma, Inc.’s UGN-102 is an IVE-delivered DNA synthesis inhibitor, mitomycin, in gel formulation for treatment of low-grade intermediate-risk BCG-naïve NMIBC. Janssen Pharmaceuticals, Inc.’s TAR-200 is a drug delivery system administered via cystoscopic procedure every three weeks for the first 24 weeks (administered by a urologist in a procedure room under local anesthesia) with a continuous controlled-release dose of gemcitabine for treatment of BCG-unresponsive NMIBC. enGene, Inc.’s EG-70 is an IVE-delivered IL-2 and RIG-I dual-agonist.</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Patient Aversion to Complete Removal of the Bladder as well as Underlying Mortality Risk</w:t>
      </w:r>
    </w:p>
    <w:p>
      <w:pPr>
        <w:spacing w:after="0" w:line="11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Radical cystectomy, or the complete removal of the bladder, remains the standard of care for high-risk BCG-unresponsive NMIBC patients, but commonly requires an ostomy appliance for urinary diversion. Despite being the standard of care, only approximately 6% of high-risk BCG-unresponsive NMIBC patients elect to have a radical cystectomy. This hesitancy is associated with significant social, functional and emotional burden. Cystectomy and the radical change in daily routine required often results in diminished body image perception. While the physical and functional trauma may subside, the psychological and emotional burden associated with the consequences of the surgery, which may extend to a patient’s caregivers and healthcare providers, remain. In addition, the procedure is associated with high degrees of morbidity and mortality. Approximately 64% of patients undergoing a radical cystectomy experience complications, with approximately 26% of patients requiring readmission for surgery-related complications and an overall readmission rate estimated to be between 20% and 29%. Moreover, the mortality rate within 90 days of the procedure is between 2% and 5%, likely associated with the more advanced age of many bladder cancer patients.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Chronic Short Supply of BCG is Expected to Persist for Years</w:t>
      </w:r>
    </w:p>
    <w:p>
      <w:pPr>
        <w:spacing w:after="0" w:line="11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A key current issue with BCG is that continual production shortages have left many urological practices in need of an effective and readily available alternative first-line treatment. The production of BCG therapy involves a lengthy and complex manufacturing process and is produced for both the United States and most international markets by a single manufacturer, Merck. In 2017, Sanofi discontinued production of Connaught BCG after a history in challenges producing the product, including a shutdown following a 2011 FDA inspection of documented nonconformances including isolation of mold within the BCG aseptic processing areas, which further exacerbated the overall availability of BCG in the United States. While there are other options globally for BCG, none of the options are available in the United States, except for the TICE BCG strain manufactured by Merck. A randomized controlled, head-to-head trial may be needed to fully examine the impact of different BCG strains on clinical outcomes for bladder cancer patients.</w:t>
      </w:r>
    </w:p>
    <w:p>
      <w:pPr>
        <w:spacing w:after="0" w:line="190"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BCG has been in short supply for over ten years as demand has outpaced available production capacity. In light of these supply constraints, the use of BCG therapy as induction therapy has been restricted to BCG-naïve, high-grade T1 or CIS-containing NMIBC patients only, with maintenance therapy limited to 12 months. The NCCN and AUC/SOC guidelines no longer recommend BCG therapy for intermediate-risk NMIBC, instead indicating that BCG should be prioritized for high-risk NMIBC patients only. Moreover, even among BCG-eligible patients, drug shortages have in some cases necessitated a reduction from a full-dose course of treatment.</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20"/>
          </w:cols>
          <w:pgMar w:left="320" w:top="451" w:right="5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firstLine="432"/>
        <w:spacing w:after="0" w:line="271" w:lineRule="auto"/>
        <w:rPr>
          <w:sz w:val="20"/>
          <w:szCs w:val="20"/>
          <w:color w:val="auto"/>
        </w:rPr>
      </w:pPr>
      <w:r>
        <w:rPr>
          <w:rFonts w:ascii="Times New Roman" w:cs="Times New Roman" w:eastAsia="Times New Roman" w:hAnsi="Times New Roman"/>
          <w:sz w:val="17"/>
          <w:szCs w:val="17"/>
          <w:color w:val="auto"/>
        </w:rPr>
        <w:t>In October 2020, Merck announced plans to build an additional BCG manufacturing site and has stated that construction is underway, and the new facility is on track to be completed between late 2025 and late 2026. The current market is only producing 69% of the estimated BCG need based on 2018 baseline volume; even with additional supply, the annual supply gap could be significant. We believe that disease recurrence after BCG therapy, together with current and anticipated ongoing supply shortages, highlights a significant unmet medical need for alternative NMIBC therapeutics which are both safe and efficacious, particularly in the intermediate- and high-risk NMIBC patient populations for whom BCG therapy is not available.</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Significant Barriers Exist in Development and Adoption of New Treatments for NMIBC</w:t>
      </w:r>
    </w:p>
    <w:p>
      <w:pPr>
        <w:spacing w:after="0" w:line="115"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Treatments that require administrative methods differing from BCG, such as requirements for operating/procedure room time under anesthesia or intravenous (IV) administration, may limit physician adoption, particularly in community urology practices. Further, we believe any treatment seeking to replace or compete with TURBT in intermediate-risk NMIBC will face slow adoption given TURBT’s place as a cornerstone treatment for urology practices, driving a significant portion of providers’ economics. In addition, treatments leveraging chemotherapies have demonstrated tolerability challenges and adverse events that limit their potential to be combined with other therapeutic agents to further enhance the efficacy profile. Cretostimogene’s administration, which is similar to BCG, could offer convenience for urology practice adoption that will potentially allow cretostimogene to become a backbone therapy across several bladder cancer indications, if successfully developed and approved.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Cretostimogene: Our Product Candidate for Intermediate- and High-Risk NMIBC</w:t>
      </w:r>
    </w:p>
    <w:p>
      <w:pPr>
        <w:spacing w:after="0" w:line="113" w:lineRule="exact"/>
        <w:rPr>
          <w:sz w:val="20"/>
          <w:szCs w:val="20"/>
          <w:color w:val="auto"/>
        </w:rPr>
      </w:pPr>
    </w:p>
    <w:p>
      <w:pPr>
        <w:jc w:val="both"/>
        <w:ind w:left="220" w:right="20" w:firstLine="432"/>
        <w:spacing w:after="0" w:line="269" w:lineRule="auto"/>
        <w:rPr>
          <w:sz w:val="20"/>
          <w:szCs w:val="20"/>
          <w:color w:val="auto"/>
        </w:rPr>
      </w:pPr>
      <w:r>
        <w:rPr>
          <w:rFonts w:ascii="Times New Roman" w:cs="Times New Roman" w:eastAsia="Times New Roman" w:hAnsi="Times New Roman"/>
          <w:sz w:val="17"/>
          <w:szCs w:val="17"/>
          <w:color w:val="auto"/>
        </w:rPr>
        <w:t>Cretostimogene is an investigational engineered oncolytic immunotherapy that has been designed both to eliminate cancer cells directly by selective replication within cancer cells and indirectly activating an anti-tumor immune response. Our ongoing open-label Phase 3 clinical trial, BOND-003, is designed to assess the safety and efficacy of cretostimogene in high-risk BCG-unresponsive NMIBC when administered as a monotherapy. We have completed patient enrollment in the 116-patient BOND-003 trial and expect to report topline data by        . We are also evaluating the safety and efficacy of cretostimogene when used in combination with pembrolizumab in CORE-001, our open-label Phase 2 clinical trial in this same patient population. We believe the clinical trial results observed to date reflect the differentiated therapeutic potential of cretostimogene.</w:t>
      </w:r>
    </w:p>
    <w:p>
      <w:pPr>
        <w:spacing w:after="0" w:line="169"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Cretostimogene has shown clinical benefit and has been generally well-tolerated as both a monotherapy and in combination in clinical trials to date. In BOND-002, our completed Phase 2 clinical trial which evaluated the use of cretostimogene as monotherapy to treat patients with high-risk NMIBC who had failed BCG therapy, 65% of the 46 patients with CIS-containing NMIBC achieved a CR at any time after the administration of cretostimogene. Cretostimogene has also demonstrated clinical activity when administered in combination with pembrolizumab to patients with high risk, BCG-unresponsive NMIBC in our ongoing Phase 2 CORE-001 open-label clinical trial. In this trial, 29 of the 34 (85%) patients evaluable as of the March 3, 2023 data cutoff achieved a CR after an initial induction therapy, with 82% (n=27/33) of evaluable patients maintain a CR at six months, and 68% (n=17/25) of evaluable patients maintaining a CR at 12 months. As of September 30, 2023, cretostimogene has been administered in over 270 patients during clinical trial investigations, and has been generally well tolerated with no Grade 4 or 5 TRAEs observed and no treatment-related study discontinuations. Only one TRAE has led to a patient discontinuation of pembrolizumab in the CORE-001 trial.</w:t>
      </w:r>
    </w:p>
    <w:p>
      <w:pPr>
        <w:spacing w:after="0" w:line="187"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We initiated PIVOT-006 in        , which is a randomized Phase 3 clinical trial designed to assess the safety and efficacy of adjuvant cretostimogene in intermediate-risk NMIBC patients following TURBT. We also intend to initiate CORE-008, which is an open-label multi-cohort Phase 2 clinical trial designed to assess the safety and efficacy of cretostimogene when administered as monotherapy and in combination with a CPI including (1) high-risk NMIBC patients categorized as BCG-exposed but not yet designated unresponsive, and (2) high-risk NMIBC patients categorized as BCG-naïve.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40"/>
          </w:cols>
          <w:pgMar w:left="320" w:top="451" w:right="5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ongoing and planned clinical trials and the specific NMIBC patient population to be evaluated are presented in the following chart.</w:t>
      </w:r>
    </w:p>
    <w:p>
      <w:pPr>
        <w:spacing w:after="0" w:line="21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i w:val="1"/>
          <w:iCs w:val="1"/>
          <w:color w:val="auto"/>
        </w:rPr>
        <w:t>Clinical Trials are Ongoing or Planned to Evaluate Cretostimogene in a Range of NMIBC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167640</wp:posOffset>
            </wp:positionV>
            <wp:extent cx="5090160" cy="20866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90160" cy="208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220" w:right="20" w:firstLine="432"/>
        <w:spacing w:after="0" w:line="269" w:lineRule="auto"/>
        <w:rPr>
          <w:sz w:val="20"/>
          <w:szCs w:val="20"/>
          <w:color w:val="auto"/>
        </w:rPr>
      </w:pPr>
      <w:r>
        <w:rPr>
          <w:rFonts w:ascii="Times New Roman" w:cs="Times New Roman" w:eastAsia="Times New Roman" w:hAnsi="Times New Roman"/>
          <w:sz w:val="17"/>
          <w:szCs w:val="17"/>
          <w:color w:val="auto"/>
        </w:rPr>
        <w:t>We believe NMIBC patients with BCG-unresponsive disease are unlikely to benefit from further BCG therapy. Additionally, given the patient burden and mortality associated with cystectomy, bladder preservation through the avoidance or delay of cystectomy is an intended outcome of new therapeutic product candidates for bladder cancer. We believe our approach is supported by the February 2018 FDA guidance regarding clinical trial design targeting a BCG-unresponsive, CIS-containing NMIBC patients states that a single-arm trial that assesses CR rate as the primary endpoint, taking DOR into account, may be appropriate for full approval, or may require a confirmatory trial after accelerated approval. As of September 30, 2023, there were two products that have received full FDA approval based on data from single-arm clinical trials following the issuance of the guidance.</w:t>
      </w: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Cretostimogene Grenadenorepvec</w:t>
      </w:r>
    </w:p>
    <w:p>
      <w:pPr>
        <w:spacing w:after="0" w:line="115"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Cretostimogene is an investigational engineered, conditionally replicating oncolytic immunotherapy that has been designed to preferentially replicate in retinoblastoma (Rb) gene pathway defective cells present in the majority of urothelial carcinomas and trigger an anti-tumor immune response. Cretostimogene enters the tumor by binding to Coxsackievirus and Adenovirus Receptors (CAR) present in specialized intracellular junctions and tight junctions of polarized epithelial cells.</w:t>
      </w:r>
    </w:p>
    <w:p>
      <w:pPr>
        <w:spacing w:after="0" w:line="180"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There are two modifications made to cretostimogene for tumor selectivity and potency. The first modification is the insertion of an E2F-1 promoter in cretostimogene which acts as a safety mechanism to selectively replicate and lyse Rb-defective tumor cells rather than healthy cells which have intact Rb pathways. The second modification is the insertion of the gene for the cytokine granulocyte-macrophage colony stimulation factor (GM-CSF). GM-CSF is widely recognized as a potent stimulator of longer-term anti-tumor activity and we believe its addition to the viral construct may both prime the immune system and induce tumor-specific immunity. Replication and lysis of Rb-defective tumor cells by cretostimogene may trigger an immunogenic cell death that stimulates an anti-tumor immune response.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40"/>
          </w:cols>
          <w:pgMar w:left="320" w:top="451" w:right="5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Comparison of Wild-Type Adenovirus and Our Cretostimogene Constructs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167640</wp:posOffset>
            </wp:positionV>
            <wp:extent cx="5098415" cy="2086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98415" cy="208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i w:val="1"/>
          <w:iCs w:val="1"/>
          <w:color w:val="auto"/>
        </w:rPr>
        <w:t>Overview of Cretostimogene’s Replication Selectivity in Healthy Versus Cancerous Cells with Defective Rb-Pathway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167640</wp:posOffset>
            </wp:positionV>
            <wp:extent cx="5090160" cy="28689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90160" cy="286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Cretostimogene Administration</w:t>
      </w:r>
    </w:p>
    <w:p>
      <w:pPr>
        <w:spacing w:after="0" w:line="115"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Prior to the administration of cretostimogene, patients undergo a saline wash and are then pretreated with n-Dodecyl-ß-D-maltoside (DDM) through IVE delivery. DDM is a mild detergent and solubilizing agent used to attenuate the GAG lining of the transitional epithelium and enhance transduction efficiency of adenovirus by urothelial cells. Following DDM wash/dwell and GAG layer attenuation, cretostimogene is IVE-delivered via a catheter. This administration process does not require operating room time nor placement of the patient under anesthesia. Furthermore, this is a similar route of administration as standard-of-care BCG therapy, which urology</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20"/>
          </w:cols>
          <w:pgMar w:left="320" w:top="451" w:right="5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practices perform regularly and, thus, we believe will require limited provider re-training versus other NMIBC treatment approaches.</w:t>
      </w: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Overview of Cretostimogene’s IVE Administration into the Bladder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167640</wp:posOffset>
            </wp:positionV>
            <wp:extent cx="5090160" cy="28606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90160" cy="286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Cretostimogene Clinical Development</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Cretostimogene Monotherapy for High-risk CIS-containing NMIBC after BCG Failure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BOND-002 Trial Design</w:t>
      </w:r>
    </w:p>
    <w:p>
      <w:pPr>
        <w:spacing w:after="0" w:line="113" w:lineRule="exact"/>
        <w:rPr>
          <w:sz w:val="20"/>
          <w:szCs w:val="20"/>
          <w:color w:val="auto"/>
        </w:rPr>
      </w:pPr>
    </w:p>
    <w:p>
      <w:pPr>
        <w:jc w:val="both"/>
        <w:ind w:left="220" w:firstLine="432"/>
        <w:spacing w:after="0" w:line="226" w:lineRule="auto"/>
        <w:rPr>
          <w:sz w:val="20"/>
          <w:szCs w:val="20"/>
          <w:color w:val="auto"/>
        </w:rPr>
      </w:pPr>
      <w:r>
        <w:rPr>
          <w:rFonts w:ascii="Times New Roman" w:cs="Times New Roman" w:eastAsia="Times New Roman" w:hAnsi="Times New Roman"/>
          <w:sz w:val="18"/>
          <w:szCs w:val="18"/>
          <w:color w:val="auto"/>
        </w:rPr>
        <w:t>The BOND-002 trial was a Phase 2, open-label, single-arm clinical trial of cretostimogene in patients with high-risk NMIBC after BCG failure. Cretostimogene was administered intravesically at 1 x 10</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viral particles (VPs) per milliliter to high-risk CIS-containing NMIBC patients, with or without Ta/T1 tumors, and a group of patients with only Ta/T1, that were categorized as having failed BCG therapy and refused radical cystectomy. The trial included a heterogenous mixture of BCG-exposed and BCG-unresponsive patients.</w:t>
      </w:r>
    </w:p>
    <w:p>
      <w:pPr>
        <w:spacing w:after="0" w:line="194"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In this study, 46 CIS patients, with or without Ta/T1 disease, and 19 patients with Ta/T1 disease were enrolled. Patients received an initial induction course of six weekly administrations. Patients who achieved a CR at month six received six weekly maintenance doses of cretostimogene using the same concentration. Patients that did not respond to the first induction course were provided a second induction course at month three with no maintenance doses provided at month six. Six weekly follow up doses were then administered at months 12 and 18. In this trial, CR rates were evaluated at various timepoints throughout the study.</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Response Data in BOND-002 Trial</w:t>
      </w:r>
    </w:p>
    <w:p>
      <w:pPr>
        <w:spacing w:after="0" w:line="113"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Among the 46 patients with high-risk CIS-containing NMIBC, 30 (65%) patients displayed a CR at any time subsequent to administration of cretostimogene. Four out of 10 (40.0%) patients who did not achieve CR at three months, and who were subsequently reinduced with cretostimogene at three months demonstrated CR at six months. The DOR to treatment was also notable, with 44% and 28% of patients demonstrating a CR at six months and 12 months, respectively. The results of BOND-002 are summarized below.</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20"/>
          </w:cols>
          <w:pgMar w:left="320" w:top="451" w:right="5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CR Data from BOND-002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167640</wp:posOffset>
            </wp:positionV>
            <wp:extent cx="5098415" cy="8915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984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Safety Data in BOND-002 Trial</w:t>
      </w: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Safety and Tolerability Data from BOND-002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167640</wp:posOffset>
            </wp:positionV>
            <wp:extent cx="5090160" cy="17329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90160" cy="173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7"/>
          <w:szCs w:val="17"/>
          <w:color w:val="auto"/>
        </w:rPr>
        <w:t>In addition to the 65 patients enrolled per the trial protocol, the safety results above included three additional patients, two who were dosed with cretostimogene for compassionate, single-use patient INDs and one more determined not to have baseline NMIBC retrospectively. Cretostimogene was generally well-tolerated and most TRAEs were limited to Grade 1 to 2, only two Grade 3 TRAEs involving dysuria and hypotension (both of which were resolved), and no Grade 4 or 5 TRAEs. Furthermore, eight severe adverse events were reported but were determined not related to cretostimogene.</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BOND-003 Trial Design</w:t>
      </w:r>
    </w:p>
    <w:p>
      <w:pPr>
        <w:spacing w:after="0" w:line="11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BOND-003 is a global, open-label, single-arm Phase 3 clinical trial enrolling 116 patients designed to evaluate the safety and efficacy of cretostimogene as monotherapy in the treatment of patients that have received adequate BCG therapy with high-risk BCG-unresponsive, CIS-containing NMIBC and BCG-unresponsive Ta or T1 papillary tumors. We designed this trial in light of the 2018 FDA guidance which defines BCG-unresponsive disease states and says that single-arm trials that assess CR rate as the primary endpoint, taking DOR into account, may be appropriate for full approval or may require a confirmatory trial following accelerated approval.</w:t>
      </w:r>
    </w:p>
    <w:p>
      <w:pPr>
        <w:spacing w:after="0" w:line="185" w:lineRule="exact"/>
        <w:rPr>
          <w:sz w:val="20"/>
          <w:szCs w:val="20"/>
          <w:color w:val="auto"/>
        </w:rPr>
      </w:pPr>
    </w:p>
    <w:p>
      <w:pPr>
        <w:jc w:val="both"/>
        <w:ind w:left="220" w:firstLine="432"/>
        <w:spacing w:after="0" w:line="232" w:lineRule="auto"/>
        <w:rPr>
          <w:sz w:val="20"/>
          <w:szCs w:val="20"/>
          <w:color w:val="auto"/>
        </w:rPr>
      </w:pPr>
      <w:r>
        <w:rPr>
          <w:rFonts w:ascii="Times New Roman" w:cs="Times New Roman" w:eastAsia="Times New Roman" w:hAnsi="Times New Roman"/>
          <w:sz w:val="18"/>
          <w:szCs w:val="18"/>
          <w:color w:val="auto"/>
        </w:rPr>
        <w:t>The initial induction course of therapy is six weekly doses of cretostimogene containing 1 x 10</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VPs per milliliter. Patients who achieve a CR at month three receive maintenance treatments, involving three weekly cretostimogene doses administered at the same concentration every three months for the first 12 months with a fifth and final course of therapy administered at 18 months. Patients who do not achieve a CR after the first induction course may receive a second induction course of six weekly cretostimogene treatments at month 3, rather than the maintenance course involving three weekly treatments. The primary endpoint of the BOND-003 trial is CR at any time subsequent to induction. We have completed enrollment for this trial and expect to report topline data by          . We intend to enroll an additional cohort to evaluate the safety and efficacy of</w:t>
      </w:r>
    </w:p>
    <w:p>
      <w:pPr>
        <w:spacing w:after="0" w:line="1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20"/>
          </w:cols>
          <w:pgMar w:left="320" w:top="451" w:right="5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cretostimogene as a monotherapy in the treatment of patients with high-risk BCG-unresponsive NMIBC, high-grade Ta or T1 without CIS that have received adequate BCG therapy. The primary endpoint of this cohort is overall DFS, with secondary endpoints including DFS at 12-months, progression-free survival (PFS) to worsening of grade, stage or death, and PFS to muscle invasion, metastasis or death. DFS is based on time from treatment until disease relapse.</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Combination of Cretostimogene Plus Pembrolizumab for High-risk BCG-unresponsive CIS-containing NMIBC</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CORE-001 Trial Design</w:t>
      </w:r>
    </w:p>
    <w:p>
      <w:pPr>
        <w:spacing w:after="0" w:line="113" w:lineRule="exact"/>
        <w:rPr>
          <w:sz w:val="20"/>
          <w:szCs w:val="20"/>
          <w:color w:val="auto"/>
        </w:rPr>
      </w:pPr>
    </w:p>
    <w:p>
      <w:pPr>
        <w:jc w:val="both"/>
        <w:ind w:left="220" w:firstLine="432"/>
        <w:spacing w:after="0" w:line="238" w:lineRule="auto"/>
        <w:rPr>
          <w:sz w:val="20"/>
          <w:szCs w:val="20"/>
          <w:color w:val="auto"/>
        </w:rPr>
      </w:pPr>
      <w:r>
        <w:rPr>
          <w:rFonts w:ascii="Times New Roman" w:cs="Times New Roman" w:eastAsia="Times New Roman" w:hAnsi="Times New Roman"/>
          <w:sz w:val="18"/>
          <w:szCs w:val="18"/>
          <w:color w:val="auto"/>
        </w:rPr>
        <w:t>CORE-001 is a Phase 2 single-arm, open-label clinical trial of cretostimogene administered in up to 35 patients with high risk, BCG-unresponsive NMIBC that have CIS-containing tumors, in combination with pembrolizumab. Patients that demonstrate a CR after an initial six-week induction phase of weekly cretostimogene administrations, dosed at a concentration of 1 x 10</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VP per milliliter, who also receive two, 400 mg doses of pembrolizumab over three months, are given a maintenance course of three weekly doses of cretostimogene at an equivalent VP concentration, along with two doses of pembrolizumab for three months. Trial participants that do not respond to an initial induction course are eligible to receive a second induction course of six weekly administrations over the following three-month period. During the following six months, patients are provided three weekly doses of cretostimogene every three months for six months, in addition to pembrolizumab every six weeks, with longer-term follow up administration of three weekly doses every six months for 12 months, along with pembrolizumab every 6 weeks. The primary endpoints of the CORE-001 trial is CR at 12 months, with a secondary endpoint of CR any time. We have entered into a clinical trial collaboration and supply agreement with Merck providing at no-cost supply of pembrolizumab for use in CORE-001 (which agreement also provides for the joint ownership of clinical trial data but has no additional financial obligations and terminates upon conclusion of the trial).</w:t>
      </w:r>
    </w:p>
    <w:p>
      <w:pPr>
        <w:spacing w:after="0" w:line="19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dosing schedule of cretostimogene in CORE-001 is similar to BOND-003, while pembrolizumab is administered pursuant to its approved dosing schedule.</w:t>
      </w: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Interim Clinical Results in Our Ongoing CORE-001 Trial</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7"/>
          <w:szCs w:val="17"/>
          <w:color w:val="auto"/>
        </w:rPr>
        <w:t>Interim results from the CORE-001 demonstrated that, as of the March 3, 2023 data cutoff, 29 of the 34 (85%) evaluable patients displayed a CR at any time subsequent to completion of induction therapy. Moreover, administration of cretostimogene has also resulted in durable responses, with 82% (n=27/33) of the evaluable patients maintaining a CR at six months and 68% (n=17/25) of evaluable patients maintaining a CR at 12 months, each as of the cutoff date. In the chart below is presented a summary of the interim results observed in patients enrolled in the CORE-001 trial.</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Interim Results from CORE-001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167640</wp:posOffset>
            </wp:positionV>
            <wp:extent cx="5090160" cy="1935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90160" cy="193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anticipate reporting additional durability data in                .</w:t>
      </w:r>
    </w:p>
    <w:p>
      <w:pPr>
        <w:spacing w:after="0" w:line="1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20"/>
          </w:cols>
          <w:pgMar w:left="320" w:top="451" w:right="5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Interim Safety Data from Ongoing CORE-001 Trial</w:t>
      </w:r>
    </w:p>
    <w:p>
      <w:pPr>
        <w:spacing w:after="0" w:line="113"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Similar to the results achieved in the BOND-002 trial, cretostimogene was observed to be generally well tolerated with transient, localized Grade 1 or 2 local urinary tract related issues as of the January 31, 2023 safety data cutoff. Subsequent to the data cutoff, one Grade 2 serious adverse event (urinary retention) was reported and resolved. In addition, Grade 3 immune-related adverse safety events consistent with prior anti-PD1 CPI trials were observed in certain trial participants.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Cretostimogene Monotherapy for Intermediate-risk NMIBC following TURBT</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Phase 3 PIVOT-006 Clinical Trial</w:t>
      </w:r>
    </w:p>
    <w:p>
      <w:pPr>
        <w:spacing w:after="0" w:line="11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initiated PIVOT-006 in             , which is a randomized Phase 3 trial intended to assess the safety and efficacy of adjuvant cretostimogene when administered as monotherapy to patients with intermediate-risk NMIBC following TURBT. This is a two-arm trial enrolling up to 426 intermediate-risk NMIBC patients, one arm to be administered cretostimogene in combination with the standard of care TURBT with the second arm receiving the standard of care only. The primary endpoint of this trial is overall recurrence free survival (RFS), with secondary endpoints including RFS at 12 and 24 months. RFS is based on time to last cystoscopic evaluation or time to disease relapse where relapse is defined as any grade bladder cancer recurrence.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Planned Clinical Trial</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Phase 2 CORE-008 Clinical Trial</w:t>
      </w:r>
    </w:p>
    <w:p>
      <w:pPr>
        <w:spacing w:after="0" w:line="113" w:lineRule="exact"/>
        <w:rPr>
          <w:sz w:val="20"/>
          <w:szCs w:val="20"/>
          <w:color w:val="auto"/>
        </w:rPr>
      </w:pPr>
    </w:p>
    <w:p>
      <w:pPr>
        <w:jc w:val="both"/>
        <w:ind w:left="220" w:firstLine="432"/>
        <w:spacing w:after="0" w:line="269" w:lineRule="auto"/>
        <w:rPr>
          <w:sz w:val="20"/>
          <w:szCs w:val="20"/>
          <w:color w:val="auto"/>
        </w:rPr>
      </w:pPr>
      <w:r>
        <w:rPr>
          <w:rFonts w:ascii="Times New Roman" w:cs="Times New Roman" w:eastAsia="Times New Roman" w:hAnsi="Times New Roman"/>
          <w:sz w:val="17"/>
          <w:szCs w:val="17"/>
          <w:color w:val="auto"/>
        </w:rPr>
        <w:t>The planned study is an open-label multi-cohort Phase 2 trial intended to assess the safety and clinical outcomes of cretostimogene in treating patients with high-risk NMIBC including BCG-exposed and BCG-naïve NMIBC patients. BCG-exposed patients are classified as those NMIBC patients with persistent, recurrent or progressive disease after BCG treatment but do not meet the specific disease classification criteria to be designated BCG-unresponsive. BCG-naïve patients are classified as those NMIBC patients who have not received any prior BCG therapy. After an induction course of therapy, we expect that patients who achieve a CR will receive a maintenance course every three months for one year. The targeted efficacy endpoints of this trial are expected to include CR at any time following induction, CR at 12 months, DOR and progression free survival (PFS).</w:t>
      </w: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Additional Clinical Trial Evaluations in MIBC</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MIBC is associated with significantly higher mortality than NMIBC, the five-year mortality rate for patients with MIBC ranging from approximately 66% to 95% depending on disease stage. As such, the delay of disease progression is of particular significance to the estimated 20% to 25% of newly diagnosed bladder cancer patients with MIBC as well as those high-risk NMIBC patients that progress to MIBC. Moreover, the annual cost of care for patients with MIBC is estimated to be approximately 2.5 times the annual cost of care for patients with NMIBC.</w:t>
      </w:r>
    </w:p>
    <w:p>
      <w:pPr>
        <w:spacing w:after="0" w:line="180"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Systemic administration of cisplatin is often used as neoadjuvant chemotherapy in the treatment of MIBC. However, as many as 50% of patients are ineligible to receive cisplatin because of existing co-morbidities such as decreased renal function or neuropathy in which case CPIs are the default standard of care. We are currently evaluating the use of cretostimogene in combination with the CPI nivolumab as a treatment for MIBC, including by our support of CORE-002, a single-arm exploratory investigator-sponsored clinical trial of 30 cisplatin-ineligible patients with no evidence of distant metastases prior to radical cystectomy. Cretostimogene induction therapy is accompanied by IV nivolumab dosed week 2 and week 6 followed by TURBT or cystectomy. Endpoints of this clinical trial are pathological CR (pCR) at any time, pCR at 12 months and DOR.</w:t>
      </w:r>
    </w:p>
    <w:p>
      <w:pPr>
        <w:spacing w:after="0" w:line="18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As of the March 31, 2023 CORE-002 data cutoff, among the 15 evaluable patients, the combination of cretostimogene and nivolumab had produced a pCR in eight patients, or a pCR rate of 53% (n=8/15). An</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20"/>
          </w:cols>
          <w:pgMar w:left="320" w:top="451" w:right="5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9" w:lineRule="auto"/>
        <w:rPr>
          <w:sz w:val="20"/>
          <w:szCs w:val="20"/>
          <w:color w:val="auto"/>
        </w:rPr>
      </w:pPr>
      <w:r>
        <w:rPr>
          <w:rFonts w:ascii="Times New Roman" w:cs="Times New Roman" w:eastAsia="Times New Roman" w:hAnsi="Times New Roman"/>
          <w:sz w:val="18"/>
          <w:szCs w:val="18"/>
          <w:color w:val="auto"/>
        </w:rPr>
        <w:t>additional patient had a negative post-treatment biopsy but refused radical cystectomy. Cretostimogene has been generally well tolerated among trial participants as of the data cutoff. Immune related AE was seen in one patient, who had Grade 2 autoimmune thyroiditis. There was no delay in time to radical cystectomy and no unexpected surgical complications from treatment.</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13"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We leverage third-party manufacturers to support the manufacturing of cretostimogene for clinical trials and, if we receive regulatory approval, we intend to rely on such third parties for commercial manufacture. We do not own or operate, and currently have no plans to establish, any manufacturing facilities. We believe this strategy will enable us to maintain a nimble, efficient and effective working model without making significant internal capital investments. We are currently focused on developing high-yield and scalable processes and analytical methods for the manufacture of cretostimogene. We work with a third-party manufacturer for the production of cretostimogene and a third-party manufacturer for the production of DDM. We currently obtain our supplies from these manufacturers on a purchase order basis and do not have any long-term supply agreements in place. In order to de-risk our supply chain, and as we advance toward potential commercialization, we intend to enter into long-term supply agreements as well as evaluate additional product manufacturing sources.</w:t>
      </w:r>
    </w:p>
    <w:p>
      <w:pPr>
        <w:spacing w:after="0" w:line="190"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We have established strong in-house CMC capabilities consisting of expertise in process and analytical development and manufacturing, spanning across different modalities including viruses. To complement our in-house CMC capabilities, we have established a CMC Advisory Board, consisting of some of the most respected names in the industry. This advisory group is chaired by Dr. Richard Rutter, Ph.D., formerly Executive Vice President of Biotherapeutics Pharmaceuticals Sciences at Pfizer, and includes Dr. Daniel Takefman, Ph.D., formerly chief of the gene therapy branch at the FDA; Dr. Richard Peluso, Ph.D., formerly Vice President, Biologics and Vaccines, Bioprocess R&amp;D at Merck; and Dr. Victoria Sluzky, Ph.D., formerly Senior Vice President, Technical Development for BioMarin Pharmaceuticals. In combination with the CMC Advisory Board’s experience and strong internal capabilities, we strive to build a sustainable and effective CMC organization.</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3"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We face substantial competition from multiple sources, including large and specialty pharmaceutical and biotechnology companies, academic research institutions and governmental agencies and public and private research institutions. In addition, many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technologies, and data emerge within the field of oncology and, furthermore, within the treatment of bladder cancer.</w:t>
      </w:r>
    </w:p>
    <w:p>
      <w:pPr>
        <w:spacing w:after="0" w:line="185"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We will continue to face competition from current standard of care treatments, including BCG. To the extent Merck or another manufacturer increases the supply of BCG, there may be less demand for alternative treatments such as cretostimogene in BCG-naïve or BCG-exposed patients. In addition, there are numerous companies that have commercialized or are developing treatments for NMIBC, including Bristol Meyers Squibb, enGene Inc., Gilead Sciences, Inc., Hoffman-La Roche AG (Roche), ImmunityBio Inc., Johnson &amp; Johnson Inc., Merck, Protara Therapeutics, Inc., Pfizer, Inc., and UroGen Pharma, Inc.</w:t>
      </w:r>
    </w:p>
    <w:p>
      <w:pPr>
        <w:spacing w:after="0" w:line="185"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in combination with their respective strategic partners, have significantly greater financial resources and expertise in research and development, manufacturing, regulatory processes, and marketing than we do. Mergers and acquisitions activity in the pharmaceutical, biopharmaceutical and biotechnology sector is likely to result in greater resource concentration among a smaller number of our competitors. Smaller or early-stage companies may also prove to be significant competitors, particularly through</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40"/>
          </w:cols>
          <w:pgMar w:left="320" w:top="451" w:right="5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9" w:lineRule="auto"/>
        <w:rPr>
          <w:sz w:val="20"/>
          <w:szCs w:val="20"/>
          <w:color w:val="auto"/>
        </w:rPr>
      </w:pPr>
      <w:r>
        <w:rPr>
          <w:rFonts w:ascii="Times New Roman" w:cs="Times New Roman" w:eastAsia="Times New Roman" w:hAnsi="Times New Roman"/>
          <w:sz w:val="18"/>
          <w:szCs w:val="18"/>
          <w:color w:val="auto"/>
        </w:rPr>
        <w:t>sizeable collaborative arrangements with established companies. These competitors also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78"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one or more of our competitors successfully develop and commercialize products that are safer, more effective, better-tolerated,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3"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If we obtain FDA approval for cretostimogene, we intend to build in-house sales and marketing capabilities to commercialize cretostimogene in the United States, and potentially other regions, and expect to rely on third parties for distribution. While the number of patients suffering from bladder cancer is large and growing, a significant portion of large urology practices are concentrated in a relatively small number of major metropolitan areas and urology physician groups. We believe this concentration will potentially enable us to efficiently reach a large portion of our estimated addressable market with a relatively small commercial footprint. Importantly, urology practices are already deeply familiar with the administration of TURBT followed by intravesical administration of BCG in NMIBC patients. Cretostimogene is similarly designed to be administered intravesically and we believe will not require urology practices to retrain or learn a new administrative method. Outside of the United States, we may, where appropriate, pursue development and commercialization relationships, including strategic alliances and licensing, with pharmaceutical companies and other strategic partners, to maximize the commercial potential of cretostimogene in such countries, such as with our agreements with Kissei Pharmaceutical Co., Ltd. and Lepu Biotech Co., Ltd. described below.</w:t>
      </w: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 License and Collaboration Agreement</w:t>
      </w:r>
    </w:p>
    <w:p>
      <w:pPr>
        <w:spacing w:after="0" w:line="115" w:lineRule="exact"/>
        <w:rPr>
          <w:sz w:val="20"/>
          <w:szCs w:val="20"/>
          <w:color w:val="auto"/>
        </w:rPr>
      </w:pPr>
    </w:p>
    <w:p>
      <w:pPr>
        <w:jc w:val="both"/>
        <w:ind w:left="220" w:firstLine="432"/>
        <w:spacing w:after="0" w:line="263" w:lineRule="auto"/>
        <w:rPr>
          <w:sz w:val="20"/>
          <w:szCs w:val="20"/>
          <w:color w:val="auto"/>
        </w:rPr>
      </w:pPr>
      <w:r>
        <w:rPr>
          <w:rFonts w:ascii="Times New Roman" w:cs="Times New Roman" w:eastAsia="Times New Roman" w:hAnsi="Times New Roman"/>
          <w:sz w:val="17"/>
          <w:szCs w:val="17"/>
          <w:color w:val="auto"/>
        </w:rPr>
        <w:t>In March 2020, and as amended September 2022, we entered into a license and collaboration agreement (the Kissei Agreement) with Kissei Pharmaceutical Co., Ltd.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we and Kissei agreed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we are responsible for the costs of developing the Licensed Product outside the Kissei Territory, provided that Kissei is responsible for a low-double digit percentage and we are responsible for a high-double digit percentage of the cost of development activities that cannot be attributed solely to the Kissei Territory or outside the Kissei Territory. We are obligated to supply and Kissei will exclusively purchase its clinical and commercial requirements of Licensed Product from us.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we are prohibited from commercializing certain competing products worldwide and Kissei is prohibited from researching, developing or commercializing certain competing products worldwide.</w:t>
      </w:r>
    </w:p>
    <w:p>
      <w:pPr>
        <w:spacing w:after="0" w:line="1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40"/>
          </w:cols>
          <w:pgMar w:left="320" w:top="451" w:right="5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63" w:lineRule="auto"/>
        <w:rPr>
          <w:sz w:val="20"/>
          <w:szCs w:val="20"/>
          <w:color w:val="auto"/>
        </w:rPr>
      </w:pPr>
      <w:r>
        <w:rPr>
          <w:rFonts w:ascii="Times New Roman" w:cs="Times New Roman" w:eastAsia="Times New Roman" w:hAnsi="Times New Roman"/>
          <w:sz w:val="17"/>
          <w:szCs w:val="17"/>
          <w:color w:val="auto"/>
        </w:rPr>
        <w:t>Kissei paid to us a one-time upfront payment of $10.0 million and, in connection with the entry into the Kissei Agreement, purchased $30.0 million worth of shares of our Series D redeemable convertible preferred stock as part of our Series D financing. Kissei is obligated to make development, regulatory and commercial milestone payments of up to $100.0 million. We have also agreed to pay Kissei a royalty on net sales of Licensed Product outside the Kissei Territory and outside the Lepu Territory (as described below), including on any U.S. sales, in a low-single digit percentage, subject to certain reductions. We are entitled to receive a royalty on net sales of Licensed Product in the Kissei Territory in the mid-twenties percentage, subject to certain capped reductions. Also, Kissei has the right to offset the royalty payments due to us with respect to the cost for the supply of Licensed Product sold by us to Kissei, and to indefinitely carry forward credits for any excess supply amounts paid over royalty amounts owed in a given quarter. We are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we shall receive no royalties on the net sales of such Licensed Product in such country and such quarter. Kissei’s and our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183"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we granted to Kissei will become non-exclusive, fully-paid royalty-free and irrevocable and Kissei will have the right to negotiate directly with our product suppliers for the direct supply of Licensed Product to Kissei. The Kissei Agreement may be terminated either by Kissei or by us in the event of an uncured material breach by the other party or in the event the other party becomes subject to specified bankruptcy, insolvency or similar circumstances. In addition, we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our willful and malicious misconduct that results in substantial and irreparable harm to the commercial value of the Licensed Products in the Kissei Territory and upon any such termination, the licenses we granted to Kissei will become royalty-free and fully paid-up and Kissei will have the right to negotiate directly with our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our discretion, continue.</w:t>
      </w:r>
    </w:p>
    <w:p>
      <w:pPr>
        <w:spacing w:after="0" w:line="3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 Development and License Agreement</w:t>
      </w:r>
    </w:p>
    <w:p>
      <w:pPr>
        <w:spacing w:after="0" w:line="115" w:lineRule="exact"/>
        <w:rPr>
          <w:sz w:val="20"/>
          <w:szCs w:val="20"/>
          <w:color w:val="auto"/>
        </w:rPr>
      </w:pPr>
    </w:p>
    <w:p>
      <w:pPr>
        <w:jc w:val="both"/>
        <w:ind w:left="220" w:firstLine="432"/>
        <w:spacing w:after="0" w:line="265" w:lineRule="auto"/>
        <w:rPr>
          <w:sz w:val="20"/>
          <w:szCs w:val="20"/>
          <w:color w:val="auto"/>
        </w:rPr>
      </w:pPr>
      <w:r>
        <w:rPr>
          <w:rFonts w:ascii="Times New Roman" w:cs="Times New Roman" w:eastAsia="Times New Roman" w:hAnsi="Times New Roman"/>
          <w:sz w:val="17"/>
          <w:szCs w:val="17"/>
          <w:color w:val="auto"/>
        </w:rPr>
        <w:t>In March 2019, we entered into a development and license agreement (the Lepu Agreement) with Lepu Biotech Co., Ltd. (Lepu), under which we granted an exclusive license to Lepu to develop, manufacture and commercialize cretostimogene and/or DDM to treat and/or prevent cancer in mainland China, including Hong Kong and Macau (the Lepu Territory). Under the Lepu Agreement, Lepu is responsible for using commercially reasonable efforts to develop cretostimogene and DDM in the Lepu Territory, including by performing clinical development activities pursuant to an agreed development plan, and we are obligated to provide Lepu with reasonably requested information, know-how and assistance at Lepu’s cost and expense. Additionally, Lepu is obligated to meet a certain clinical diligence milestone by a specified date in 2024. We are also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Lepu is obligated to use commercially reasonable efforts to commercialize</w:t>
      </w:r>
    </w:p>
    <w:p>
      <w:pPr>
        <w:spacing w:after="0" w:line="1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20"/>
          </w:cols>
          <w:pgMar w:left="320" w:top="451" w:right="5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74" w:lineRule="auto"/>
        <w:rPr>
          <w:sz w:val="20"/>
          <w:szCs w:val="20"/>
          <w:color w:val="auto"/>
        </w:rPr>
      </w:pPr>
      <w:r>
        <w:rPr>
          <w:rFonts w:ascii="Times New Roman" w:cs="Times New Roman" w:eastAsia="Times New Roman" w:hAnsi="Times New Roman"/>
          <w:sz w:val="18"/>
          <w:szCs w:val="18"/>
          <w:color w:val="auto"/>
        </w:rPr>
        <w:t>at least one of cretostimogene and/or DDM and achieve the first commercial sale of such product in the Lepu Territory within specified time periods after receipt of marketing authorization approval therefor.</w:t>
      </w:r>
    </w:p>
    <w:p>
      <w:pPr>
        <w:spacing w:after="0" w:line="163"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Lepu paid to us a one-time upfront payment of $4.5 million, and Lepu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Lepu’s royalty obligations will expire upon termination of the Lepu Agreement. Lepu may terminate the Lepu Agreement for any reason upon specified prior written notice. The agreement may be terminated either by Lepu or by us in the event of an uncured material breach by the other party. In addition, we have the right to terminate the agreement in the event that Lepu commences or requests a legal action challenging the validity, enforceability or scope of any licensed patents. Upon termination of the agreement for any reason, all rights and licenses granted to Lepu to develop and commercialize cretostimogene and DDM under the agreement will terminate, and Lepu will be obligated to provide to us all data and results pertaining to cretostimogene and DDM products and assign and transfer to us all regulatory filings, manufacturing documentation and marketing authorization approvals for cretostimogene and DDM. In the event that Lepu has any ongoing clinical trials with respect to cretostimogene and/or DDM as of the effective date of termination, at our request, Lepu is obligated to either promptly transition such clinical trials to us or continue to conduct and complete such clinical trials, at our expense.</w:t>
      </w: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3"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The proprietary nature of, and protection for, our product candidates and their methods of use are an important part of our strategy to develop and commercialize novel medicines, as described in more detail below. We have obtained patents and filed patent applications in the United States and other countries relating to certain of our proprietary technology, inventions, improvements, and product candidates, and are pursuing additional patent protection for them. We endeavor to protect the proprietary technologies that we believe are important to our business, including pursuing and maintaining patent protection intended to cover cretostimogene, its methods of use, related technologies, and other inventions that are important to our business. In addition to patent protection, we also rely on trade secret to protect aspects of our business that are not amenable to, or that we do not consider appropriate for, patent protection, including our proprietary method of manufacturing cretostimogene. We will also seek to rely on regulatory protection afforded through inclusion in expedited development and review, data exclusivity, market exclusivity and patent term extensions where available.</w:t>
      </w:r>
    </w:p>
    <w:p>
      <w:pPr>
        <w:spacing w:after="0" w:line="187"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As of October 19, 2023, we own five patent families comprising five issued U.S. patents, five issued foreign patents in Australia, New Zealand, Japan, and Singapore, 3 pending U.S. non-provisional patent applications, and 18 pending patent applications in jurisdictions outside of the United States.</w:t>
      </w:r>
    </w:p>
    <w:p>
      <w:pPr>
        <w:spacing w:after="0" w:line="178"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With regard to cretostimogene, we own three issued U.S. patents and three issued patents in Japan and Singapore with claims covering methods of use using cretostimogene, including claims covering treatment schedules and combination therapy. These issued patents are expected to expire between 2036 and 2038, without accounting for potentially available patent term adjustments or extensions. We also own three pending U.S. applications and 18 related pending applications in Australia, New Zealand, Japan, South Korea, China, Singapore, Hong Kong, and before the European Patent Office, and any patents that issue from these applications are expected to expire between 2036 and 2038, without accounting for potentially available patent term adjustments or extensions.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expect to file additional patent applications in support of current and new product candidates as well as new platform and core technologies.</w:t>
      </w:r>
    </w:p>
    <w:p>
      <w:pPr>
        <w:spacing w:after="0" w:line="229"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of cretostimogene, our future product candidates, and their methods of use, as well as successfully</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20"/>
          </w:cols>
          <w:pgMar w:left="320" w:top="451" w:right="5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1" w:lineRule="auto"/>
        <w:rPr>
          <w:sz w:val="20"/>
          <w:szCs w:val="20"/>
          <w:color w:val="auto"/>
        </w:rPr>
      </w:pPr>
      <w:r>
        <w:rPr>
          <w:rFonts w:ascii="Times New Roman" w:cs="Times New Roman" w:eastAsia="Times New Roman" w:hAnsi="Times New Roman"/>
          <w:sz w:val="18"/>
          <w:szCs w:val="18"/>
          <w:color w:val="auto"/>
        </w:rPr>
        <w:t>defending any such patents against third-party challenges, preserving the confidentiality of our trade secrets, and operating without infringing on the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w:t>
      </w:r>
    </w:p>
    <w:p>
      <w:pPr>
        <w:spacing w:after="0" w:line="185"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or USPTO, in examining and granting a patent, or may be shortened if a patent is terminally disclaimed over another patent of ours. In the United States, the term of a patent that covers an FDA-approved drug may also be eligible for extension, which permits patent term restoration as compensation for a portion of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Japan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w:t>
      </w:r>
    </w:p>
    <w:p>
      <w:pPr>
        <w:spacing w:after="0" w:line="198"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actual protection afforded by a patent varies on a claim by claim and country by country basis and depends upon many factors, including the type of patent, the scope of its coverage, the availability of any patent term extensions or adjustments, the availability of legal remedies in a particular country and the validity and enforceability of the patent.</w:t>
      </w:r>
    </w:p>
    <w:p>
      <w:pPr>
        <w:spacing w:after="0" w:line="178"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In addition to patent protection, we also rely on trade secret protection for our proprietary information that is not amenable to, or that we do not consider appropriate for, patent protection, including, for example, aspects of our manufacturing processes for cretostimogene. However, trade secret can be difficult to protect. Although we take steps to protect our proprietary information, including restriction to our premises and our confidential information, as well as entering into agreements with our employees, consultants, advisors, and potential collaborators, such individuals may breach such agreements and disclose our proprietary information including our trade secrets, and we may not be able to obtain adequate remedies for such breaches. In addition, third parties may independently develop the same or similar proprietary information or may otherwise gain access to our proprietary information. As a result, we may be unable to meaningfully protect our trade secrets and proprietary information.</w:t>
      </w:r>
    </w:p>
    <w:p>
      <w:pPr>
        <w:spacing w:after="0" w:line="187"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For more information regarding the risks related to our intellectual property, please see the section titled “Risk Factors—Risks Related to Our Intellectual Property.”</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3"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40"/>
          </w:cols>
          <w:pgMar w:left="320" w:top="451" w:right="5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9" w:lineRule="auto"/>
        <w:rPr>
          <w:sz w:val="20"/>
          <w:szCs w:val="20"/>
          <w:color w:val="auto"/>
        </w:rPr>
      </w:pPr>
      <w:r>
        <w:rPr>
          <w:rFonts w:ascii="Times New Roman" w:cs="Times New Roman" w:eastAsia="Times New Roman" w:hAnsi="Times New Roman"/>
          <w:sz w:val="18"/>
          <w:szCs w:val="18"/>
          <w:color w:val="auto"/>
        </w:rPr>
        <w:t>advertising, promotion, marketing, post-approval monitoring, and post-approval reporting of biological product candidates such as those we are developing. The process of obtaining regulatory approvals and the subsequent compliance with applicable federal, state, local and foreign statutes and regulations require the expenditure of substantial time and financial resources.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 Biologics Development Process</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In the United States, biological products are subject to regulation under the Federal Food, Drug, and Cosmetic Act, the Public Health Service Act, and other federal, state, local and foreign statutes and regulations. The process required by the FDA before biologic product candidates may be marketed in the United States generally involves the following:</w:t>
      </w:r>
    </w:p>
    <w:p>
      <w:pPr>
        <w:spacing w:after="0" w:line="85" w:lineRule="exact"/>
        <w:rPr>
          <w:sz w:val="20"/>
          <w:szCs w:val="20"/>
          <w:color w:val="auto"/>
        </w:rPr>
      </w:pPr>
    </w:p>
    <w:p>
      <w:pPr>
        <w:ind w:left="1180" w:right="20" w:hanging="538"/>
        <w:spacing w:after="0" w:line="274" w:lineRule="auto"/>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Good Laboratory Practice regulations (GLPs), and other applicable regulations;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trial may be initiated;</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regulations (GCPs), to evaluate the safety, purity and potency of the product candidate for its intended use;</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after completion of all pivotal trials;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24" w:lineRule="exact"/>
        <w:rPr>
          <w:rFonts w:ascii="Times New Roman" w:cs="Times New Roman" w:eastAsia="Times New Roman" w:hAnsi="Times New Roman"/>
          <w:sz w:val="18"/>
          <w:szCs w:val="18"/>
          <w:color w:val="auto"/>
        </w:rPr>
      </w:pPr>
    </w:p>
    <w:p>
      <w:pPr>
        <w:jc w:val="both"/>
        <w:ind w:left="1180" w:right="20" w:hanging="538"/>
        <w:spacing w:after="0" w:line="259" w:lineRule="auto"/>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biologic is produced to assess compliance with current Good Manufacturing Practice requirements (cGMPs), to assure that the facilities, methods and controls are adequate to preserve the biologic’s identity, strength, quality and purity;</w:t>
      </w:r>
    </w:p>
    <w:p>
      <w:pPr>
        <w:spacing w:after="0" w:line="85"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inspection of selected clinical investigation sites to assess compliance with GCPs;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BLA to permit commercial marketing of the product for particular indications for use in the United States.</w:t>
      </w:r>
    </w:p>
    <w:p>
      <w:pPr>
        <w:spacing w:after="0" w:line="229" w:lineRule="exact"/>
        <w:rPr>
          <w:sz w:val="20"/>
          <w:szCs w:val="20"/>
          <w:color w:val="auto"/>
        </w:rPr>
      </w:pPr>
    </w:p>
    <w:p>
      <w:pPr>
        <w:jc w:val="both"/>
        <w:ind w:left="220" w:right="20" w:firstLine="432"/>
        <w:spacing w:after="0" w:line="265" w:lineRule="auto"/>
        <w:rPr>
          <w:sz w:val="20"/>
          <w:szCs w:val="20"/>
          <w:color w:val="auto"/>
        </w:rPr>
      </w:pPr>
      <w:r>
        <w:rPr>
          <w:rFonts w:ascii="Times New Roman" w:cs="Times New Roman" w:eastAsia="Times New Roman" w:hAnsi="Times New Roman"/>
          <w:sz w:val="17"/>
          <w:szCs w:val="17"/>
          <w:color w:val="auto"/>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authorization from the FDA to administer an investigational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IND on a clinical hold. In such a case, the IND sponsor and the FDA must resolve any outstanding concerns before the clinical trial can begin. Clinical holds also may be imposed by the FDA at any time before or during clinical trials due to safety concerns or non-compliance with FDA requirements, in which case clinical trials may not begin or continue until the FDA notifies the sponsor that the hold has been lifted.</w:t>
      </w:r>
    </w:p>
    <w:p>
      <w:pPr>
        <w:spacing w:after="0" w:line="177"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and must be conducted under the supervision of one or more qualified investigators in accordance with GCPs, which include,</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40"/>
          </w:cols>
          <w:pgMar w:left="320" w:top="451" w:right="5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49" w:lineRule="auto"/>
        <w:rPr>
          <w:sz w:val="20"/>
          <w:szCs w:val="20"/>
          <w:color w:val="auto"/>
        </w:rPr>
      </w:pPr>
      <w:r>
        <w:rPr>
          <w:rFonts w:ascii="Times New Roman" w:cs="Times New Roman" w:eastAsia="Times New Roman" w:hAnsi="Times New Roman"/>
          <w:sz w:val="18"/>
          <w:szCs w:val="18"/>
          <w:color w:val="auto"/>
        </w:rPr>
        <w:t>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or biologics, findings from animal or in vitro testing suggesting a significant risk to humans, and any clinically important increased incidence of a serious suspected adverse reaction compared to that listed in the protocol or investigator brochure.</w:t>
      </w:r>
    </w:p>
    <w:p>
      <w:pPr>
        <w:spacing w:after="0" w:line="187"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Furthermore, an independent IRB or ethics committee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20" w:lineRule="exact"/>
        <w:rPr>
          <w:sz w:val="20"/>
          <w:szCs w:val="20"/>
          <w:color w:val="auto"/>
        </w:rPr>
      </w:pPr>
    </w:p>
    <w:p>
      <w:pPr>
        <w:ind w:left="1180" w:right="20" w:hanging="538"/>
        <w:spacing w:after="0" w:line="278" w:lineRule="auto"/>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product candidate is initially introduced into healthy human subjects and tested for safety, dosage tolerance, absorption,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metabolism, distribution and excretion and, if possible, to gain an early indication of its effectiveness.</w:t>
      </w:r>
    </w:p>
    <w:p>
      <w:pPr>
        <w:sectPr>
          <w:pgSz w:w="11900" w:h="16838" w:orient="portrait"/>
          <w:cols w:equalWidth="0" w:num="1">
            <w:col w:w="11040"/>
          </w:cols>
          <w:pgMar w:left="320" w:top="451" w:right="539" w:bottom="1440" w:gutter="0" w:footer="0" w:header="0"/>
        </w:sectPr>
      </w:pP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product candidate is administered to a limited patient population with a specified disease or condition to identify possible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 effects and safety risks, to preliminarily evaluate the efficacy of the product candidate for specific targeted diseases and to determine dosage tolerance and appropriate dosage.</w:t>
      </w:r>
    </w:p>
    <w:p>
      <w:pPr>
        <w:spacing w:after="0" w:line="77" w:lineRule="exact"/>
        <w:rPr>
          <w:sz w:val="20"/>
          <w:szCs w:val="20"/>
          <w:color w:val="auto"/>
        </w:rPr>
      </w:pPr>
    </w:p>
    <w:p>
      <w:pPr>
        <w:sectPr>
          <w:pgSz w:w="11900" w:h="16838" w:orient="portrait"/>
          <w:cols w:equalWidth="0" w:num="2">
            <w:col w:w="700" w:space="480"/>
            <w:col w:w="9860"/>
          </w:cols>
          <w:pgMar w:left="320" w:top="451" w:right="539" w:bottom="1440" w:gutter="0" w:footer="0" w:header="0"/>
          <w:type w:val="continuous"/>
        </w:sectPr>
      </w:pPr>
    </w:p>
    <w:p>
      <w:pPr>
        <w:jc w:val="both"/>
        <w:ind w:left="1180" w:right="20" w:hanging="538"/>
        <w:spacing w:after="0" w:line="262" w:lineRule="auto"/>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The product candidate is administered to an expanded patient population to further evaluate dosage, to provide substantial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spacing w:after="0" w:line="174"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BLA approval. These trials are used to gain additional experience from the treatment of patients in the intended therapeutic indication. In certain instances, the FDA may mandate the performance of Phase 4 clinical trials as a condition of approval of a BLA.</w:t>
      </w:r>
    </w:p>
    <w:p>
      <w:pPr>
        <w:spacing w:after="0" w:line="178"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40"/>
          </w:cols>
          <w:pgMar w:left="320" w:top="451" w:right="5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BLA Review and Approval Process</w:t>
      </w:r>
    </w:p>
    <w:p>
      <w:pPr>
        <w:spacing w:after="0" w:line="113"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applicable regulatory requirements, the results of product development, including among other things, results, from nonclinical studies and clinical trials, are submitted to the FDA as part of a BLA requesting approval to market the product candidate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or from a number of alternative sources, such as studies initiated by investigators or other third parties. The submission of a BLA requires payment of a substantial user fee to FDA, and the sponsor of an approved BLA is also subject to an annual program fee. A waiver of user fees may be obtained under certain limited circumstances.</w:t>
      </w:r>
    </w:p>
    <w:p>
      <w:pPr>
        <w:spacing w:after="0" w:line="190"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The FDA conducts a preliminary review of all BLAs within the first 60 days after submission, before accepting them for filing, to determine whether they are sufficiently complete to permit substantive review. The FDA may refuse to file any BLA that it deems incomplete or not properly reviewable at the time of submission and may request additional information. In this event, the BLA must be resubmitted with the additional information before FDA will review the application. Once filed, the FDA reviews a BLA to determine, among other things, whether the biologic is safe, pure and potent and the facility in which it is manufactured, processed, packed, or held meets standards designed to assure the product’s continued safety, purity and potency. Under the Prescription Drug User Fee Act (PDUFA), guidelines that are currently in effect, the FDA has a goal of ten months from the date of “filing” of an original BLA to review and act on the submission. This review typically takes twelve months from the date the BLA is submitted to the FDA because the FDA has approximately two months to make a “filing” decision.</w:t>
      </w:r>
    </w:p>
    <w:p>
      <w:pPr>
        <w:spacing w:after="0" w:line="190"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 FDA may refer an application for a novel biologic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Additionally, before approving a BLA, the FDA may inspect one or more clinical trial sites to assure compliance with GCPs. After the FDA evaluates a BLA and conducts inspections of manufacturing facilities where the investigational product and/or its substance will be produced, the FDA may issue an approval letter or a Complete Response Letter (CRL). An approval letter authorizes commercial marketing of the biologic with prescribing information for specific indications. A CRL indicates that the review cycle for the application is complete, and the application will not be approved in its present form. A CRL usually describes the specific deficiencies in the BLA identified by the FDA and may include requirements to conduct additional clinical trials, or other significant and time-consuming requirements related to clinical data,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w:t>
      </w:r>
    </w:p>
    <w:p>
      <w:pPr>
        <w:spacing w:after="0" w:line="187"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If a product receives regulatory approval, referred to as “licensure” by the FDA, such approval may be significantly limited to specific diseases and dosages, or the indications for use may otherwise be limited, which could restrict the commercial value of the product. In addition, the FDA may require a sponsor of an approved BLA to conduct post-marketing clinical trials designed to further assess a biologic’s safety, purity or potency, and may also require testing and surveillance programs to monitor the safety of the product, once commercialized, and may limit further marketing of the product based on the results of these post-marketing studies. The FDA may also place other conditions on BLA approval. Including the requirement for a risk evaluation and mitigation strategy (REMS) to assure the safe use of the product. If the FDA concludes a REMS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40"/>
          </w:cols>
          <w:pgMar w:left="320" w:top="451" w:right="5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is needed, the sponsor of the BLA must submit a proposed REMS in connection with the application.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commercial products.</w:t>
      </w:r>
    </w:p>
    <w:p>
      <w:pPr>
        <w:spacing w:after="0" w:line="180"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biologics, as well as for new indications, new dosage forms, new dosing regimens or new route of administrations. Under PREA, original 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pure and potent. The sponsor or FDA may request a deferral of pediatric clinical trials for some or all of the pediatric subpopulations. A deferral may be granted for several reasons, including a finding that the biologic is ready for approval for use in adults before pediatric clinical trials are complete or that additional data need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Orphan Designation</w:t>
      </w:r>
    </w:p>
    <w:p>
      <w:pPr>
        <w:spacing w:after="0" w:line="11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biologic intended to treat a rare disease or condition, which is a disease or condition that affects fewer than 200,000 individuals in the United States or where, if the disease or condition affects more than 200,000 individuals in the United States, there is no reasonable expectation that the cost of developing and making the product available in the United States for this type of disease or condition will be recovered from sales of the product.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85"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biologic for the same disease or condition for seven years, except in limited circumstances, such as a showing of clinical superiority to the product with orphan exclusivity or inability to manufacture the product in sufficient quantities. The designation of such biologic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a the biologic is determined to be contained within the competitor’s product for the same disease or condition. In addition, if an orphan-designated product receives approval for a disease or condition broader than covered in the orphan designation, the product may not be entitled to orphan exclusivity.</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1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a marketing application for an investigational biologic. For example, the fast track designation program is intended to expedite or facilitate the process for developing and reviewing product candidates that meet certain criteria. Specifically, investigational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20"/>
          </w:cols>
          <w:pgMar w:left="320" w:top="451" w:right="5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74" w:lineRule="auto"/>
        <w:rPr>
          <w:sz w:val="20"/>
          <w:szCs w:val="20"/>
          <w:color w:val="auto"/>
        </w:rPr>
      </w:pPr>
      <w:r>
        <w:rPr>
          <w:rFonts w:ascii="Times New Roman" w:cs="Times New Roman" w:eastAsia="Times New Roman" w:hAnsi="Times New Roman"/>
          <w:sz w:val="17"/>
          <w:szCs w:val="17"/>
          <w:color w:val="auto"/>
        </w:rPr>
        <w:t>interactions with the applicable FDA review team during product development and, once a BLA is submitted, the application may be eligible for priority review. With regard to a fast track product candidate,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67" w:lineRule="exact"/>
        <w:rPr>
          <w:sz w:val="20"/>
          <w:szCs w:val="20"/>
          <w:color w:val="auto"/>
        </w:rPr>
      </w:pPr>
    </w:p>
    <w:p>
      <w:pPr>
        <w:jc w:val="both"/>
        <w:ind w:left="220" w:right="20" w:firstLine="432"/>
        <w:spacing w:after="0" w:line="269" w:lineRule="auto"/>
        <w:rPr>
          <w:sz w:val="20"/>
          <w:szCs w:val="20"/>
          <w:color w:val="auto"/>
        </w:rPr>
      </w:pPr>
      <w:r>
        <w:rPr>
          <w:rFonts w:ascii="Times New Roman" w:cs="Times New Roman" w:eastAsia="Times New Roman" w:hAnsi="Times New Roman"/>
          <w:sz w:val="17"/>
          <w:szCs w:val="17"/>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9" w:lineRule="exact"/>
        <w:rPr>
          <w:sz w:val="20"/>
          <w:szCs w:val="20"/>
          <w:color w:val="auto"/>
        </w:rPr>
      </w:pPr>
    </w:p>
    <w:p>
      <w:pPr>
        <w:jc w:val="both"/>
        <w:ind w:left="220" w:right="20" w:firstLine="432"/>
        <w:spacing w:after="0" w:line="269" w:lineRule="auto"/>
        <w:rPr>
          <w:sz w:val="20"/>
          <w:szCs w:val="20"/>
          <w:color w:val="auto"/>
        </w:rPr>
      </w:pPr>
      <w:r>
        <w:rPr>
          <w:rFonts w:ascii="Times New Roman" w:cs="Times New Roman" w:eastAsia="Times New Roman" w:hAnsi="Times New Roman"/>
          <w:sz w:val="17"/>
          <w:szCs w:val="17"/>
          <w:color w:val="auto"/>
        </w:rPr>
        <w:t>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 BLA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BLA designated for priority review in an effort to facilitate the review. The FDA endeavors to review applications with priority review designations within six months of the filing date as compared to ten months for review of original BLAs under its current PDUFA review goals.</w:t>
      </w:r>
    </w:p>
    <w:p>
      <w:pPr>
        <w:spacing w:after="0" w:line="169"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In addition, a product candidate may be eligible for accelerated approval. A biological product candidate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biologic receiving accelerated approval perform adequate and well-controlled confirmatory clinical trials, and may require that such confirmatory trials be underway prior to granting accelerated approval. Biologics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93" w:lineRule="exact"/>
        <w:rPr>
          <w:sz w:val="20"/>
          <w:szCs w:val="20"/>
          <w:color w:val="auto"/>
        </w:rPr>
      </w:pPr>
    </w:p>
    <w:p>
      <w:pPr>
        <w:jc w:val="both"/>
        <w:ind w:left="220" w:right="20" w:firstLine="432"/>
        <w:spacing w:after="0" w:line="282" w:lineRule="auto"/>
        <w:rPr>
          <w:sz w:val="20"/>
          <w:szCs w:val="20"/>
          <w:color w:val="auto"/>
        </w:rPr>
      </w:pPr>
      <w:r>
        <w:rPr>
          <w:rFonts w:ascii="Times New Roman" w:cs="Times New Roman" w:eastAsia="Times New Roman" w:hAnsi="Times New Roman"/>
          <w:sz w:val="17"/>
          <w:szCs w:val="17"/>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3"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40"/>
          </w:cols>
          <w:pgMar w:left="320" w:top="451" w:right="5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1" w:lineRule="auto"/>
        <w:rPr>
          <w:sz w:val="20"/>
          <w:szCs w:val="20"/>
          <w:color w:val="auto"/>
        </w:rPr>
      </w:pPr>
      <w:r>
        <w:rPr>
          <w:rFonts w:ascii="Times New Roman" w:cs="Times New Roman" w:eastAsia="Times New Roman" w:hAnsi="Times New Roman"/>
          <w:sz w:val="18"/>
          <w:szCs w:val="18"/>
          <w:color w:val="auto"/>
        </w:rPr>
        <w:t>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5"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93" w:lineRule="exact"/>
        <w:rPr>
          <w:sz w:val="20"/>
          <w:szCs w:val="20"/>
          <w:color w:val="auto"/>
        </w:rPr>
      </w:pPr>
    </w:p>
    <w:p>
      <w:pPr>
        <w:ind w:left="1180" w:hanging="538"/>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ongoing or planned clinical studies;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approvals;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17"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In addition, the FDA closely regulates the marketing, labeling, advertising and promotion of biological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BPCIA, which created an abbreviated approval pathway for biological products that are biosimilar to or interchangeable with an</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20"/>
          </w:cols>
          <w:pgMar w:left="320" w:top="451" w:right="5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1" w:lineRule="auto"/>
        <w:rPr>
          <w:sz w:val="20"/>
          <w:szCs w:val="20"/>
          <w:color w:val="auto"/>
        </w:rPr>
      </w:pPr>
      <w:r>
        <w:rPr>
          <w:rFonts w:ascii="Times New Roman" w:cs="Times New Roman" w:eastAsia="Times New Roman" w:hAnsi="Times New Roman"/>
          <w:sz w:val="18"/>
          <w:szCs w:val="18"/>
          <w:color w:val="auto"/>
        </w:rPr>
        <w:t>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5"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7"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15" w:lineRule="exact"/>
        <w:rPr>
          <w:sz w:val="20"/>
          <w:szCs w:val="20"/>
          <w:color w:val="auto"/>
        </w:rPr>
      </w:pPr>
    </w:p>
    <w:p>
      <w:pPr>
        <w:jc w:val="both"/>
        <w:ind w:left="220" w:firstLine="432"/>
        <w:spacing w:after="0" w:line="267" w:lineRule="auto"/>
        <w:rPr>
          <w:sz w:val="20"/>
          <w:szCs w:val="20"/>
          <w:color w:val="auto"/>
        </w:rPr>
      </w:pPr>
      <w:r>
        <w:rPr>
          <w:rFonts w:ascii="Times New Roman" w:cs="Times New Roman" w:eastAsia="Times New Roman" w:hAnsi="Times New Roman"/>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w:t>
      </w: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15"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Successful sales of our drug candidates in the U.S. market, if approved, will depend, in part, on the extent to which our drugs will be covered by third-party payors, such as government health programs or private health insurance (including managed care plans). Patients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20"/>
          </w:cols>
          <w:pgMar w:left="320" w:top="451" w:right="5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our net revenue and results. Decreases in third-party reimbursement for our drug candidates, if approved, or a decision by a third-party payor to not cover our drug candidates could have a material adverse effect on our sales, results of operations and financial condition.</w:t>
      </w:r>
    </w:p>
    <w:p>
      <w:pPr>
        <w:spacing w:after="0" w:line="185"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15"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w:t>
      </w:r>
    </w:p>
    <w:p>
      <w:pPr>
        <w:spacing w:after="0" w:line="178"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For example, in March 2010, the Affordable Care Act (ACA), was enacted in the United States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87"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87"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Most recently, on August 16, 2022, President Biden signed the Inflation Reduction Act of 2022 (IRA)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In addition, in response to the Biden administration’s October 2022 executive order, on February 14, 2023, HHS released a report outlining three new models for</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40"/>
          </w:cols>
          <w:pgMar w:left="320" w:top="451" w:right="5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74" w:lineRule="auto"/>
        <w:rPr>
          <w:sz w:val="20"/>
          <w:szCs w:val="20"/>
          <w:color w:val="auto"/>
        </w:rPr>
      </w:pPr>
      <w:r>
        <w:rPr>
          <w:rFonts w:ascii="Times New Roman" w:cs="Times New Roman" w:eastAsia="Times New Roman" w:hAnsi="Times New Roman"/>
          <w:sz w:val="18"/>
          <w:szCs w:val="18"/>
          <w:color w:val="auto"/>
        </w:rPr>
        <w:t>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spacing w:after="0" w:line="16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8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Existing healthcare reform measures, as well as the implementation of additional cost containment measures or other reforms may prevent us from being able to generate revenue, attain profitability or commercialize our product candidates, if approved.</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15"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13"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As of September 30, 2023, we had 58 employees, all of whom were full-time and 44 of whom were engaged in research and development activities. Thirteen of our employees hold Ph.D. or M.D. degrees. All laboratory personnel and our administrative team are based in and around Irvine, CA. None of our employees are represented by a labor union or covered under a collective bargaining agreement. We consider our relationship with our employees to be good.</w:t>
      </w:r>
    </w:p>
    <w:p>
      <w:pPr>
        <w:spacing w:after="0" w:line="180"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We currently lease approximately 1,249 square feet of laboratory and office space in and around Irvine, CA. We believe these facilities will be adequate for the foreseeable future and that suitable additional or substitute space will be available as and when needed.</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0"/>
          </w:cols>
          <w:pgMar w:left="320" w:top="451" w:right="5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October 24, 2023.</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6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
        </w:trPr>
        <w:tc>
          <w:tcPr>
            <w:tcW w:w="3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Employee Directors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Kuan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Ambaw Bellete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7"/>
              </w:rPr>
              <w:t>President and Chief Operating Officer</w:t>
            </w:r>
          </w:p>
        </w:tc>
      </w:tr>
      <w:tr>
        <w:trPr>
          <w:trHeight w:val="23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DiPalma</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Vijay Kasturi, M.D.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42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6"/>
        </w:trPr>
        <w:tc>
          <w:tcPr>
            <w:tcW w:w="4060" w:type="dxa"/>
            <w:vAlign w:val="bottom"/>
            <w:gridSpan w:val="2"/>
          </w:tcPr>
          <w:p>
            <w:pPr>
              <w:spacing w:after="0" w:line="246" w:lineRule="exact"/>
              <w:rPr>
                <w:sz w:val="20"/>
                <w:szCs w:val="20"/>
                <w:color w:val="auto"/>
              </w:rPr>
            </w:pPr>
            <w:r>
              <w:rPr>
                <w:rFonts w:ascii="Times New Roman" w:cs="Times New Roman" w:eastAsia="Times New Roman" w:hAnsi="Times New Roman"/>
                <w:sz w:val="18"/>
                <w:szCs w:val="18"/>
                <w:color w:val="auto"/>
              </w:rPr>
              <w:t>Brian Liu, M.D.</w:t>
            </w:r>
            <w:r>
              <w:rPr>
                <w:rFonts w:ascii="Times New Roman" w:cs="Times New Roman" w:eastAsia="Times New Roman" w:hAnsi="Times New Roman"/>
                <w:sz w:val="26"/>
                <w:szCs w:val="26"/>
                <w:color w:val="auto"/>
                <w:vertAlign w:val="superscript"/>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3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 Mulé, IPh.D.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46"/>
        </w:trPr>
        <w:tc>
          <w:tcPr>
            <w:tcW w:w="4060" w:type="dxa"/>
            <w:vAlign w:val="bottom"/>
            <w:gridSpan w:val="2"/>
          </w:tcPr>
          <w:p>
            <w:pPr>
              <w:spacing w:after="0" w:line="246" w:lineRule="exact"/>
              <w:rPr>
                <w:sz w:val="20"/>
                <w:szCs w:val="20"/>
                <w:color w:val="auto"/>
              </w:rPr>
            </w:pPr>
            <w:r>
              <w:rPr>
                <w:rFonts w:ascii="Times New Roman" w:cs="Times New Roman" w:eastAsia="Times New Roman" w:hAnsi="Times New Roman"/>
                <w:sz w:val="18"/>
                <w:szCs w:val="18"/>
                <w:color w:val="auto"/>
              </w:rPr>
              <w:t>Leonard Post, Ph.D.</w:t>
            </w:r>
            <w:r>
              <w:rPr>
                <w:rFonts w:ascii="Times New Roman" w:cs="Times New Roman" w:eastAsia="Times New Roman" w:hAnsi="Times New Roman"/>
                <w:sz w:val="26"/>
                <w:szCs w:val="26"/>
                <w:color w:val="auto"/>
                <w:vertAlign w:val="superscript"/>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4060" w:type="dxa"/>
            <w:vAlign w:val="bottom"/>
            <w:gridSpan w:val="2"/>
          </w:tcPr>
          <w:p>
            <w:pPr>
              <w:spacing w:after="0" w:line="238" w:lineRule="exact"/>
              <w:rPr>
                <w:sz w:val="20"/>
                <w:szCs w:val="20"/>
                <w:color w:val="auto"/>
              </w:rPr>
            </w:pPr>
            <w:r>
              <w:rPr>
                <w:rFonts w:ascii="Times New Roman" w:cs="Times New Roman" w:eastAsia="Times New Roman" w:hAnsi="Times New Roman"/>
                <w:sz w:val="18"/>
                <w:szCs w:val="18"/>
                <w:color w:val="auto"/>
              </w:rPr>
              <w:t>Hong Fang “Simone” Song</w:t>
            </w:r>
            <w:r>
              <w:rPr>
                <w:rFonts w:ascii="Times New Roman" w:cs="Times New Roman" w:eastAsia="Times New Roman" w:hAnsi="Times New Roman"/>
                <w:sz w:val="26"/>
                <w:szCs w:val="26"/>
                <w:color w:val="auto"/>
                <w:vertAlign w:val="superscript"/>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3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 Tong, Jr.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7569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55" w:lineRule="exact"/>
        <w:rPr>
          <w:sz w:val="20"/>
          <w:szCs w:val="20"/>
          <w:color w:val="auto"/>
        </w:rPr>
      </w:pPr>
    </w:p>
    <w:p>
      <w:pPr>
        <w:ind w:left="640" w:hanging="422"/>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ind w:left="640" w:hanging="422"/>
        <w:spacing w:after="0" w:line="217"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ind w:left="640" w:hanging="422"/>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1"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Arthur Kuan </w:t>
      </w:r>
      <w:r>
        <w:rPr>
          <w:rFonts w:ascii="Times New Roman" w:cs="Times New Roman" w:eastAsia="Times New Roman" w:hAnsi="Times New Roman"/>
          <w:sz w:val="18"/>
          <w:szCs w:val="18"/>
          <w:color w:val="auto"/>
        </w:rPr>
        <w:t>has served as our Chief Executive Officer and as a member of our board of directors since our inception in 2017. Mr. Kuan is also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founding member of Ally Bridge Group, a global healthcare-focused investment platform, and serves on the IP Commercialization Strategy Committee at Moffit Cancer Center. Previously, Mr. Kuan was a member of Themes Investment Partners, a Private Equity fund based in Hong Kong, where he played a central role in coordinating cross-border technology transfer and regulatory submissions for portfolio companies. Mr. Kuan began his career in an operational role at Dinova Capital, a Shanghai-based, medical technology incubator fund, evaluating medical device investment opportunities. Mr. Kuan received his M.S. in Biotechnology from the Johns Hopkins University and his B.A. in Biology from the University of Pennsylvania. Mr. Kuan’s knowledge of our business and experience investing in a number of biopharmaceutical companies contributed to our board of directors’ conclusion that he should serve as a director of our company.</w:t>
      </w:r>
    </w:p>
    <w:p>
      <w:pPr>
        <w:spacing w:after="0" w:line="183"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Ambaw Bellete </w:t>
      </w:r>
      <w:r>
        <w:rPr>
          <w:rFonts w:ascii="Times New Roman" w:cs="Times New Roman" w:eastAsia="Times New Roman" w:hAnsi="Times New Roman"/>
          <w:sz w:val="18"/>
          <w:szCs w:val="18"/>
          <w:color w:val="auto"/>
        </w:rPr>
        <w:t>has served as our President and Chief Operating Officer since July 2023. Previously, Mr. Bellete served as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Lion Healthcare Strategies, a strategic advisory firm, from April 2021 to August 2023, and Chief Operating Officer of FerGene, a gene therapy company dedicated to revolutionizing the treatment of bladder cancer, from March 2020 to March 2021. Prior to FerGene, Mr. Bellete served as the president of Photocure, a company focused on developing and commercializing pharmaceutical products based on photodynamic technology to treat bladder cancer, and also held several global leadership positions with biopharma, biotech and medical device companies, including President of Medical Compression Systems from January 2012 to July 2019. Mr. Bellete started his biopharma career at the Upjohn Company (now Pfizer) and then Sanofi, where he held diverse leadership roles in business development, managed care, marketing and sales positions in specialty, oncology and urology. Mr. Bellete currently serves on the board of directors The Axiom REACH Foundation and OncoSTING. Mr. Bellete holds a B.S. in Biology and Chemistry from Murray State University.</w:t>
      </w:r>
    </w:p>
    <w:p>
      <w:pPr>
        <w:spacing w:after="0" w:line="187" w:lineRule="exact"/>
        <w:rPr>
          <w:sz w:val="20"/>
          <w:szCs w:val="20"/>
          <w:color w:val="auto"/>
        </w:rPr>
      </w:pPr>
    </w:p>
    <w:p>
      <w:pPr>
        <w:jc w:val="both"/>
        <w:ind w:left="220" w:right="20" w:firstLine="432"/>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DiPalma </w:t>
      </w:r>
      <w:r>
        <w:rPr>
          <w:rFonts w:ascii="Times New Roman" w:cs="Times New Roman" w:eastAsia="Times New Roman" w:hAnsi="Times New Roman"/>
          <w:sz w:val="18"/>
          <w:szCs w:val="18"/>
          <w:color w:val="auto"/>
        </w:rPr>
        <w:t>has served as our Chief Financial Officer since March 2023 and has worked with us as a consultant and senior advisor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our finance operations since March 2021. Mr. DiPalma is a Managing</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40"/>
          </w:cols>
          <w:pgMar w:left="320" w:top="451" w:right="5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Director of Danforth Advisors, a professional consultancy that specializes in working with life sciences companies. Prior to and during his tenure at Danforth, Mr. DiPalma has served as Chief Financial Officer to several public and emerging companies in various stages of development. Mr. DiPalma served as Chief Financial Officer at Forum Pharmaceuticals from 2009 to 2014. Mr. DiPalma holds a B.S. from the University of Massachusetts and M.B.A. from Babson College.</w:t>
      </w:r>
    </w:p>
    <w:p>
      <w:pPr>
        <w:spacing w:after="0" w:line="176"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Vijay Kasturi </w:t>
      </w:r>
      <w:r>
        <w:rPr>
          <w:rFonts w:ascii="Times New Roman" w:cs="Times New Roman" w:eastAsia="Times New Roman" w:hAnsi="Times New Roman"/>
          <w:sz w:val="18"/>
          <w:szCs w:val="18"/>
          <w:color w:val="auto"/>
        </w:rPr>
        <w:t>has served as our Chief Medical Officer since September 2023. Previously, Dr. Kasturi was Vice President of Clinical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Medical Affairs of AVEO Pharmaceuticals, a cancer therapeutics company, from April 2021 to August 2023. Prior to AVEO Pharmaceuticals, Dr. Kasturi was Senior Vice President of Scientific Affairs at FerGene from March 2020 to March 2021. Prior to FerGene, Dr. Kasturi was head of U.S. Medical Affairs, Oncology for EMD Serono, a pharmaceutical company focused on reproductive health, multiple sclerosis and cancer, from November 2015 to March 2020, where he had responsibility for developing global and regional strategies that brought new therapies to patients in immunology, hematology and oncology. Earlier in his career, Dr. Kasturi treated patients with cancer and served as an assistant professor of medicine, Division of Hematology-Oncology at the University of Massachusetts Medical School and as the program leader for genitourinary oncology at UMass Memorial Cancer Center. Dr. Kasturi trained in Hematology-Oncology at the National Cancer Institute (NCI) and worked as an investigator and physician at the NCI and Dartmouth Hitchcock Medical Center. Dr. Kasturi holds an M.D. from Rush Medical College of Rush University and a B.S. in Biology from University of Illinois, Chicago.</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1"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Liu, M.D. </w:t>
      </w:r>
      <w:r>
        <w:rPr>
          <w:rFonts w:ascii="Times New Roman" w:cs="Times New Roman" w:eastAsia="Times New Roman" w:hAnsi="Times New Roman"/>
          <w:sz w:val="18"/>
          <w:szCs w:val="18"/>
          <w:color w:val="auto"/>
        </w:rPr>
        <w:t>has served as a member of our board of directors since September 2022. Dr. Liu is a Managing Director at Longitude Capital,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venture capital firm, where he has been employed since 2018. Prior to joining Longitude Capital, Dr. Liu was an Engagement Manager in the pharmaceuticals practice of McKinsey &amp; Company from January 2016 to July 2018. Dr. Liu currently serves on the board of directors of Lassen Therapeutics and as a board observer at Quanta Therapeutics., Rivus Pharmaceuticals and Zenas BioPharma. Dr. Liu previously served as a board observer at Endeavor Biomedicines, Inflazome (acquired by Roche Holding), Descena Lab, Talaris Therapeutics, and Vera Therapeutics. Dr. Liu holds an M.D. from Stanford School of Medicine and a B.S. in Biomedical Engineering from Johns Hopkins University. Dr. Liu’s investment experience in the pharmaceutical industry and prior board experience contributed to our board of directors’ conclusion that he should serve as a director of our company.</w:t>
      </w:r>
    </w:p>
    <w:p>
      <w:pPr>
        <w:spacing w:after="0" w:line="183"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J. Mulé, IPh.D. </w:t>
      </w:r>
      <w:r>
        <w:rPr>
          <w:rFonts w:ascii="Times New Roman" w:cs="Times New Roman" w:eastAsia="Times New Roman" w:hAnsi="Times New Roman"/>
          <w:sz w:val="18"/>
          <w:szCs w:val="18"/>
          <w:color w:val="auto"/>
        </w:rPr>
        <w:t>has served as a member of our board of directors since 2018. Dr. Mulé has served as Associate Center Director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Science and the Michael McGillicuddy (U.S. Senator Connie Mack (ret.) &amp; Family) Endowed Chair for Melanoma Research and Treatment since 2003 and is the Associate Center Director of the Moffitt Cancer Center, Tampa, Florida, where he has served as a Director since 2003. Since 1993, Dr. Mulé has served multiple tenures as a special government employee to the FDA at the Center for Drug Evaluation and Research and at the Center for Biologics Evaluation and Research and to the National Cancer Institute (NCI). Dr. Mulé also served on the board of directors of publicly-traded company Fulgent Genetics from 2016 to 2020. Dr. Mulé serves on the advisory boards of numerous biotechnology companies, pharmaceutical companies, NCI-designated cancer centers and investment funds, including Buffett Cancer Center, Omaha; Masonic Cancer Center, Minneapolis; Affyimmune Therapeutics; Aleta Biotherapeutics; OncoPep; Turnstone Biologics; UbiVac; Vault Pharma; Vycellix; and Noble Life Science Partners. Dr. Mulé holds an Interdisciplinary Ph.D. in Tumor Immunology, Immunocytology, and Immunopathology from the University of Washington and the Fred Hutchinson Cancer Research Center, Seattle, Washington, a M.S. in Cellular Immunology from the University of Washington School of Medicine and a B.A. from New Jersey City University. Dr. Mulé received his formal postgraduate training at the Surgery Branch, Division of Cancer Treatment, NCI, National Institutes of Health (NIH), Bethesda, Maryland. Dr. Mulé has held tenured senior positions at the NCI/NIH and the University of Michigan, Ann Arbor. Dr. Mulé’s extensive regulatory, basic, translational and clinical research as well as administration leadership experience in both non-profit and for-profit entities and the biopharmaceutical industry contributed to our board of directors’ conclusion that he should serve as a director of our company.</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40"/>
          </w:cols>
          <w:pgMar w:left="320" w:top="451" w:right="5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Leonard Post, Ph.D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a member of our board of directors since 2018. Dr. Post has over three decades of pharmaceutical R&amp;D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Since July 2016, Dr. Post has served as Chief Scientific Officer of Vivace Therapeutics, an oncology company working on small molecules targeting the hippo pathway, and is also Chief Scientific Officer of its sister company Virtuoso Therapeutics, a company working on bispecific antibodies for oncology. From February 2010 until June 2016, Dr. Post worked at BioMarin, in various positions including Chief Scientific Officer. During that time, he oversaw the initiation of BioMarin’s first gene therapy project for hemophilia A. Prior to that, Dr. Post served as Chief Scientific Officer of LEAD Therapeutics, Senior Vice President of Research &amp; Development at Onyx Pharmaceuticals, and Vice President of Discovery Research at Parke-Davis Pharmaceuticals. Dr. Post is also currently an advisor to Canaan Partners. Mr. Post currently serves on the board of directors of uniQure, a publicly-traded biopharmaceutical company, and privately-held biopharmaceutical companies, AceLink Therapeutics, Aniko Pharmaceuticals, Vivace Therapeutics, Orphagen Pharmaceuticals, Fedora Pharma and Oxyrane UK. Dr. Post also previously served on the board of directors of publicly-traded genetic diagnostics company Fulgent Genetics from August 2022 to October 2022. Dr. Post is a virologist by training and did early work on engineering of herpes simplex virus as a postdoctoral fellow. Dr. Post has a B.S. in Chemistry from the University of Michigan, and a Ph.D. in Biochemistry from the University of Wisconsin. Dr. Post’s extensive experience in the biotechnology industry, and specifically in oncolytic viruses, contributed to our board of directors’ conclusion that he should serve as a director of our company.</w:t>
      </w:r>
    </w:p>
    <w:p>
      <w:pPr>
        <w:spacing w:after="0" w:line="188"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Simone Song </w:t>
      </w:r>
      <w:r>
        <w:rPr>
          <w:rFonts w:ascii="Times New Roman" w:cs="Times New Roman" w:eastAsia="Times New Roman" w:hAnsi="Times New Roman"/>
          <w:sz w:val="18"/>
          <w:szCs w:val="18"/>
          <w:color w:val="auto"/>
        </w:rPr>
        <w:t>has served as a member of our board of directors since November 2015. Ms. Song is the Founder and has been a Senior Partner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 Capital Limited, a venture capital firm, since July 2015. Prior to ORI Capital, Ms. Song served as the Head of Healthcare Investment Banking for Greater China for Goldman Sachs. Prior to Goldman Sachs, Ms. Song was a Managing Director of Cowen, a member of the advisory board of AXA Investment Managers, a global investment management firm, and an executive board advisor to AXA Asia Pacific Holdings Limited. Ms. Hong holds a B.A. in Economics from Fudan University and an M.A. in Economics from Claremont Graduate School. Ms. Song’s extensive experience in the healthcare sector contributed to our board of directors’ conclusion that she should serve as a director of our company.</w:t>
      </w:r>
    </w:p>
    <w:p>
      <w:pPr>
        <w:spacing w:after="0" w:line="180"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Victor Tong, Jr. </w:t>
      </w:r>
      <w:r>
        <w:rPr>
          <w:rFonts w:ascii="Times New Roman" w:cs="Times New Roman" w:eastAsia="Times New Roman" w:hAnsi="Times New Roman"/>
          <w:sz w:val="18"/>
          <w:szCs w:val="18"/>
          <w:color w:val="auto"/>
        </w:rPr>
        <w:t>has served as a member of our board of directors since July 2023. Mr. Tong is a Managing Director at Decheng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(Decheng), an investment firm, where he has worked since its inception in 2012 and focuses on investments in biotechnology and medical technology companies in China and the United States. Before joining Decheng, Mr. Tong was a Principal at Bay City Capital, a life sciences investment firm, and a member of the healthcare investment banking division at Morgan Stanley. Mr. Tong serves on the board of directors of multiple privately held biotechnology and biopharmaceutical companies including Cellares Corp., EpimAb Biotherapeutics, Harton Therapeutics, Hummingbird Bioscience, LevitasBio, Nalu Medical, Take2, and Watchmaker Genomics. Mr. Tong holds a B.A. in Molecular and Cell Biology and B.S. in Business Administration from the University of California, Berkeley. Mr. Tong’s investment and board experience in the biopharmaceutical industry contributed to our board of directors’ conclusion that he should serve as a director of our company.</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Board Composition and Election of Directors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Our board of directors currently consists of six members. Our board of directors has determined that all of our directors, other than Mr. Kuan are independent directors in accordance with the listing requirements of the Nasdaq Stock Market (Nasdaq). The Nasdaq independence definition includes a series of objective tests, including that the director is not, and has not been for at least three years, one of our employees and that neither</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20"/>
          </w:cols>
          <w:pgMar w:left="320" w:top="451" w:right="5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1" w:lineRule="auto"/>
        <w:rPr>
          <w:sz w:val="20"/>
          <w:szCs w:val="20"/>
          <w:color w:val="auto"/>
        </w:rPr>
      </w:pPr>
      <w:r>
        <w:rPr>
          <w:rFonts w:ascii="Times New Roman" w:cs="Times New Roman" w:eastAsia="Times New Roman" w:hAnsi="Times New Roman"/>
          <w:sz w:val="18"/>
          <w:szCs w:val="18"/>
          <w:color w:val="auto"/>
        </w:rPr>
        <w:t>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the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In accordance with the terms of our amended and restated certificate of incorporation that will go into effect immediately prior to the closing of this offering, our board of directors will be divided into three classes with staggered, three-year terms. At each annual meeting of stockholders, the directors whose terms then expire will be eligible for reelection until the third annual meeting following reelection. Effective upon the closing of this offering, our directors will be divided among the three classes as follows:</w:t>
      </w:r>
    </w:p>
    <w:p>
      <w:pPr>
        <w:spacing w:after="0" w:line="88"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Class I directors will be            , and their terms will expire at our first annual meeting of stockholders following this offering;</w:t>
      </w:r>
    </w:p>
    <w:p>
      <w:pPr>
        <w:spacing w:after="0" w:line="124" w:lineRule="exact"/>
        <w:rPr>
          <w:sz w:val="20"/>
          <w:szCs w:val="20"/>
          <w:color w:val="auto"/>
        </w:rPr>
      </w:pPr>
    </w:p>
    <w:p>
      <w:pPr>
        <w:ind w:left="1180" w:hanging="538"/>
        <w:spacing w:after="0" w:line="274" w:lineRule="auto"/>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 and their terms will expire at our second annual meeting of stockholders following this offering; and</w:t>
      </w:r>
    </w:p>
    <w:p>
      <w:pPr>
        <w:spacing w:after="0" w:line="71"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Class III directors will be            , and their terms will expire at our third annual meeting of stockholders following this offering.</w:t>
      </w:r>
    </w:p>
    <w:p>
      <w:pPr>
        <w:spacing w:after="0" w:line="217"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go into effect immediately prior to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board of directors or a change in control of our company. Our directors may be removed only for cause by the affirmative vote of the holders of at least two-thirds of our outstanding voting stock then entitled to vote in an election of directors.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13"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Our board of directors is currently chaired by           . Our board of directors recognizes that it is important to determine an optimal board leadership structure to ensure the independent oversight of management as the Company continues to grow. We separate the roles of chief executive officer and chairman of the board of directors in recognition of the differences between the two roles. The chief executive officer is responsible for setting the strategic direction for our company and the day-to-day leadership and performance of our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our company.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1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strategic and reputational risk.</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0"/>
          </w:cols>
          <w:pgMar w:left="320" w:top="451" w:right="5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of directors as a whole.</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Board Committees and Independence</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Our board of directors has established three standing committees – audit, compensation and nominating and corporate governance – each of which operates under a charter that has been approved by our board of directors.</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audit committee’s main function is to oversee our accounting and financial reporting processes and the audits of our financial statements. This committee’s responsibilities include, among other things:</w:t>
      </w:r>
    </w:p>
    <w:p>
      <w:pPr>
        <w:spacing w:after="0" w:line="71" w:lineRule="exact"/>
        <w:rPr>
          <w:sz w:val="20"/>
          <w:szCs w:val="20"/>
          <w:color w:val="auto"/>
        </w:rPr>
      </w:pPr>
    </w:p>
    <w:p>
      <w:pPr>
        <w:ind w:left="1180" w:hanging="538"/>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our independent registered public accounting firm;</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our independent registered public accounting firm;</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audit and non-audit services to be performed by our independent registered public accounting firm;</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design, implementation, adequacy and effectiveness of our internal accounting controls and our critical accounting policies;</w:t>
      </w:r>
    </w:p>
    <w:p>
      <w:pPr>
        <w:spacing w:after="0" w:line="135" w:lineRule="exact"/>
        <w:rPr>
          <w:rFonts w:ascii="Times New Roman" w:cs="Times New Roman" w:eastAsia="Times New Roman" w:hAnsi="Times New Roman"/>
          <w:sz w:val="17"/>
          <w:szCs w:val="17"/>
          <w:color w:val="auto"/>
        </w:rPr>
      </w:pPr>
    </w:p>
    <w:p>
      <w:pPr>
        <w:ind w:left="1180" w:hanging="538"/>
        <w:spacing w:after="0" w:line="274"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our annual audit and the review of our quarterly unaudited financial statements;</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periodic basis, or as appropriate, any investment policy and recommending to our board of directors any changes to such investment policy;</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auditors any earnings announcements and other public announcements regarding our results of operations;</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any related party transactions and reviewing and monitoring compliance with our code of conduct and ethics; and</w:t>
      </w:r>
    </w:p>
    <w:p>
      <w:pPr>
        <w:spacing w:after="0" w:line="135" w:lineRule="exact"/>
        <w:rPr>
          <w:rFonts w:ascii="Times New Roman" w:cs="Times New Roman" w:eastAsia="Times New Roman" w:hAnsi="Times New Roman"/>
          <w:sz w:val="17"/>
          <w:szCs w:val="17"/>
          <w:color w:val="auto"/>
        </w:rPr>
      </w:pPr>
    </w:p>
    <w:p>
      <w:pPr>
        <w:ind w:left="1180" w:hanging="538"/>
        <w:spacing w:after="0" w:line="274"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audit committee and its members including compliance of the audit committee with its charter.</w:t>
      </w:r>
    </w:p>
    <w:p>
      <w:pPr>
        <w:spacing w:after="0" w:line="16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members of our audit committee are Dr. Liu, Ms. Song and        .        serves as the chairperson of the committee. All members of our audit committee meet the requirements for financial literacy under the applicable rules and regulations of the SEC and Nasdaq. Our board of directors has determined that        is an “audit committee financial expert” as defined by applicable SEC rules and has the requisite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20"/>
          </w:cols>
          <w:pgMar w:left="320" w:top="451" w:right="5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9" w:lineRule="auto"/>
        <w:rPr>
          <w:sz w:val="20"/>
          <w:szCs w:val="20"/>
          <w:color w:val="auto"/>
        </w:rPr>
      </w:pPr>
      <w:r>
        <w:rPr>
          <w:rFonts w:ascii="Times New Roman" w:cs="Times New Roman" w:eastAsia="Times New Roman" w:hAnsi="Times New Roman"/>
          <w:sz w:val="18"/>
          <w:szCs w:val="18"/>
          <w:color w:val="auto"/>
        </w:rPr>
        <w:t>financial sophistication as defined under the applicable Nasdaq listing standards. Our board of directors has determined that each of Mr. Kuan, Mr. Liu and Ms. Song is independent under the applicable rules of the SEC and Nasdaq. Upon the listing of our common stock on Nasdaq, the audit committee will operate under a written charter that satisfies the applicable standards of the SEC and Nasdaq.</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5"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plans. The compensation committee will review and evaluate, at least annually, the performance of the compensation committee and its members, including compliance by the compensation committee with its charter.</w:t>
      </w:r>
    </w:p>
    <w:p>
      <w:pPr>
        <w:spacing w:after="0" w:line="18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 members of our compensation committee are Dr. Liu, Dr. Post and Ms. Song. Ms. Song serves as the chairperson of the committee. Our board of directors has determined that each of Dr. Liu, Dr. Post and Ms. Song is independent under the applicable Nasdaq listing standards and is a “non-employee director” as defined in Rule 16b-3 promulgated under the Exchange Act. Upon the listing of our common stock on Nasdaq, the compensation committee will operate under a written charter, which the compensation committee will review and evaluate at least annually.</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is responsible for assisting our board of directors in discharging the board of directors’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reviewing and assisting the Board with oversight of matters relating to environmental, social and governance matters affecting the Company and oversight of the evaluation of our board of directors. The members of our nominating and corporate governance committee are        .       </w:t>
      </w:r>
    </w:p>
    <w:p>
      <w:pPr>
        <w:jc w:val="both"/>
        <w:ind w:left="220"/>
        <w:spacing w:after="0" w:line="248" w:lineRule="auto"/>
        <w:rPr>
          <w:sz w:val="20"/>
          <w:szCs w:val="20"/>
          <w:color w:val="auto"/>
        </w:rPr>
      </w:pPr>
      <w:r>
        <w:rPr>
          <w:rFonts w:ascii="Times New Roman" w:cs="Times New Roman" w:eastAsia="Times New Roman" w:hAnsi="Times New Roman"/>
          <w:sz w:val="18"/>
          <w:szCs w:val="18"/>
          <w:color w:val="auto"/>
        </w:rPr>
        <w:t>serves as the chairperson of the committee. Our board of directors has determined that each of        is independent under the applicable Nasdaq listing standards. Upon the listing of our common stock on Nasdaq, the nominating and corporate governance committee will operate under a written charter, which the nominating and corporate governance committee will review and evaluate at least annually.</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13" w:lineRule="exact"/>
        <w:rPr>
          <w:sz w:val="20"/>
          <w:szCs w:val="20"/>
          <w:color w:val="auto"/>
        </w:rPr>
      </w:pPr>
    </w:p>
    <w:p>
      <w:pPr>
        <w:jc w:val="both"/>
        <w:ind w:left="220" w:firstLine="432"/>
        <w:spacing w:after="0" w:line="282" w:lineRule="auto"/>
        <w:rPr>
          <w:sz w:val="20"/>
          <w:szCs w:val="20"/>
          <w:color w:val="auto"/>
        </w:rPr>
      </w:pPr>
      <w:r>
        <w:rPr>
          <w:rFonts w:ascii="Times New Roman" w:cs="Times New Roman" w:eastAsia="Times New Roman" w:hAnsi="Times New Roman"/>
          <w:sz w:val="17"/>
          <w:szCs w:val="17"/>
          <w:color w:val="auto"/>
        </w:rPr>
        <w:t>Upon the closing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20"/>
          </w:cols>
          <w:pgMar w:left="320" w:top="451" w:right="5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and corporate governance committee and the board of directors will take into account many factors, including the following:</w:t>
      </w:r>
    </w:p>
    <w:p>
      <w:pPr>
        <w:spacing w:after="0" w:line="124" w:lineRule="exact"/>
        <w:rPr>
          <w:sz w:val="20"/>
          <w:szCs w:val="20"/>
          <w:color w:val="auto"/>
        </w:rPr>
      </w:pPr>
    </w:p>
    <w:p>
      <w:pPr>
        <w:ind w:left="1180" w:hanging="538"/>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 ethics and values;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publicly-held company;</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or executive officer of another publicly-held company;</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finance experience;</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background and perspective, including, but not limited to, with respect to age, gender, race, place of residence and specialized experience;</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relevant to our business industry and with relevant social policy concerns;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academic expertise or other proficiency in an area of our business operations.</w:t>
      </w:r>
    </w:p>
    <w:p>
      <w:pPr>
        <w:spacing w:after="0" w:line="217"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Currently, our board of directors evaluates, and following the closing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13"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We plan to adopt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closing of this offering. Upon the closing of this offering, our code of business conduct and ethics will be available under the Corporate Governance section of our website at https://cgoncology.com. In addition, we intend to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20"/>
          </w:cols>
          <w:pgMar w:left="320" w:top="451" w:right="5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ind w:left="220" w:firstLine="432"/>
        <w:spacing w:after="0" w:line="274" w:lineRule="auto"/>
        <w:rPr>
          <w:sz w:val="20"/>
          <w:szCs w:val="20"/>
          <w:color w:val="auto"/>
        </w:rPr>
      </w:pPr>
      <w:r>
        <w:rPr>
          <w:rFonts w:ascii="Times New Roman" w:cs="Times New Roman" w:eastAsia="Times New Roman" w:hAnsi="Times New Roman"/>
          <w:sz w:val="18"/>
          <w:szCs w:val="18"/>
          <w:color w:val="auto"/>
        </w:rPr>
        <w:t>Our named executive officers for 2022, which consist of our principal executive officer during 2022 and our two next most highly compensated executive officers during 2022, were:</w:t>
      </w:r>
    </w:p>
    <w:p>
      <w:pPr>
        <w:spacing w:after="0" w:line="71" w:lineRule="exact"/>
        <w:rPr>
          <w:sz w:val="20"/>
          <w:szCs w:val="20"/>
          <w:color w:val="auto"/>
        </w:rPr>
      </w:pPr>
    </w:p>
    <w:p>
      <w:pPr>
        <w:ind w:left="1180" w:hanging="538"/>
        <w:spacing w:after="0"/>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Arthur Kuan, Chief Executive Officer;</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Burke, M.D., Senior Clinical and Medical Advisor and former Chief Medical Officer;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 Roth, Ph.D., former Chief Technical Officer.</w:t>
      </w:r>
    </w:p>
    <w:p>
      <w:pPr>
        <w:spacing w:after="0" w:line="217"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Effective August 14, 2023, Dr. Burke transitioned from the role of Chief Medical Officer to Senior Clinical and Medical Advisor. Effective August 9, 2023, Dr. Roth separated from the Company.</w:t>
      </w:r>
    </w:p>
    <w:p>
      <w:pPr>
        <w:spacing w:after="0" w:line="16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spacing w:after="0" w:line="178"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with respect to the fiscal year ended December 31, 2022 by our named executive officers.</w:t>
      </w:r>
    </w:p>
    <w:p>
      <w:pPr>
        <w:spacing w:after="0" w:line="2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2022 Summary Compensation Table</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20" w:type="dxa"/>
            <w:vAlign w:val="bottom"/>
            <w:gridSpan w:val="2"/>
            <w:vMerge w:val="continue"/>
          </w:tcPr>
          <w:p>
            <w:pPr>
              <w:spacing w:after="0"/>
              <w:rPr>
                <w:sz w:val="12"/>
                <w:szCs w:val="12"/>
                <w:color w:val="auto"/>
              </w:rPr>
            </w:pP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6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74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580" w:type="dxa"/>
            <w:vAlign w:val="bottom"/>
          </w:tcPr>
          <w:p>
            <w:pPr>
              <w:jc w:val="right"/>
              <w:ind w:right="124"/>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420" w:type="dxa"/>
            <w:vAlign w:val="bottom"/>
          </w:tcPr>
          <w:p>
            <w:pPr>
              <w:jc w:val="right"/>
              <w:ind w:right="44"/>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580" w:type="dxa"/>
            <w:vAlign w:val="bottom"/>
          </w:tcPr>
          <w:p>
            <w:pPr>
              <w:jc w:val="center"/>
              <w:spacing w:after="0" w:line="157"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5"/>
                <w:szCs w:val="15"/>
                <w:color w:val="auto"/>
              </w:rPr>
            </w:pPr>
          </w:p>
        </w:tc>
        <w:tc>
          <w:tcPr>
            <w:tcW w:w="920" w:type="dxa"/>
            <w:vAlign w:val="bottom"/>
          </w:tcPr>
          <w:p>
            <w:pPr>
              <w:jc w:val="center"/>
              <w:spacing w:after="0" w:line="157"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8"/>
                <w:szCs w:val="18"/>
                <w:b w:val="1"/>
                <w:bCs w:val="1"/>
                <w:color w:val="auto"/>
                <w:vertAlign w:val="superscript"/>
              </w:rPr>
              <w:t>(2)</w:t>
            </w:r>
          </w:p>
        </w:tc>
        <w:tc>
          <w:tcPr>
            <w:tcW w:w="260" w:type="dxa"/>
            <w:vAlign w:val="bottom"/>
          </w:tcPr>
          <w:p>
            <w:pPr>
              <w:spacing w:after="0"/>
              <w:rPr>
                <w:sz w:val="15"/>
                <w:szCs w:val="15"/>
                <w:color w:val="auto"/>
              </w:rPr>
            </w:pPr>
          </w:p>
        </w:tc>
        <w:tc>
          <w:tcPr>
            <w:tcW w:w="900" w:type="dxa"/>
            <w:vAlign w:val="bottom"/>
          </w:tcPr>
          <w:p>
            <w:pPr>
              <w:jc w:val="center"/>
              <w:spacing w:after="0" w:line="157"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8"/>
                <w:szCs w:val="18"/>
                <w:b w:val="1"/>
                <w:bCs w:val="1"/>
                <w:color w:val="auto"/>
                <w:vertAlign w:val="superscript"/>
              </w:rPr>
              <w:t>(3)</w:t>
            </w:r>
          </w:p>
        </w:tc>
        <w:tc>
          <w:tcPr>
            <w:tcW w:w="260" w:type="dxa"/>
            <w:vAlign w:val="bottom"/>
          </w:tcPr>
          <w:p>
            <w:pPr>
              <w:spacing w:after="0"/>
              <w:rPr>
                <w:sz w:val="15"/>
                <w:szCs w:val="15"/>
                <w:color w:val="auto"/>
              </w:rPr>
            </w:pPr>
          </w:p>
        </w:tc>
        <w:tc>
          <w:tcPr>
            <w:tcW w:w="720" w:type="dxa"/>
            <w:vAlign w:val="bottom"/>
          </w:tcPr>
          <w:p>
            <w:pPr>
              <w:jc w:val="right"/>
              <w:ind w:right="204"/>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Arthur Kuan</w:t>
            </w: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2022</w:t>
            </w: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394,000</w:t>
            </w:r>
          </w:p>
        </w:tc>
        <w:tc>
          <w:tcPr>
            <w:tcW w:w="2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694,269</w:t>
            </w: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140,000</w:t>
            </w:r>
          </w:p>
        </w:tc>
        <w:tc>
          <w:tcPr>
            <w:tcW w:w="2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8"/>
              </w:rPr>
              <w:t>1,130</w:t>
            </w: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1,229,399</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James Burke, M.D.,</w:t>
            </w:r>
          </w:p>
        </w:tc>
        <w:tc>
          <w:tcPr>
            <w:tcW w:w="580" w:type="dxa"/>
            <w:vAlign w:val="bottom"/>
            <w:gridSpan w:val="2"/>
          </w:tcPr>
          <w:p>
            <w:pPr>
              <w:ind w:left="260"/>
              <w:spacing w:after="0" w:line="183" w:lineRule="exact"/>
              <w:rPr>
                <w:sz w:val="20"/>
                <w:szCs w:val="20"/>
                <w:color w:val="auto"/>
              </w:rPr>
            </w:pPr>
            <w:r>
              <w:rPr>
                <w:rFonts w:ascii="Times New Roman" w:cs="Times New Roman" w:eastAsia="Times New Roman" w:hAnsi="Times New Roman"/>
                <w:sz w:val="16"/>
                <w:szCs w:val="16"/>
                <w:color w:val="auto"/>
                <w:w w:val="93"/>
              </w:rPr>
              <w:t>2022</w:t>
            </w:r>
          </w:p>
        </w:tc>
        <w:tc>
          <w:tcPr>
            <w:tcW w:w="240" w:type="dxa"/>
            <w:vAlign w:val="bottom"/>
          </w:tcPr>
          <w:p>
            <w:pPr>
              <w:spacing w:after="0"/>
              <w:rPr>
                <w:sz w:val="15"/>
                <w:szCs w:val="15"/>
                <w:color w:val="auto"/>
              </w:rPr>
            </w:pPr>
          </w:p>
        </w:tc>
        <w:tc>
          <w:tcPr>
            <w:tcW w:w="820" w:type="dxa"/>
            <w:vAlign w:val="bottom"/>
            <w:gridSpan w:val="2"/>
          </w:tcPr>
          <w:p>
            <w:pPr>
              <w:jc w:val="right"/>
              <w:ind w:right="240"/>
              <w:spacing w:after="0" w:line="183" w:lineRule="exact"/>
              <w:rPr>
                <w:sz w:val="20"/>
                <w:szCs w:val="20"/>
                <w:color w:val="auto"/>
              </w:rPr>
            </w:pPr>
            <w:r>
              <w:rPr>
                <w:rFonts w:ascii="Times New Roman" w:cs="Times New Roman" w:eastAsia="Times New Roman" w:hAnsi="Times New Roman"/>
                <w:sz w:val="16"/>
                <w:szCs w:val="16"/>
                <w:color w:val="auto"/>
              </w:rPr>
              <w:t>344,000</w:t>
            </w:r>
          </w:p>
        </w:tc>
        <w:tc>
          <w:tcPr>
            <w:tcW w:w="820" w:type="dxa"/>
            <w:vAlign w:val="bottom"/>
            <w:gridSpan w:val="2"/>
          </w:tcPr>
          <w:p>
            <w:pPr>
              <w:jc w:val="right"/>
              <w:ind w:right="40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40"/>
              <w:spacing w:after="0" w:line="183" w:lineRule="exact"/>
              <w:rPr>
                <w:sz w:val="20"/>
                <w:szCs w:val="20"/>
                <w:color w:val="auto"/>
              </w:rPr>
            </w:pPr>
            <w:r>
              <w:rPr>
                <w:rFonts w:ascii="Times New Roman" w:cs="Times New Roman" w:eastAsia="Times New Roman" w:hAnsi="Times New Roman"/>
                <w:sz w:val="16"/>
                <w:szCs w:val="16"/>
                <w:color w:val="auto"/>
              </w:rPr>
              <w:t>88,444</w:t>
            </w:r>
          </w:p>
        </w:tc>
        <w:tc>
          <w:tcPr>
            <w:tcW w:w="1180" w:type="dxa"/>
            <w:vAlign w:val="bottom"/>
            <w:gridSpan w:val="2"/>
          </w:tcPr>
          <w:p>
            <w:pPr>
              <w:jc w:val="right"/>
              <w:ind w:right="260"/>
              <w:spacing w:after="0" w:line="183" w:lineRule="exact"/>
              <w:rPr>
                <w:sz w:val="20"/>
                <w:szCs w:val="20"/>
                <w:color w:val="auto"/>
              </w:rPr>
            </w:pPr>
            <w:r>
              <w:rPr>
                <w:rFonts w:ascii="Times New Roman" w:cs="Times New Roman" w:eastAsia="Times New Roman" w:hAnsi="Times New Roman"/>
                <w:sz w:val="16"/>
                <w:szCs w:val="16"/>
                <w:color w:val="auto"/>
              </w:rPr>
              <w:t>133,000</w:t>
            </w:r>
          </w:p>
        </w:tc>
        <w:tc>
          <w:tcPr>
            <w:tcW w:w="1160" w:type="dxa"/>
            <w:vAlign w:val="bottom"/>
            <w:gridSpan w:val="2"/>
          </w:tcPr>
          <w:p>
            <w:pPr>
              <w:ind w:left="560"/>
              <w:spacing w:after="0" w:line="183" w:lineRule="exact"/>
              <w:rPr>
                <w:sz w:val="20"/>
                <w:szCs w:val="20"/>
                <w:color w:val="auto"/>
              </w:rPr>
            </w:pPr>
            <w:r>
              <w:rPr>
                <w:rFonts w:ascii="Times New Roman" w:cs="Times New Roman" w:eastAsia="Times New Roman" w:hAnsi="Times New Roman"/>
                <w:sz w:val="16"/>
                <w:szCs w:val="16"/>
                <w:color w:val="auto"/>
              </w:rPr>
              <w:t>9,562</w:t>
            </w:r>
          </w:p>
        </w:tc>
        <w:tc>
          <w:tcPr>
            <w:tcW w:w="76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575,006</w:t>
            </w:r>
          </w:p>
        </w:tc>
        <w:tc>
          <w:tcPr>
            <w:tcW w:w="0" w:type="dxa"/>
            <w:vAlign w:val="bottom"/>
          </w:tcPr>
          <w:p>
            <w:pPr>
              <w:spacing w:after="0"/>
              <w:rPr>
                <w:sz w:val="1"/>
                <w:szCs w:val="1"/>
                <w:color w:val="auto"/>
              </w:rPr>
            </w:pPr>
          </w:p>
        </w:tc>
      </w:tr>
      <w:tr>
        <w:trPr>
          <w:trHeight w:val="199"/>
        </w:trPr>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Senior Clinical and Medical Advisor and former Chief Medical</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2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Georg Roth, Ph.D.,</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3"/>
              </w:rPr>
              <w:t>2022</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320,000</w:t>
            </w:r>
          </w:p>
        </w:tc>
        <w:tc>
          <w:tcPr>
            <w:tcW w:w="820" w:type="dxa"/>
            <w:vAlign w:val="bottom"/>
            <w:gridSpan w:val="2"/>
            <w:shd w:val="clear" w:color="auto" w:fill="CCEEFF"/>
          </w:tcPr>
          <w:p>
            <w:pPr>
              <w:jc w:val="right"/>
              <w:ind w:right="260"/>
              <w:spacing w:after="0" w:line="201" w:lineRule="exact"/>
              <w:rPr>
                <w:sz w:val="20"/>
                <w:szCs w:val="20"/>
                <w:color w:val="auto"/>
              </w:rPr>
            </w:pPr>
            <w:r>
              <w:rPr>
                <w:rFonts w:ascii="Times New Roman" w:cs="Times New Roman" w:eastAsia="Times New Roman" w:hAnsi="Times New Roman"/>
                <w:sz w:val="16"/>
                <w:szCs w:val="16"/>
                <w:color w:val="auto"/>
              </w:rPr>
              <w:t>1,500</w:t>
            </w:r>
            <w:r>
              <w:rPr>
                <w:rFonts w:ascii="Times New Roman" w:cs="Times New Roman" w:eastAsia="Times New Roman" w:hAnsi="Times New Roman"/>
                <w:sz w:val="23"/>
                <w:szCs w:val="23"/>
                <w:color w:val="auto"/>
                <w:vertAlign w:val="superscript"/>
              </w:rPr>
              <w:t>(4)</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61,651</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124,000</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9,523</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516,674</w:t>
            </w:r>
          </w:p>
        </w:tc>
        <w:tc>
          <w:tcPr>
            <w:tcW w:w="0" w:type="dxa"/>
            <w:vAlign w:val="bottom"/>
          </w:tcPr>
          <w:p>
            <w:pPr>
              <w:spacing w:after="0"/>
              <w:rPr>
                <w:sz w:val="1"/>
                <w:szCs w:val="1"/>
                <w:color w:val="auto"/>
              </w:rPr>
            </w:pPr>
          </w:p>
        </w:tc>
      </w:tr>
      <w:tr>
        <w:trPr>
          <w:trHeight w:val="199"/>
        </w:trPr>
        <w:tc>
          <w:tcPr>
            <w:tcW w:w="4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Technical Officer</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92710</wp:posOffset>
            </wp:positionV>
            <wp:extent cx="7569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56" w:lineRule="exact"/>
        <w:rPr>
          <w:sz w:val="20"/>
          <w:szCs w:val="20"/>
          <w:color w:val="auto"/>
        </w:rPr>
      </w:pPr>
    </w:p>
    <w:p>
      <w:pPr>
        <w:jc w:val="both"/>
        <w:ind w:left="640" w:hanging="422"/>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“Option Awards” column represent the aggregate grant date fair value of the stock options awarded to our named executive officers during fiscal year 2022, calculated in accordance with Financial Accounting Standards Board (FASB), Accounting Standards Codification (ASC) Topic 718. The assumptions used in calculating the grant date fair value of the awards reported in this column are set forth in Note 9 to our audited financial statements included elsewhere in this prospectus.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 See the subsection “—Narrative to Summary Compensation Table—Equity-Based Incentive Awards” below.</w:t>
      </w:r>
    </w:p>
    <w:p>
      <w:pPr>
        <w:spacing w:after="0" w:line="85" w:lineRule="exact"/>
        <w:rPr>
          <w:rFonts w:ascii="Times New Roman" w:cs="Times New Roman" w:eastAsia="Times New Roman" w:hAnsi="Times New Roman"/>
          <w:sz w:val="14"/>
          <w:szCs w:val="14"/>
          <w:color w:val="auto"/>
        </w:rPr>
      </w:pPr>
    </w:p>
    <w:p>
      <w:pPr>
        <w:ind w:left="640" w:hanging="422"/>
        <w:spacing w:after="0" w:line="217" w:lineRule="auto"/>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performance bonuses earned by each executive in 2022, which were paid in early 2023.</w:t>
      </w:r>
    </w:p>
    <w:p>
      <w:pPr>
        <w:ind w:left="640" w:hanging="422"/>
        <w:spacing w:after="0" w:line="217" w:lineRule="auto"/>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$8,432 and $8,393 in 401(k) matching contributions for Dr. Burke and Dr. Roth, respectively, and $760 in Company-paid premiums for long-term disability insurance and $370 in Company-paid premiums for life insurance for each of Mr. Kuan, Dr. Burke, and Dr. Roth.</w:t>
      </w:r>
    </w:p>
    <w:p>
      <w:pPr>
        <w:ind w:left="640" w:hanging="422"/>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reflects a one-time referral bonus paid to Dr. Roth.</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compensation of our named executive officers is generally determined and approved by our board of directors. The 2022 base salaries of each of our named executive officers are described below under the subsection titled “—Employment Arrangements with our Named Executive Officers” below.</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0"/>
          </w:cols>
          <w:pgMar w:left="320" w:top="451" w:right="5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115"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annual performance-based cash bonuses, which are designed to provide appropriate incentives to our executives to achieve annual corporate goals and to reward our executives for individual achievement towards these goals. The annual performance-based bonus each named executive officer is eligible to receive is based on the extent to which we achieve the corporate goals that our board of directors establishes each year. At the end of the year, our board of directors reviews our performance against each corporate goal and determines the extent to which we achieved each of our corporate goals.</w:t>
      </w:r>
    </w:p>
    <w:p>
      <w:pPr>
        <w:spacing w:after="0" w:line="185"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For 2022, Mr. Kuan, Dr. Burke, and Dr. Roth were each eligible to earn a target annual bonus equal to 40%, 35%, and 35% of their respective annual base salaries.</w:t>
      </w:r>
    </w:p>
    <w:p>
      <w:pPr>
        <w:spacing w:after="0" w:line="163"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corporate goals the board of directors established for 2022 related to regulatory, clinical and development goals, as well as operational objectives. In February 2023, our board of directors determined that the 2022 goals were achieved at 100% of targeted levels. The board of directors awarded cash bonuses to Mr. Kuan, Dr. Burke, and Dr. Roth in the amounts of $140,000, $133,000, and $124,000, respectively.</w:t>
      </w:r>
    </w:p>
    <w:p>
      <w:pPr>
        <w:spacing w:after="0" w:line="178"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Effective January 1, 2023, the target annual bonuses for Dr. Burke and Dr. Roth were each increased to 40% of such executive’s respective annual base salary.</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15"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Our equity-based incentive awards are designed to align our interests and those of our stockholders with those of our employees, including our executive officers. The board of directors or an authorized committee thereof is responsible for approving equity grants.</w:t>
      </w:r>
    </w:p>
    <w:p>
      <w:pPr>
        <w:spacing w:after="0" w:line="163"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Prior to this offering, we have granted stock options pursuant to our 2015 Equity Incentive Plan (2015 Plan) and our 2022 Incentive Award Plan (2022 Plan). Following this offering, we will grant equity awards under the terms of our 2024 Incentive Award Plan (2024 Plan). The terms of our equity plans are described below under the subsection titled “—Equity Incentive Plans” below. All options are granted with an exercise price per share that is no less than the fair market value of our common stock on the date of grant of such award as determined by our board of directors based on an independent third-party valuation. Our stock option grants generally vest over a four-year period and may be subject to acceleration of vesting and exercisability under certain termination and change in control events. In addition, from time to time our board of directors has also granted performance-based stock options, the vesting of which is tied to key clinical or regulatory milestones.</w:t>
      </w:r>
    </w:p>
    <w:p>
      <w:pPr>
        <w:spacing w:after="0" w:line="187" w:lineRule="exact"/>
        <w:rPr>
          <w:sz w:val="20"/>
          <w:szCs w:val="20"/>
          <w:color w:val="auto"/>
        </w:rPr>
      </w:pPr>
    </w:p>
    <w:p>
      <w:pPr>
        <w:jc w:val="both"/>
        <w:ind w:left="220" w:firstLine="432"/>
        <w:spacing w:after="0" w:line="232" w:lineRule="auto"/>
        <w:rPr>
          <w:sz w:val="20"/>
          <w:szCs w:val="20"/>
          <w:color w:val="auto"/>
        </w:rPr>
      </w:pPr>
      <w:r>
        <w:rPr>
          <w:rFonts w:ascii="Times New Roman" w:cs="Times New Roman" w:eastAsia="Times New Roman" w:hAnsi="Times New Roman"/>
          <w:sz w:val="18"/>
          <w:szCs w:val="18"/>
          <w:color w:val="auto"/>
        </w:rPr>
        <w:t>In February 2022, Mr. Kuan was granted an option to purchase 114,343 shares of our common stock pursuant to our 2015 Plan. The option has an exercise price of $0.19 per share, the fair market value on the date of grant as determined by our board of directors based on an independent third-party valuation. The option was fully vested as of the date of grant. In addition, in October 2022, Mr. Kuan was granted an option to purchase 3,900,000 shares of our common stock pursuant to our 2022 Plan. The option has an exercise price of $0.24 per share, the fair market value on the date of grant as determined by our board of directors based on an independent third-party valuation. The option vests over a period of four years, with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underlying the option vesting monthly, subject to Mr. Kuan’s continuous service with us as of each such vesting date.</w:t>
      </w:r>
    </w:p>
    <w:p>
      <w:pPr>
        <w:spacing w:after="0" w:line="195"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In February 2022, Dr. Burke and Dr. Roth were each granted an option to purchase 38,229 shares and 47,285 shares of our common stock, respectively, pursuant to our 2015 Plan. The options have an exercise price of $0.19 per share, the fair market value on the date of grant as determined by our board of directors based on an independent third-party valuation. The options were fully vested as of the date of grant. In October 2023, Mr. Kuan was granted an option to purchase 5,000,000 shares of our common stock pursuant to our 2022 Plan. The option has an exercise price of $0.70 per share, the fair market value on the date of grant as determined by</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40"/>
          </w:cols>
          <w:pgMar w:left="320" w:top="451" w:right="5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74" w:lineRule="auto"/>
        <w:rPr>
          <w:sz w:val="20"/>
          <w:szCs w:val="20"/>
          <w:color w:val="auto"/>
        </w:rPr>
      </w:pPr>
      <w:r>
        <w:rPr>
          <w:rFonts w:ascii="Times New Roman" w:cs="Times New Roman" w:eastAsia="Times New Roman" w:hAnsi="Times New Roman"/>
          <w:sz w:val="18"/>
          <w:szCs w:val="18"/>
          <w:color w:val="auto"/>
        </w:rPr>
        <w:t>our board of directors based on an independent third-party valuation, and vests over a period of four years, with 1/48th of the shares underlying the option vesting monthly, subject to Mr. Kuan’s continuous service with us as of each such vesting date.</w:t>
      </w:r>
    </w:p>
    <w:p>
      <w:pPr>
        <w:spacing w:after="0" w:line="16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In addition, pursuant to the Burke Transition Agreement (defined below), on August 15, 2023, Dr. Burke was granted an option to purchase 300,000 shares of our common stock pursuant to our 2022 Plan. The option has an exercise price of $0.53 per share, the fair market value on the date of grant as determined by our board of directors based on an independent third-party valuation, and vests as follows: (i) 150,000 shares vest upon the filing with the FDA of the Company’s BLA with respect to cretostimogene, and (ii) 150,000 shares vest upon approval of such BLA by the FDA prior to December 31, 2026, in each case subject to Dr. Burke’s continued service with the Company through such date.</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Outstanding Equity Awards at 2022 Fiscal Year End</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information regarding the outstanding stock options held by each of our named executive officers as of December 31,</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2022.</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4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2"/>
          </w:tcPr>
          <w:p>
            <w:pPr>
              <w:jc w:val="center"/>
              <w:ind w:right="440"/>
              <w:spacing w:after="0" w:line="11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580" w:type="dxa"/>
            <w:vAlign w:val="bottom"/>
            <w:gridSpan w:val="2"/>
          </w:tcPr>
          <w:p>
            <w:pPr>
              <w:jc w:val="center"/>
              <w:ind w:right="600"/>
              <w:spacing w:after="0" w:line="11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580" w:type="dxa"/>
            <w:vAlign w:val="bottom"/>
            <w:gridSpan w:val="2"/>
          </w:tcPr>
          <w:p>
            <w:pPr>
              <w:jc w:val="center"/>
              <w:ind w:right="6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80" w:type="dxa"/>
            <w:vAlign w:val="bottom"/>
            <w:gridSpan w:val="2"/>
          </w:tcPr>
          <w:p>
            <w:pPr>
              <w:jc w:val="center"/>
              <w:ind w:right="600"/>
              <w:spacing w:after="0" w:line="146" w:lineRule="exact"/>
              <w:rPr>
                <w:sz w:val="20"/>
                <w:szCs w:val="20"/>
                <w:color w:val="auto"/>
              </w:rPr>
            </w:pPr>
            <w:r>
              <w:rPr>
                <w:rFonts w:ascii="Times New Roman" w:cs="Times New Roman" w:eastAsia="Times New Roman" w:hAnsi="Times New Roman"/>
                <w:sz w:val="14"/>
                <w:szCs w:val="14"/>
                <w:b w:val="1"/>
                <w:bCs w:val="1"/>
                <w:color w:val="auto"/>
              </w:rPr>
              <w:t>Underling</w:t>
            </w: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22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580" w:type="dxa"/>
            <w:vAlign w:val="bottom"/>
            <w:gridSpan w:val="2"/>
          </w:tcPr>
          <w:p>
            <w:pPr>
              <w:jc w:val="center"/>
              <w:ind w:right="600"/>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0" w:type="dxa"/>
            <w:vAlign w:val="bottom"/>
            <w:gridSpan w:val="3"/>
            <w:vMerge w:val="continue"/>
          </w:tcPr>
          <w:p>
            <w:pPr>
              <w:spacing w:after="0"/>
              <w:rPr>
                <w:sz w:val="12"/>
                <w:szCs w:val="12"/>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6"/>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2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580" w:type="dxa"/>
            <w:vAlign w:val="bottom"/>
            <w:gridSpan w:val="2"/>
          </w:tcPr>
          <w:p>
            <w:pPr>
              <w:jc w:val="center"/>
              <w:ind w:right="62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200" w:type="dxa"/>
            <w:vAlign w:val="bottom"/>
            <w:gridSpan w:val="2"/>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6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1120" w:type="dxa"/>
            <w:vAlign w:val="bottom"/>
            <w:gridSpan w:val="2"/>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220" w:type="dxa"/>
            <w:vAlign w:val="bottom"/>
            <w:gridSpan w:val="2"/>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580" w:type="dxa"/>
            <w:vAlign w:val="bottom"/>
            <w:gridSpan w:val="2"/>
          </w:tcPr>
          <w:p>
            <w:pPr>
              <w:jc w:val="center"/>
              <w:ind w:right="620"/>
              <w:spacing w:after="0" w:line="157" w:lineRule="exact"/>
              <w:rPr>
                <w:sz w:val="20"/>
                <w:szCs w:val="20"/>
                <w:color w:val="auto"/>
              </w:rPr>
            </w:pPr>
            <w:r>
              <w:rPr>
                <w:rFonts w:ascii="Times New Roman" w:cs="Times New Roman" w:eastAsia="Times New Roman" w:hAnsi="Times New Roman"/>
                <w:sz w:val="14"/>
                <w:szCs w:val="14"/>
                <w:b w:val="1"/>
                <w:bCs w:val="1"/>
                <w:color w:val="auto"/>
              </w:rPr>
              <w:t>Unexercisable</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5"/>
                <w:szCs w:val="15"/>
                <w:color w:val="auto"/>
              </w:rPr>
            </w:pPr>
          </w:p>
        </w:tc>
        <w:tc>
          <w:tcPr>
            <w:tcW w:w="760" w:type="dxa"/>
            <w:vAlign w:val="bottom"/>
          </w:tcPr>
          <w:p>
            <w:pPr>
              <w:jc w:val="right"/>
              <w:ind w:right="313"/>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1020" w:type="dxa"/>
            <w:vAlign w:val="bottom"/>
            <w:gridSpan w:val="2"/>
          </w:tcPr>
          <w:p>
            <w:pPr>
              <w:jc w:val="right"/>
              <w:ind w:right="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0" w:type="dxa"/>
            <w:vAlign w:val="bottom"/>
          </w:tcPr>
          <w:p>
            <w:pPr>
              <w:spacing w:after="0"/>
              <w:rPr>
                <w:sz w:val="1"/>
                <w:szCs w:val="1"/>
                <w:color w:val="auto"/>
              </w:rPr>
            </w:pPr>
          </w:p>
        </w:tc>
      </w:tr>
      <w:tr>
        <w:trPr>
          <w:trHeight w:val="199"/>
        </w:trPr>
        <w:tc>
          <w:tcPr>
            <w:tcW w:w="4460" w:type="dxa"/>
            <w:vAlign w:val="bottom"/>
            <w:tcBorders>
              <w:top w:val="single" w:sz="8" w:color="CCEEFF"/>
            </w:tcBorders>
            <w:gridSpan w:val="2"/>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Arthur Kuan</w:t>
            </w:r>
          </w:p>
        </w:tc>
        <w:tc>
          <w:tcPr>
            <w:tcW w:w="70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05/25/16</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1,701,000</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0.32</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05/25/26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07/12/19</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5,000,000</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0.07</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07/12/29</w:t>
            </w: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02/23/21</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123,605</w:t>
            </w: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02/23/31</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04/19/21</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4,764,253</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04/18/31</w:t>
            </w: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02/28/22</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114,343</w:t>
            </w: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0.19</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02/28/32</w:t>
            </w:r>
          </w:p>
        </w:tc>
        <w:tc>
          <w:tcPr>
            <w:tcW w:w="0" w:type="dxa"/>
            <w:vAlign w:val="bottom"/>
          </w:tcPr>
          <w:p>
            <w:pPr>
              <w:spacing w:after="0"/>
              <w:rPr>
                <w:sz w:val="1"/>
                <w:szCs w:val="1"/>
                <w:color w:val="auto"/>
              </w:rPr>
            </w:pPr>
          </w:p>
        </w:tc>
      </w:tr>
      <w:tr>
        <w:trPr>
          <w:trHeight w:val="318"/>
        </w:trPr>
        <w:tc>
          <w:tcPr>
            <w:tcW w:w="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10/19/22</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3,737,500</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0.24</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10/19/32</w:t>
            </w: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Burke, M.D.,</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07/12/19</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250,000</w:t>
            </w: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0.07</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07/12/29</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01/13/20</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73,598</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01/13/30</w:t>
            </w: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04/22/20</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37,166</w:t>
            </w: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04/22/30</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07/22/20</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61,461</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07/22/30</w:t>
            </w: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11/16/20</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1,722,148</w:t>
            </w:r>
          </w:p>
        </w:tc>
        <w:tc>
          <w:tcPr>
            <w:tcW w:w="1580" w:type="dxa"/>
            <w:vAlign w:val="bottom"/>
            <w:gridSpan w:val="2"/>
            <w:shd w:val="clear" w:color="auto" w:fill="CCEEFF"/>
          </w:tcPr>
          <w:p>
            <w:pPr>
              <w:jc w:val="right"/>
              <w:ind w:right="440"/>
              <w:spacing w:after="0" w:line="212" w:lineRule="exact"/>
              <w:rPr>
                <w:sz w:val="20"/>
                <w:szCs w:val="20"/>
                <w:color w:val="auto"/>
              </w:rPr>
            </w:pPr>
            <w:r>
              <w:rPr>
                <w:rFonts w:ascii="Times New Roman" w:cs="Times New Roman" w:eastAsia="Times New Roman" w:hAnsi="Times New Roman"/>
                <w:sz w:val="16"/>
                <w:szCs w:val="16"/>
                <w:color w:val="auto"/>
              </w:rPr>
              <w:t>944,404</w:t>
            </w:r>
            <w:r>
              <w:rPr>
                <w:rFonts w:ascii="Times New Roman" w:cs="Times New Roman" w:eastAsia="Times New Roman" w:hAnsi="Times New Roman"/>
                <w:sz w:val="24"/>
                <w:szCs w:val="24"/>
                <w:color w:val="auto"/>
                <w:vertAlign w:val="superscript"/>
              </w:rPr>
              <w:t>(3)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11/16/30</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11/16/20</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666,638</w:t>
            </w:r>
          </w:p>
        </w:tc>
        <w:tc>
          <w:tcPr>
            <w:tcW w:w="1580" w:type="dxa"/>
            <w:vAlign w:val="bottom"/>
            <w:gridSpan w:val="2"/>
          </w:tcPr>
          <w:p>
            <w:pPr>
              <w:jc w:val="right"/>
              <w:ind w:right="440"/>
              <w:spacing w:after="0" w:line="212" w:lineRule="exact"/>
              <w:rPr>
                <w:sz w:val="20"/>
                <w:szCs w:val="20"/>
                <w:color w:val="auto"/>
              </w:rPr>
            </w:pPr>
            <w:r>
              <w:rPr>
                <w:rFonts w:ascii="Times New Roman" w:cs="Times New Roman" w:eastAsia="Times New Roman" w:hAnsi="Times New Roman"/>
                <w:sz w:val="16"/>
                <w:szCs w:val="16"/>
                <w:color w:val="auto"/>
              </w:rPr>
              <w:t>666,638</w:t>
            </w:r>
            <w:r>
              <w:rPr>
                <w:rFonts w:ascii="Times New Roman" w:cs="Times New Roman" w:eastAsia="Times New Roman" w:hAnsi="Times New Roman"/>
                <w:sz w:val="24"/>
                <w:szCs w:val="24"/>
                <w:color w:val="auto"/>
                <w:vertAlign w:val="superscript"/>
              </w:rPr>
              <w:t>(4)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11/16/30</w:t>
            </w: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02/24/22</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38,229</w:t>
            </w: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0.19</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02/24/32</w:t>
            </w:r>
          </w:p>
        </w:tc>
        <w:tc>
          <w:tcPr>
            <w:tcW w:w="0" w:type="dxa"/>
            <w:vAlign w:val="bottom"/>
          </w:tcPr>
          <w:p>
            <w:pPr>
              <w:spacing w:after="0"/>
              <w:rPr>
                <w:sz w:val="1"/>
                <w:szCs w:val="1"/>
                <w:color w:val="auto"/>
              </w:rPr>
            </w:pPr>
          </w:p>
        </w:tc>
      </w:tr>
      <w:tr>
        <w:trPr>
          <w:trHeight w:val="31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 Roth, Ph.D.,</w:t>
            </w:r>
            <w:r>
              <w:rPr>
                <w:rFonts w:ascii="Times New Roman" w:cs="Times New Roman" w:eastAsia="Times New Roman" w:hAnsi="Times New Roman"/>
                <w:sz w:val="26"/>
                <w:szCs w:val="26"/>
                <w:color w:val="auto"/>
                <w:vertAlign w:val="superscript"/>
              </w:rPr>
              <w:t>(5)</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01/13/20</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60,066</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01/13/30</w:t>
            </w: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04/22/20</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10,339</w:t>
            </w: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04/22/30</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07/22/20</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50,905</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07/22/30</w:t>
            </w: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11/16/20</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1,148,098</w:t>
            </w:r>
          </w:p>
        </w:tc>
        <w:tc>
          <w:tcPr>
            <w:tcW w:w="1580" w:type="dxa"/>
            <w:vAlign w:val="bottom"/>
            <w:gridSpan w:val="2"/>
            <w:shd w:val="clear" w:color="auto" w:fill="CCEEFF"/>
          </w:tcPr>
          <w:p>
            <w:pPr>
              <w:jc w:val="right"/>
              <w:ind w:right="440"/>
              <w:spacing w:after="0" w:line="212" w:lineRule="exact"/>
              <w:rPr>
                <w:sz w:val="20"/>
                <w:szCs w:val="20"/>
                <w:color w:val="auto"/>
              </w:rPr>
            </w:pPr>
            <w:r>
              <w:rPr>
                <w:rFonts w:ascii="Times New Roman" w:cs="Times New Roman" w:eastAsia="Times New Roman" w:hAnsi="Times New Roman"/>
                <w:sz w:val="16"/>
                <w:szCs w:val="16"/>
                <w:color w:val="auto"/>
              </w:rPr>
              <w:t>629,603</w:t>
            </w:r>
            <w:r>
              <w:rPr>
                <w:rFonts w:ascii="Times New Roman" w:cs="Times New Roman" w:eastAsia="Times New Roman" w:hAnsi="Times New Roman"/>
                <w:sz w:val="24"/>
                <w:szCs w:val="24"/>
                <w:color w:val="auto"/>
                <w:vertAlign w:val="superscript"/>
              </w:rPr>
              <w:t>(3)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11/16/30</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11/16/20</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444,426</w:t>
            </w:r>
          </w:p>
        </w:tc>
        <w:tc>
          <w:tcPr>
            <w:tcW w:w="1580" w:type="dxa"/>
            <w:vAlign w:val="bottom"/>
            <w:gridSpan w:val="2"/>
          </w:tcPr>
          <w:p>
            <w:pPr>
              <w:jc w:val="right"/>
              <w:ind w:right="440"/>
              <w:spacing w:after="0" w:line="212" w:lineRule="exact"/>
              <w:rPr>
                <w:sz w:val="20"/>
                <w:szCs w:val="20"/>
                <w:color w:val="auto"/>
              </w:rPr>
            </w:pPr>
            <w:r>
              <w:rPr>
                <w:rFonts w:ascii="Times New Roman" w:cs="Times New Roman" w:eastAsia="Times New Roman" w:hAnsi="Times New Roman"/>
                <w:sz w:val="16"/>
                <w:szCs w:val="16"/>
                <w:color w:val="auto"/>
              </w:rPr>
              <w:t>444,425</w:t>
            </w:r>
            <w:r>
              <w:rPr>
                <w:rFonts w:ascii="Times New Roman" w:cs="Times New Roman" w:eastAsia="Times New Roman" w:hAnsi="Times New Roman"/>
                <w:sz w:val="24"/>
                <w:szCs w:val="24"/>
                <w:color w:val="auto"/>
                <w:vertAlign w:val="superscript"/>
              </w:rPr>
              <w:t>(4)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11/16/30</w:t>
            </w: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02/24/22</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47,285</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0.19</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02/24/32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92710</wp:posOffset>
            </wp:positionV>
            <wp:extent cx="7569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56" w:lineRule="exact"/>
        <w:rPr>
          <w:sz w:val="20"/>
          <w:szCs w:val="20"/>
          <w:color w:val="auto"/>
        </w:rPr>
      </w:pPr>
    </w:p>
    <w:p>
      <w:pPr>
        <w:ind w:left="640" w:hanging="422"/>
        <w:spacing w:after="0" w:line="229" w:lineRule="auto"/>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are subject to potential acceleration of vesting in connection with a qualifying termination of employment following a change in control, as described below under the subsection titled “—Employment Arrangements with our Named Executive Officers” below.</w:t>
      </w:r>
    </w:p>
    <w:p>
      <w:pPr>
        <w:ind w:left="640" w:hanging="422"/>
        <w:spacing w:after="0" w:line="217" w:lineRule="auto"/>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over a period of four years, with 1/48th of the shares underlying the option vesting on the monthly anniversary of the vesting commencement date (December 19, 2022), subject to Mr. Kuan’s continuous service with us through each such vesting date.</w:t>
      </w:r>
    </w:p>
    <w:p>
      <w:pPr>
        <w:jc w:val="both"/>
        <w:ind w:left="640" w:hanging="422"/>
        <w:spacing w:after="0" w:line="217" w:lineRule="auto"/>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over a period of four years, with 25% of the shares subject to the options vesting on the first anniversary of the vesting commencement date (May 1, 2020), and the remaining shares vesting in equal monthly installments thereafter over the subsequent three-year period, subject, respectively, to Dr. Burke and Dr. Roth’s continuous services with us through each such vesting date.</w:t>
      </w:r>
    </w:p>
    <w:p>
      <w:pPr>
        <w:ind w:left="640" w:hanging="422"/>
        <w:spacing w:after="0" w:line="217" w:lineRule="auto"/>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Half of the shares subject to the options vested upon the Company’s closing of our Series E capital financing by December 31, 2022, and the remaining half of the shares subject to the options vest upon the completion of the Company’s initial public offering or a change in control.</w:t>
      </w:r>
    </w:p>
    <w:p>
      <w:pPr>
        <w:ind w:left="640" w:hanging="422"/>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Dr. Roth’s separation from the Company on August 9, 2023, all of his unvested stock options were forfeited effective as of the separation date.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20"/>
          </w:cols>
          <w:pgMar w:left="320" w:top="451" w:right="5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Employment Arrangements with Our Executive Officers</w:t>
      </w:r>
    </w:p>
    <w:p>
      <w:pPr>
        <w:spacing w:after="0" w:line="113"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which governs the terms of their employment with us. Pursuant to their employment agreements, Mr. Kuan, Dr. Burke and Dr. Roth are each entitled to an annual base salary of $450,000, $368,567, and $346,698, respectively (Dr. Burke and Dr. Roth’s base salaries were increased to $402,401 and $367,777, respectively, effective as of January 1, 2023). In addition, in accordance with their employment agreements, Mr. Kuan, Dr. Burke and Dr. Roth are eligible to earn an annual bonus at a target amount of 40%, 35%, and 35%, respectively, (which target amounts for Dr. Burke and Dr. Roth were increased to 40% effective January 1, 2023) of their base salaries actually paid for the year to which such annual bonus relates, subject to the achievement of performance objectives as determined by our board of directors.</w:t>
      </w:r>
    </w:p>
    <w:p>
      <w:pPr>
        <w:spacing w:after="0" w:line="187"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Regardless of the manner in which our named executive officers’ employment terminates, they are entitled to receive certain accrued amounts previously earned during their employment, including unpaid salary, reimbursement of expenses owed, and accrued but unpaid paid time off and any continuation of benefits required by applicable law. In addition, our named executive officers are entitled to certain severance benefits under their employment agreements, subject to their execution of a release of claims and compliance with post-termination obligations.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Arthur Kuan</w:t>
      </w:r>
    </w:p>
    <w:p>
      <w:pPr>
        <w:spacing w:after="0" w:line="115"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Mr. Kuan’s employment agreement provides for severance benefits for certain terminations that arise during and outside a change in control period. Upon a termination without cause or a resignation for good reason outside of the period commencing upon a change in control and continuing until 18 months after such change in control (such period, the “change in control period”), Mr. Kuan is entitled to (i) an amount in cash equal to his annual base salary, payable in a lump sum, (ii) payment or reimbursement of the COBRA premiums for Mr. Kuan and his eligible dependents, or if COBRA is not available under our group health plan, a cash amount equal to such payments or reimbursements, for a maximum period of up to 12 months from the date of Mr. Kuan’s termination of employment, (iii) an amount in cash equal to his target annual bonus, prorated for the portion of the year that elapsed prior to the date of Mr. Kuan’s termination of employment, payable in a lump sum, and (iv) accelerated vesting of the unvested portion of Company equity awards that would have vested during the 12 months following the date of Mr. Kuan’s termination of employment had he continued in employment with the Company during such period; provided, however, that any performance-based equity awards shall remain subject to attainment of the relevant performance goals.</w:t>
      </w:r>
    </w:p>
    <w:p>
      <w:pPr>
        <w:spacing w:after="0" w:line="193"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Upon a termination without cause or a resignation for good reason within the change in control period, Mr. Kuan is entitled to (i) an amount in cash equal to his annual base salary, payable in a lump sum, (ii) payment or reimbursement of the COBRA premiums for Mr. Kuan and his eligible dependents, or if COBRA is not available under our group health plan, a cash amount equal to such payments or reimbursements, for a maximum period of up to 12 months from the date of Mr. Kuan’s termination of employment, (iii) an amount in cash equal to his target annual bonus, payable in a lump sum, and (iv) full accelerated vesting of all unvested Company equity awards; provided, however, that any performance-based equity awards shall remain subject to attainment of the relevant performance goals.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James Burke, M.D.</w:t>
      </w:r>
    </w:p>
    <w:p>
      <w:pPr>
        <w:spacing w:after="0" w:line="115"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Dr. Burke’s employment agreement provided for severance benefits for certain terminations that arise during and outside a change in control period. Upon a termination without cause or a resignation for good reason outside of a change in control period (as such terms are defined below), Dr. Burke was entitled to (i) an amount in cash equal to 0.5 times his annual base salary, payable in a lump sum, and (ii) payment or reimbursement of the COBRA premiums for Dr. Burke and his eligible dependents, or if COBRA was not available under our group health plan, a cash amount equal to such payments or reimbursements, for a maximum period of up to 6 months from the date of Dr. Burke’s termination of employment.</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40"/>
          </w:cols>
          <w:pgMar w:left="320" w:top="451" w:right="5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66" w:lineRule="auto"/>
        <w:rPr>
          <w:sz w:val="20"/>
          <w:szCs w:val="20"/>
          <w:color w:val="auto"/>
        </w:rPr>
      </w:pPr>
      <w:r>
        <w:rPr>
          <w:rFonts w:ascii="Times New Roman" w:cs="Times New Roman" w:eastAsia="Times New Roman" w:hAnsi="Times New Roman"/>
          <w:sz w:val="17"/>
          <w:szCs w:val="17"/>
          <w:color w:val="auto"/>
        </w:rPr>
        <w:t>Upon a termination without cause or a resignation for good reason within 18 months after a change in control (such period, the “change in control period”), Dr. Burke was entitled to (i) an amount in cash equal to 0.75 times his annual base salary, payable in a lump sum, (ii) payment or reimbursement of the COBRA premiums for Dr. Burke and his eligible dependents, or if COBRA was not available under our group health plan, a cash amount equal to such payments or reimbursements, for a maximum period of up to 9 months from the date of Dr. Burke’s termination of employment,</w:t>
      </w:r>
    </w:p>
    <w:p>
      <w:pPr>
        <w:spacing w:after="0" w:line="1" w:lineRule="exact"/>
        <w:rPr>
          <w:sz w:val="20"/>
          <w:szCs w:val="20"/>
          <w:color w:val="auto"/>
        </w:rPr>
      </w:pPr>
    </w:p>
    <w:p>
      <w:pPr>
        <w:ind w:left="220" w:hanging="2"/>
        <w:spacing w:after="0" w:line="251" w:lineRule="auto"/>
        <w:tabs>
          <w:tab w:leader="none" w:pos="53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his target annual bonus, payable in a lump sum, and (iv) full accelerated vesting of all unvested Company equity awards; provided, however, that any performance-based equity awards would remain subject to attainment of the relevant performance goals.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Burke’s employment agreement was superseded by his transition agreement, as described below.</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Transition Agreement</w:t>
      </w:r>
    </w:p>
    <w:p>
      <w:pPr>
        <w:spacing w:after="0" w:line="113"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On June 21, 2023, the Company and Dr. Burke entered into a transition agreement, which was subsequently amended and restated effective August 9, 2023 (as amended, the Burke Transition Agreement). The Burke Transition Agreement provides that Mr. Burke will continue to be employed by the Company until December 31, 2023 (the Burke Role Conversion Date). Prior to the Burke Role Conversion Date, Dr. Burke continued to serve as Chief Medical Officer of the Company until his replacement commenced employment with the Company on August 14, 2023, after which Dr. Burke serves as Senior Clinical and Scientific Advisor of the Company. In addition, prior to the Burke Role Conversion Date, Dr. Burke will continue to receive his base salary, remain eligible to participate in the Company’s annual incentive program and health and welfare benefit plans, and his outstanding equity awards will continue to vest in accordance with their terms. Pursuant to the Burke Transition Agreement, Dr. Burke was also granted an option to purchase 300,000 shares of the Company’s common stock. For additional details regarding the terms of this option award, see the subsection titled “—Narrative to Summary Compensation Table—Equity-Based Incentive Awards” above.</w:t>
      </w:r>
    </w:p>
    <w:p>
      <w:pPr>
        <w:spacing w:after="0" w:line="187" w:lineRule="exact"/>
        <w:rPr>
          <w:sz w:val="20"/>
          <w:szCs w:val="20"/>
          <w:color w:val="auto"/>
        </w:rPr>
      </w:pPr>
    </w:p>
    <w:p>
      <w:pPr>
        <w:jc w:val="both"/>
        <w:ind w:left="220" w:firstLine="432"/>
        <w:spacing w:after="0" w:line="262" w:lineRule="auto"/>
        <w:rPr>
          <w:sz w:val="20"/>
          <w:szCs w:val="20"/>
          <w:color w:val="auto"/>
        </w:rPr>
      </w:pPr>
      <w:r>
        <w:rPr>
          <w:rFonts w:ascii="Times New Roman" w:cs="Times New Roman" w:eastAsia="Times New Roman" w:hAnsi="Times New Roman"/>
          <w:sz w:val="17"/>
          <w:szCs w:val="17"/>
          <w:color w:val="auto"/>
        </w:rPr>
        <w:t>Upon the Burke Role Conversion Date, Dr. Burke will transition to a consulting position with the Company, serving as Scientific Advisor to the Chief Executive Officer. Dr. Burke’s consulting services will terminate on the earliest of (i) the date the FDA approves the Company’s BLA with respect to cretostimogene, (ii) December 31, 2026, (iii) the date of a Change in Control (as defined in the Burke Transition Agreement), or (iv) such earlier date on which the Burke Consulting Agreement terminates pursuant to its terms. In the event that Dr. Burke’s employment with the Company terminates prior to the Burke Role Conversion Date by reason of (i) his discharge by the Company without cause, or (ii) his resignation for good reason (as such terms are defined in the Burke Transition Agreement), there will be no consulting period, but Dr. Burke will be entitled to receive the severance benefits pursuant to his employment agreement. In addition, if the Company terminates Dr. Burke’s employment without cause prior to the Burke Role Conversion Date, then (i) all of Dr. Burke’s unvested stock options will accelerate and vest in their entirety, except for the Second Milestone Option (as defined below) and the Third Milestone Option (as defined below), (ii) all of Dr. Burke’s vested stock options, including the stock options that vest pursuant to clause (i) above, will remain exercisable until the earlier of December 31, 2026 or the original expiration date of such stock options, and</w:t>
      </w:r>
    </w:p>
    <w:p>
      <w:pPr>
        <w:spacing w:after="0" w:line="5" w:lineRule="exact"/>
        <w:rPr>
          <w:sz w:val="20"/>
          <w:szCs w:val="20"/>
          <w:color w:val="auto"/>
        </w:rPr>
      </w:pPr>
    </w:p>
    <w:p>
      <w:pPr>
        <w:jc w:val="both"/>
        <w:ind w:left="220" w:hanging="2"/>
        <w:spacing w:after="0" w:line="263" w:lineRule="auto"/>
        <w:tabs>
          <w:tab w:leader="none" w:pos="53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Second Milestone Option will remain outstanding until December 31, 2026 as if Dr. Burke remained a service provider to the Company during such period, and shall remain eligible to vest if the vesting conditions are satisfied prior to such date (and if it does so vest, it shall remain exercisable until the earlier of December 31, 2026 and the original expiration date of the Second Milestone Options). The “Second Milestone Option” means the stock option to purchase 666,638 shares of the Company’s common stock granted to Dr. Burke on November 16, 2020 that is eligible to vest upon the occurrence of this initial public offering or a change in control. The “Third Milestone Option” means the stock option to purchase 300,000 shares of the Company’s common stock granted to Dr. Burke on August 15, 2023, 50% of which is eligible to vest upon the submission of certain FDA filings on or before December 31, 2025 and 50% of which is eligible to vest upon the approval of certain FDA filings on or before December 31, 2026.</w:t>
      </w:r>
    </w:p>
    <w:p>
      <w:pPr>
        <w:spacing w:after="0" w:line="1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20"/>
          </w:cols>
          <w:pgMar w:left="320" w:top="451" w:right="5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Georg Roth, Ph.D.</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Employment Agreement</w:t>
      </w:r>
    </w:p>
    <w:p>
      <w:pPr>
        <w:spacing w:after="0" w:line="11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Dr. Roth’s employment agreement provided for severance benefits for certain terminations that arise during and outside a change in control period. Upon a termination without cause or a resignation for good reason outside of a change in control period (as such terms are defined below), Dr. Roth was entitled to (i) an amount in cash equal to 0.5 times his annual base salary, payable in a lump sum, and (ii) payment or reimbursement of the COBRA premiums for Dr. Roth and his eligible dependents, or if COBRA was not available under our group health plan, a cash amount equal to such payments or reimbursements, for a maximum period of up to 6 months from the date of Dr. Roth’s termination of employment.</w:t>
      </w:r>
    </w:p>
    <w:p>
      <w:pPr>
        <w:spacing w:after="0" w:line="185" w:lineRule="exact"/>
        <w:rPr>
          <w:sz w:val="20"/>
          <w:szCs w:val="20"/>
          <w:color w:val="auto"/>
        </w:rPr>
      </w:pPr>
    </w:p>
    <w:p>
      <w:pPr>
        <w:jc w:val="both"/>
        <w:ind w:left="220" w:firstLine="432"/>
        <w:spacing w:after="0" w:line="269" w:lineRule="auto"/>
        <w:rPr>
          <w:sz w:val="20"/>
          <w:szCs w:val="20"/>
          <w:color w:val="auto"/>
        </w:rPr>
      </w:pPr>
      <w:r>
        <w:rPr>
          <w:rFonts w:ascii="Times New Roman" w:cs="Times New Roman" w:eastAsia="Times New Roman" w:hAnsi="Times New Roman"/>
          <w:sz w:val="17"/>
          <w:szCs w:val="17"/>
          <w:color w:val="auto"/>
        </w:rPr>
        <w:t>Upon a termination without cause or a resignation for good reason within 18 months after a change in control (such period, the “change in control period”), Dr. Roth was entitled to (i) an amount in cash equal to 0.75 times his annual base salary, payable in a lump sum, (ii) payment or reimbursement of the COBRA premiums for Dr. Roth and his eligible dependents, or if COBRA was not available under our group health plan, a cash amount equal to such payments or reimbursements, a maximum period of up to 9 months from the date of Dr. Roth’s termination of employment, (iii) an amount in cash equal to his target annual bonus, payable in a lump sum, and (iv) full accelerated vesting of all unvested Company equity awards; provided, however, that any performance-based equity awards would remain subject to attainment of the relevant performance goals.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Roth’s employment agreement was superseded by his transition agreement, as described below.</w:t>
      </w:r>
    </w:p>
    <w:p>
      <w:pPr>
        <w:spacing w:after="0" w:line="3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Transition Agreement</w:t>
      </w:r>
    </w:p>
    <w:p>
      <w:pPr>
        <w:spacing w:after="0" w:line="113" w:lineRule="exact"/>
        <w:rPr>
          <w:sz w:val="20"/>
          <w:szCs w:val="20"/>
          <w:color w:val="auto"/>
        </w:rPr>
      </w:pPr>
    </w:p>
    <w:p>
      <w:pPr>
        <w:jc w:val="both"/>
        <w:ind w:left="220" w:firstLine="432"/>
        <w:spacing w:after="0" w:line="263" w:lineRule="auto"/>
        <w:rPr>
          <w:sz w:val="20"/>
          <w:szCs w:val="20"/>
          <w:color w:val="auto"/>
        </w:rPr>
      </w:pPr>
      <w:r>
        <w:rPr>
          <w:rFonts w:ascii="Times New Roman" w:cs="Times New Roman" w:eastAsia="Times New Roman" w:hAnsi="Times New Roman"/>
          <w:sz w:val="17"/>
          <w:szCs w:val="17"/>
          <w:color w:val="auto"/>
        </w:rPr>
        <w:t>On June 26, 2023, the Company and Dr. Roth entered into a transition agreement (the Roth Transition Agreement), which provided that Dr. Roth would continue in his position with the Company as Chief Technical Officer until the earlier of (i) September 1, 2023, and (ii) the date a successor to his position was appointed or commenced employment with the Company (the Roth Role Conversion Date). Prior to the Roth Role Conversion Date, Dr. Roth would continue to receive his base salary, remain eligible to participate in the Company’s annual incentive program and health and welfare benefit plans, and his outstanding equity awards would continue to vest in accordance with their terms. Upon the Roth Role Conversion Date, Dr. Roth would transition to a consulting position with the Company, serving as CMC Advisor to the Chief Executive Officer. In the event that Dr. Roth’s employment with the Company terminated prior to the Roth Role Conversion Date by reason of (i) his discharge by the Company without cause, or</w:t>
      </w:r>
    </w:p>
    <w:p>
      <w:pPr>
        <w:spacing w:after="0" w:line="4" w:lineRule="exact"/>
        <w:rPr>
          <w:sz w:val="20"/>
          <w:szCs w:val="20"/>
          <w:color w:val="auto"/>
        </w:rPr>
      </w:pPr>
    </w:p>
    <w:p>
      <w:pPr>
        <w:ind w:left="220" w:hanging="2"/>
        <w:spacing w:after="0" w:line="251" w:lineRule="auto"/>
        <w:tabs>
          <w:tab w:leader="none" w:pos="48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resignation for good reason (as such terms are defined in the Roth Transition Agreement), there would be no consulting term, but Dr. Roth would be entitled to receive the severance benefits pursuant to his employment agreement.</w:t>
      </w:r>
    </w:p>
    <w:p>
      <w:pPr>
        <w:spacing w:after="0" w:line="184"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Effective August 9, 2023, Dr. Roth’s employment with the Company terminated and Dr. Roth and the Company entered into a separation agreement and general release executed on August 16, 2023 (the Roth Separation Agreement), as further described below.</w:t>
      </w: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Separation Agreement</w:t>
      </w:r>
    </w:p>
    <w:p>
      <w:pPr>
        <w:spacing w:after="0" w:line="113" w:lineRule="exact"/>
        <w:rPr>
          <w:sz w:val="20"/>
          <w:szCs w:val="20"/>
          <w:color w:val="auto"/>
        </w:rPr>
      </w:pPr>
    </w:p>
    <w:p>
      <w:pPr>
        <w:jc w:val="both"/>
        <w:ind w:left="220" w:firstLine="432"/>
        <w:spacing w:after="0" w:line="266" w:lineRule="auto"/>
        <w:rPr>
          <w:sz w:val="20"/>
          <w:szCs w:val="20"/>
          <w:color w:val="auto"/>
        </w:rPr>
      </w:pPr>
      <w:r>
        <w:rPr>
          <w:rFonts w:ascii="Times New Roman" w:cs="Times New Roman" w:eastAsia="Times New Roman" w:hAnsi="Times New Roman"/>
          <w:sz w:val="17"/>
          <w:szCs w:val="17"/>
          <w:color w:val="auto"/>
        </w:rPr>
        <w:t>Pursuant to the Roth Separation Agreement, in exchange for Dr. Roth’s release of claims against the Company, Dr. Roth received, or will receive, the following severance benefits: (i) an amount in cash equal to 0.5 times his annual base salary, paid in a lump sum, (ii) payment or reimbursement of the COBRA premiums for Dr. Roth and his eligible dependents, or if COBRA is not available under our group health plan, a cash amount equal to such payments or reimbursements, until the earlier of February 29, 2024 or the date that he is eligible for comparable coverage from a subsequent employer,</w:t>
      </w:r>
    </w:p>
    <w:p>
      <w:pPr>
        <w:spacing w:after="0" w:line="1" w:lineRule="exact"/>
        <w:rPr>
          <w:sz w:val="20"/>
          <w:szCs w:val="20"/>
          <w:color w:val="auto"/>
        </w:rPr>
      </w:pPr>
    </w:p>
    <w:p>
      <w:pPr>
        <w:jc w:val="both"/>
        <w:ind w:left="220" w:hanging="2"/>
        <w:spacing w:after="0" w:line="267" w:lineRule="auto"/>
        <w:tabs>
          <w:tab w:leader="none" w:pos="55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pro-rated annual bonus for 2023 based on the portion of the year that elapsed prior to his termination of employment and upon our actual performance relative to corporate objectives for the 2023 year, payable when annual bonuses are paid to Company employees generally but no later than March 15, 2024, and (iv) an extension of the final exercise dates of certain of Dr. Roth’s vested Company stock options that were granted to him in 2020 and 2022. Dr. Roth’s receipt of these severance benefits is subject to and conditioned upon his continued compliance with certain restrictive covenants.</w:t>
      </w:r>
    </w:p>
    <w:p>
      <w:pPr>
        <w:spacing w:after="0" w:line="1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20"/>
          </w:cols>
          <w:pgMar w:left="320" w:top="451" w:right="5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Health and Welfare Benefits; Perquisites</w:t>
      </w:r>
    </w:p>
    <w:p>
      <w:pPr>
        <w:spacing w:after="0" w:line="113"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Our board of directors may elect to adopt qualified or non-qualified benefit plans in the future if it determines that doing so is in our best interests.</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3"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Under the 401(k) plan, we provide matching contributions equal to 100% of the first 4% of eligible compensation deferred by our employees, not to exceed 1% of an employee’s eligible compensation. Our board of directors may elect to adopt qualified or nonqualified retirement plans in the future, if it determines that doing so is in our best interests.</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In connection with this offering, we intend to adopt a compensation recovery policy that is compliant with the Nasdaq Listing Rules, as required by the Dodd-Frank Act.</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principal features of our equity incentive plans are summarized below. These summaries are qualified in their entirety by reference to the actual text of the applicable plan, each of which is or will be filed as an exhibit to the registration statement of which this prospectus is a part.</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2024 Incentive Award Plan</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Prior to this offering, we intend to adopt and ask our stockholders to approve the 2024 Plan, which would become effective in connection with this offering. Under the 2024 Plan, we may grant cash and equity incentive awards to eligible service providers in order to attract, motivate and retain the talent for which we compete. The material terms of the 2024 Plan, as it is currently contemplated, are summarized below. Our board of directors is still in the process of developing, approving, and implementing the 2024 Plan and, accordingly, this summary is subject to change.</w:t>
      </w:r>
    </w:p>
    <w:p>
      <w:pPr>
        <w:spacing w:after="0" w:line="178"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Eligibility and administration. </w:t>
      </w:r>
      <w:r>
        <w:rPr>
          <w:rFonts w:ascii="Times New Roman" w:cs="Times New Roman" w:eastAsia="Times New Roman" w:hAnsi="Times New Roman"/>
          <w:sz w:val="18"/>
          <w:szCs w:val="18"/>
          <w:color w:val="auto"/>
        </w:rPr>
        <w:t>Our employees, consultants and directors, and employees and consultants of our subsidiaries, will be eligible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awards under the 2024 Plan. Following our initial public offering, the 2024 Plan will generally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20"/>
          </w:cols>
          <w:pgMar w:left="320" w:top="451" w:right="5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Limitation on awards and shares available. </w:t>
      </w:r>
      <w:r>
        <w:rPr>
          <w:rFonts w:ascii="Times New Roman" w:cs="Times New Roman" w:eastAsia="Times New Roman" w:hAnsi="Times New Roman"/>
          <w:sz w:val="18"/>
          <w:szCs w:val="18"/>
          <w:color w:val="auto"/>
        </w:rPr>
        <w:t>The number of shares initially available for issuance under awards granted pursuant to the 2024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the sum of (1) approximately        % of the shares of our common stock outstanding upon the closing of this offering, plus (2) any shares of our common stock which, as of the effective date of the 2024 Plan, remain available for issuance under the 2022 Plan, plus (3) any shares subject to outstanding awards under the 2015 Plan and 2022 Plan as of the effective date of the 2024 Plan that become available for issuance under the 2024 Plan thereafter in accordance with its terms. The number of shares initially available for issuance will be increased on January 1 of each calendar year beginning in 2025 and ending in 2034, by an amount equal to the lesser of (a)        % of the shares of common stock outstanding on the final day of the immediately preceding calendar year and (b) such smaller number of shares as determined by our board of directors. No more than        shares of common stock may be issued upon the exercise of incentive stock options under the 2024 Plan. Shares issued under the 2024 Plan may be authorized but unissued shares, shares purchased on the open market or treasury shares.</w:t>
      </w:r>
    </w:p>
    <w:p>
      <w:pPr>
        <w:spacing w:after="0" w:line="189"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If an award under the 2024 Plan or the 2022 Plan expires, lapses or is terminated, exchanged for or settled in cash, surrendered, repurchased, cancelled without having been fully exercised or forfeited, in any case, in a manner that results in the Company acquiring shares covered by the award at a price not greater than the price paid by the participant for such shares or not issuing any shares covered by the award, any shares subject to such award will, as applicable, become or again be available for new grants under the 2024 Plan. Awards granted under the 2024 Plan upon the assumption of, or in substitution for, awards authorized or outstanding under a qualifying equity plan maintained by an entity with which we enter into a merger or similar corporate transaction will not reduce the shares available for grant under the 2024 Plan.</w:t>
      </w:r>
    </w:p>
    <w:p>
      <w:pPr>
        <w:spacing w:after="0" w:line="183"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The 2024 Plan provides for the grant of stock options, including incentive stock options (ISOs) within the meaning of Section 422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and nonqualified stock options (NSOs); restricted stock; dividend equivalents; restricted stock units (RSUs); stock appreciation rights (SARs);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94" w:lineRule="exact"/>
        <w:rPr>
          <w:sz w:val="20"/>
          <w:szCs w:val="20"/>
          <w:color w:val="auto"/>
        </w:rPr>
      </w:pPr>
    </w:p>
    <w:p>
      <w:pPr>
        <w:jc w:val="both"/>
        <w:ind w:left="1180" w:hanging="538"/>
        <w:spacing w:after="0" w:line="250" w:lineRule="auto"/>
        <w:tabs>
          <w:tab w:leader="none" w:pos="1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Stock options provide for the purchase of shares of our common stock in the future at an exercise price set on the grant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spacing w:after="0" w:line="90" w:lineRule="exact"/>
        <w:rPr>
          <w:rFonts w:ascii="Times New Roman" w:cs="Times New Roman" w:eastAsia="Times New Roman" w:hAnsi="Times New Roman"/>
          <w:sz w:val="18"/>
          <w:szCs w:val="18"/>
          <w:color w:val="auto"/>
        </w:rPr>
      </w:pPr>
    </w:p>
    <w:p>
      <w:pPr>
        <w:jc w:val="both"/>
        <w:ind w:left="1180" w:hanging="538"/>
        <w:spacing w:after="0" w:line="253" w:lineRule="auto"/>
        <w:tabs>
          <w:tab w:leader="none" w:pos="1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SARs entitle their holder, upon exercise, to receive from us an amount equal to the appreciation of the shares subject to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88" w:lineRule="exact"/>
        <w:rPr>
          <w:rFonts w:ascii="Times New Roman" w:cs="Times New Roman" w:eastAsia="Times New Roman" w:hAnsi="Times New Roman"/>
          <w:sz w:val="18"/>
          <w:szCs w:val="18"/>
          <w:color w:val="auto"/>
        </w:rPr>
      </w:pPr>
    </w:p>
    <w:p>
      <w:pPr>
        <w:ind w:left="1180" w:hanging="538"/>
        <w:spacing w:after="0" w:line="276" w:lineRule="auto"/>
        <w:tabs>
          <w:tab w:leader="none" w:pos="1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and RSUs. </w:t>
      </w:r>
      <w:r>
        <w:rPr>
          <w:rFonts w:ascii="Times New Roman" w:cs="Times New Roman" w:eastAsia="Times New Roman" w:hAnsi="Times New Roman"/>
          <w:sz w:val="18"/>
          <w:szCs w:val="18"/>
          <w:color w:val="auto"/>
        </w:rPr>
        <w:t>Restricted stock is an award of nontransferable shares of our common stock that remain forfeitable unless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specified conditions are met, and which may be subject to a</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20"/>
          </w:cols>
          <w:pgMar w:left="320" w:top="451" w:right="5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1180" w:right="20"/>
        <w:spacing w:after="0" w:line="274" w:lineRule="auto"/>
        <w:rPr>
          <w:sz w:val="20"/>
          <w:szCs w:val="20"/>
          <w:color w:val="auto"/>
        </w:rPr>
      </w:pPr>
      <w:r>
        <w:rPr>
          <w:rFonts w:ascii="Times New Roman" w:cs="Times New Roman" w:eastAsia="Times New Roman" w:hAnsi="Times New Roman"/>
          <w:sz w:val="17"/>
          <w:szCs w:val="17"/>
          <w:color w:val="auto"/>
        </w:rPr>
        <w:t>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73" w:lineRule="exact"/>
        <w:rPr>
          <w:sz w:val="20"/>
          <w:szCs w:val="20"/>
          <w:color w:val="auto"/>
        </w:rPr>
      </w:pPr>
    </w:p>
    <w:p>
      <w:pPr>
        <w:jc w:val="both"/>
        <w:ind w:left="1180" w:right="20" w:hanging="538"/>
        <w:spacing w:after="0" w:line="251" w:lineRule="auto"/>
        <w:tabs>
          <w:tab w:leader="none" w:pos="1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 or cash-based awards. </w:t>
      </w:r>
      <w:r>
        <w:rPr>
          <w:rFonts w:ascii="Times New Roman" w:cs="Times New Roman" w:eastAsia="Times New Roman" w:hAnsi="Times New Roman"/>
          <w:sz w:val="18"/>
          <w:szCs w:val="18"/>
          <w:color w:val="auto"/>
        </w:rPr>
        <w:t>Other stock or cash-based awards are awards of cash, fully vested shares of our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92" w:lineRule="exact"/>
        <w:rPr>
          <w:rFonts w:ascii="Times New Roman" w:cs="Times New Roman" w:eastAsia="Times New Roman" w:hAnsi="Times New Roman"/>
          <w:sz w:val="18"/>
          <w:szCs w:val="18"/>
          <w:color w:val="auto"/>
        </w:rPr>
      </w:pPr>
    </w:p>
    <w:p>
      <w:pPr>
        <w:jc w:val="both"/>
        <w:ind w:left="1180" w:right="20" w:hanging="538"/>
        <w:spacing w:after="0" w:line="256" w:lineRule="auto"/>
        <w:tabs>
          <w:tab w:leader="none" w:pos="1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RSUs or other stock and cash-based awards may be accompanied by the right to receive the equivalent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on shares of our common stock prior to the delivery of the underlying shares. Such dividend equivalents will only be paid out to the extent that any vesting conditions are subsequently satisfied, unless otherwise determined by the plan administrator. No dividend equivalents will be payable on stock options or SARs.</w:t>
      </w:r>
    </w:p>
    <w:p>
      <w:pPr>
        <w:spacing w:after="0" w:line="177"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Performance awards include any of the foregoing awards that are granted subject to vesting and/or payment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193" w:lineRule="exact"/>
        <w:rPr>
          <w:sz w:val="20"/>
          <w:szCs w:val="20"/>
          <w:color w:val="auto"/>
        </w:rPr>
      </w:pPr>
    </w:p>
    <w:p>
      <w:pPr>
        <w:jc w:val="both"/>
        <w:ind w:left="220" w:right="2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The 2024 Plan provides that the plan administrator may establish compensation for non-employee directors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subject to the 2024 Plan’s limitations. Prior to this offering, our stockholders will approve the initial terms of our non-employee director compensation program, which is described below under the subsection titled “—Director Compensation.” Our board of directors or its authorized committee may modify the non-employee director compensation program from time to time in the exercise of its</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40"/>
          </w:cols>
          <w:pgMar w:left="320" w:top="451" w:right="5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48" w:lineRule="auto"/>
        <w:rPr>
          <w:sz w:val="20"/>
          <w:szCs w:val="20"/>
          <w:color w:val="auto"/>
        </w:rPr>
      </w:pPr>
      <w:r>
        <w:rPr>
          <w:rFonts w:ascii="Times New Roman" w:cs="Times New Roman" w:eastAsia="Times New Roman" w:hAnsi="Times New Roman"/>
          <w:sz w:val="18"/>
          <w:szCs w:val="18"/>
          <w:color w:val="auto"/>
        </w:rPr>
        <w:t>business judgment, taking into account such factors, circumstances and considerations as it deems relevant from time to time, provided that the sum of any cash compensation or other compensation and the grant date fair value (as determined in accordance with FASB ASC 718, or any successor thereto) of any equity awards granted as compensation for services as a non-employee director during any calendar year may not exceed $        , increased to $        in the calendar year of a non-employee director’s initial service as a non-employee director or during which a non-employee director serves as chair of our board of directors or lead independent director (which limits will not apply to the compensation for any non-employee director who serves in any capacity in addition to that of a non-employee director for which he or she receives additional compensation or any compensation paid to any non-employee director prior to the calendar year following the calendar year in which this offering occurs). The plan administrator may make exceptions to this limit for individual non-employee directors in such circumstances as the plan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91"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i w:val="1"/>
          <w:iCs w:val="1"/>
          <w:color w:val="auto"/>
        </w:rPr>
        <w:t>Certain transactions</w:t>
      </w:r>
      <w:r>
        <w:rPr>
          <w:rFonts w:ascii="Times New Roman" w:cs="Times New Roman" w:eastAsia="Times New Roman" w:hAnsi="Times New Roman"/>
          <w:sz w:val="18"/>
          <w:szCs w:val="18"/>
          <w:color w:val="auto"/>
        </w:rPr>
        <w:t>. In connection with certain transactions and events affecting our common stock, including a change in control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or change in any applicable laws or accounting principles, the plan administrator has broad discretion to act under the 2024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2024 Plan. In the event of a change in control where the acquirer does not assume awards granted under the 2024 Plan, awards issued under the 2024 Plan will be subject to accelerated vesting such that 100% of the awards will become vested and exercisable or payable, as applicable. In addition, in the event of certain non-reciprocal transactions with our stockholders (an equity restructuring) the plan administrator will make equitable adjustments to the 2024 Plan and outstanding awards as it deems appropriate to reflect the equity restructuring.</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2024 Plan, a “change in control” means and includes each of the following:</w:t>
      </w:r>
    </w:p>
    <w:p>
      <w:pPr>
        <w:spacing w:after="0" w:line="124" w:lineRule="exact"/>
        <w:rPr>
          <w:sz w:val="20"/>
          <w:szCs w:val="20"/>
          <w:color w:val="auto"/>
        </w:rPr>
      </w:pPr>
    </w:p>
    <w:p>
      <w:pPr>
        <w:jc w:val="both"/>
        <w:ind w:left="1180" w:hanging="538"/>
        <w:spacing w:after="0" w:line="271" w:lineRule="auto"/>
        <w:tabs>
          <w:tab w:leader="none" w:pos="11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w:t>
      </w:r>
    </w:p>
    <w:p>
      <w:pPr>
        <w:spacing w:after="0" w:line="75" w:lineRule="exact"/>
        <w:rPr>
          <w:rFonts w:ascii="Times New Roman" w:cs="Times New Roman" w:eastAsia="Times New Roman" w:hAnsi="Times New Roman"/>
          <w:sz w:val="17"/>
          <w:szCs w:val="17"/>
          <w:color w:val="auto"/>
        </w:rPr>
      </w:pPr>
    </w:p>
    <w:p>
      <w:pPr>
        <w:jc w:val="both"/>
        <w:ind w:left="1180" w:hanging="538"/>
        <w:spacing w:after="0" w:line="252" w:lineRule="auto"/>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individuals who, at the beginning of such period, constitute our board of directors together with any new directors (other than a director designated by a person who has entered into an agreement with us to effect a change in control transaction)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92" w:lineRule="exact"/>
        <w:rPr>
          <w:rFonts w:ascii="Times New Roman" w:cs="Times New Roman" w:eastAsia="Times New Roman" w:hAnsi="Times New Roman"/>
          <w:sz w:val="18"/>
          <w:szCs w:val="18"/>
          <w:color w:val="auto"/>
        </w:rPr>
      </w:pPr>
    </w:p>
    <w:p>
      <w:pPr>
        <w:jc w:val="both"/>
        <w:ind w:left="1180" w:hanging="538"/>
        <w:spacing w:after="0" w:line="259" w:lineRule="auto"/>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us (whether directly or indirectly) of (x) a merger, consolidation, reorganization, or business combination or (y) a sale or other disposition of all or substantially all of our assets in any single transaction or series of related transactions or (z) the acquisition of assets or stock of another entity, in each case other than a transaction:</w:t>
      </w:r>
    </w:p>
    <w:p>
      <w:pPr>
        <w:spacing w:after="0" w:line="85"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our voting securities outstanding immediately before the transaction continuing to represent either by remaining outstanding or by being converted into voting securities of the company</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20"/>
          </w:cols>
          <w:pgMar w:left="320" w:top="451" w:right="5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1180" w:right="20"/>
        <w:spacing w:after="0" w:line="259" w:lineRule="auto"/>
        <w:rPr>
          <w:sz w:val="20"/>
          <w:szCs w:val="20"/>
          <w:color w:val="auto"/>
        </w:rPr>
      </w:pPr>
      <w:r>
        <w:rPr>
          <w:rFonts w:ascii="Times New Roman" w:cs="Times New Roman" w:eastAsia="Times New Roman" w:hAnsi="Times New Roman"/>
          <w:sz w:val="18"/>
          <w:szCs w:val="18"/>
          <w:color w:val="auto"/>
        </w:rPr>
        <w:t>or the person that, as a result of the transaction, controls, directly or indirectly, the company or owns, directly or indirectly, all or substantially all of our assets or otherwise succeeds to our business, directly or indirectly, at least a majority of the combined voting power of the successor entity’s outstanding voting securities immediately after the transaction, and</w:t>
      </w:r>
    </w:p>
    <w:p>
      <w:pPr>
        <w:spacing w:after="0" w:line="85" w:lineRule="exact"/>
        <w:rPr>
          <w:sz w:val="20"/>
          <w:szCs w:val="20"/>
          <w:color w:val="auto"/>
        </w:rPr>
      </w:pPr>
    </w:p>
    <w:p>
      <w:pPr>
        <w:jc w:val="both"/>
        <w:ind w:left="1180" w:right="20" w:hanging="538"/>
        <w:spacing w:after="0" w:line="259"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which no person or group beneficially owns voting securities representing 50% or more of the combined voting power of the successor entity; provided, however, that no person or group will be treated as beneficially owning 50% or more of the combined voting power of the successor entity solely as a result of the voting power held in our company prior to the consummation of the transaction.</w:t>
      </w:r>
    </w:p>
    <w:p>
      <w:pPr>
        <w:spacing w:after="0" w:line="176" w:lineRule="exact"/>
        <w:rPr>
          <w:sz w:val="20"/>
          <w:szCs w:val="20"/>
          <w:color w:val="auto"/>
        </w:rPr>
      </w:pPr>
    </w:p>
    <w:p>
      <w:pPr>
        <w:jc w:val="both"/>
        <w:ind w:left="220" w:right="20" w:firstLine="432"/>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Foreign participants, clawback provisions, transferability, and participant payments. </w:t>
      </w:r>
      <w:r>
        <w:rPr>
          <w:rFonts w:ascii="Times New Roman" w:cs="Times New Roman" w:eastAsia="Times New Roman" w:hAnsi="Times New Roman"/>
          <w:sz w:val="17"/>
          <w:szCs w:val="17"/>
          <w:color w:val="auto"/>
        </w:rPr>
        <w:t>With respect to foreign participants, the plan administrator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modify award terms, establish subplans and/or adjust other terms and conditions of awards, subject to the share limits described above. All awards will be subject to the provisions of any clawback policy implemented by our company and to the extent set forth in such clawback policy or in the applicable award agreement. With limited exceptions for estate planning, domestic relations orders, certain beneficiary designations and the laws of descent and distribution, awards under the 2024 Plan are generally nontransferable prior to vesting and are exercisable only by the participant. With regard to tax withholding obligations arising in connection with awards under the 2024 Plan and exercise price obligations arising in connection with the exercise of stock options under the 2024 Plan, the plan administrator may, in its discretion, accept cash, wire transfer, or check, shares of our common stock that meet specified conditions (a market sell order) or such other consideration as it deems suitable or any combination of the foregoing.</w:t>
      </w:r>
    </w:p>
    <w:p>
      <w:pPr>
        <w:spacing w:after="0" w:line="175" w:lineRule="exact"/>
        <w:rPr>
          <w:sz w:val="20"/>
          <w:szCs w:val="20"/>
          <w:color w:val="auto"/>
        </w:rPr>
      </w:pPr>
    </w:p>
    <w:p>
      <w:pPr>
        <w:jc w:val="both"/>
        <w:ind w:left="220" w:right="20"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Plan amendment and termination. </w:t>
      </w:r>
      <w:r>
        <w:rPr>
          <w:rFonts w:ascii="Times New Roman" w:cs="Times New Roman" w:eastAsia="Times New Roman" w:hAnsi="Times New Roman"/>
          <w:sz w:val="18"/>
          <w:szCs w:val="18"/>
          <w:color w:val="auto"/>
        </w:rPr>
        <w:t>Our board of directors may amend, suspend, or terminate the 2024 Plan at any time; however,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certain changes in our capital structure, stockholder approval will be required for any amendment that increases the number of shares available under the 2024 Plan. The plan administrator will have the authority, without the approval of our stockholders, to amend any outstanding stock option or SAR to reduce its exercise price per share. No award may be granted pursuant to the 2024 Plan after the tenth anniversary of the date on which our board of directors adopts the 2024 Plan.</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2022 Incentive Award Plan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and our stockholders have adopted and approved the 2022 Plan, effective as of September 30, 2022.</w:t>
      </w:r>
    </w:p>
    <w:p>
      <w:pPr>
        <w:spacing w:after="0" w:line="217"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As of September 30, 2023, a total of        shares are subject to issued and outstanding stock options granted under the 2022 Plan and a total of        shares remain available for issuance under the 2022 Plan.</w:t>
      </w:r>
    </w:p>
    <w:p>
      <w:pPr>
        <w:spacing w:after="0" w:line="163"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If an award under the 2022 Plan or the 2015 Plan expires, lapses or is terminated, exchanged for or settled in cash, surrendered, repurchased, cancelled without having been fully exercised or forfeited, in any case, in a manner that results in the Company acquiring shares covered by the award at a price not greater than the price paid by the participant for such shares or not issuing any shares covered by the award, any shares subject to such award will, as applicable, become or again be available for new grants under the 2022 Plan. Awards granted under the 2022 Plan upon the assumption of, or in substitution for, awards authorized or outstanding under a qualifying equity plan maintained by an entity with which we enter into a merger or similar corporate transaction will not reduce the shares available for grant under the 2022 Plan.</w:t>
      </w:r>
    </w:p>
    <w:p>
      <w:pPr>
        <w:spacing w:after="0" w:line="18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After the effective date of the 2024 Plan, no additional awards will be granted under the 2022 Plan. However, the 2022 Plan will continue to govern the terms and conditions of the outstanding awards granted under it. Shares of our common stock subject to awards granted under the 2022 Plan that expire, lapse or are terminated, exchanged for cash, surrendered, repurchased, or forfeited following the effective date of the 2022 Plan will be available for issuance under the 2024 Plan in accordance with its terms.</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40"/>
          </w:cols>
          <w:pgMar w:left="320" w:top="451" w:right="5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Eligibility and administration. </w:t>
      </w:r>
      <w:r>
        <w:rPr>
          <w:rFonts w:ascii="Times New Roman" w:cs="Times New Roman" w:eastAsia="Times New Roman" w:hAnsi="Times New Roman"/>
          <w:sz w:val="18"/>
          <w:szCs w:val="18"/>
          <w:color w:val="auto"/>
        </w:rPr>
        <w:t>Our employees, consultants and directors, and employees and consultants of our subsidiaries, are eligible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2022 Plan. The 2022 Plan is administered by our compensation committee, which may delegate its duties and responsibilities to committees of our directors and/or officers (referred to collectively as the plan administrator below), subject to certain limitations that may be imposed under the 2022 Plan. The plan administrator will have the authority to make all determinations and interpretations under, prescribe all forms for use with, and adopt rules for the administration of, the 2022 Plan, subject to its express terms and conditions. The plan administrator also sets the terms and conditions of all awards under the 2022 Plan, including any vesting and vesting acceleration conditions.</w:t>
      </w:r>
    </w:p>
    <w:p>
      <w:pPr>
        <w:spacing w:after="0" w:line="185"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The 2022 Plan provides for the grant of stock options, including incentive stock options (ISOs) within the meaning of Section 422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and nonqualified stock options (NSOs); restricted stock; dividend equivalents; restricted stock units (RSUs); stock appreciation rights (SARs); and other stock or cash-based awards. Certain awards under the 2022 Plan may constitute or provide for a deferral of compensation, subject to Section 409A of the Code, which may impose additional requirements on the terms and conditions of such awards. All awards under the 2022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94" w:lineRule="exact"/>
        <w:rPr>
          <w:sz w:val="20"/>
          <w:szCs w:val="20"/>
          <w:color w:val="auto"/>
        </w:rPr>
      </w:pPr>
    </w:p>
    <w:p>
      <w:pPr>
        <w:jc w:val="both"/>
        <w:ind w:left="1180" w:hanging="538"/>
        <w:spacing w:after="0" w:line="250" w:lineRule="auto"/>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Stock options provide for the purchase of shares of our common stock in the future at an exercise price set on the grant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spacing w:after="0" w:line="90" w:lineRule="exact"/>
        <w:rPr>
          <w:rFonts w:ascii="Times New Roman" w:cs="Times New Roman" w:eastAsia="Times New Roman" w:hAnsi="Times New Roman"/>
          <w:sz w:val="18"/>
          <w:szCs w:val="18"/>
          <w:color w:val="auto"/>
        </w:rPr>
      </w:pPr>
    </w:p>
    <w:p>
      <w:pPr>
        <w:jc w:val="both"/>
        <w:ind w:left="1180" w:hanging="538"/>
        <w:spacing w:after="0" w:line="253" w:lineRule="auto"/>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SARs entitle their holder, upon exercise, to receive from us an amount equal to the appreciation of the shares subject to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88" w:lineRule="exact"/>
        <w:rPr>
          <w:rFonts w:ascii="Times New Roman" w:cs="Times New Roman" w:eastAsia="Times New Roman" w:hAnsi="Times New Roman"/>
          <w:sz w:val="18"/>
          <w:szCs w:val="18"/>
          <w:color w:val="auto"/>
        </w:rPr>
      </w:pPr>
    </w:p>
    <w:p>
      <w:pPr>
        <w:jc w:val="both"/>
        <w:ind w:left="1180" w:hanging="538"/>
        <w:spacing w:after="0" w:line="251" w:lineRule="auto"/>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and RSUs. </w:t>
      </w:r>
      <w:r>
        <w:rPr>
          <w:rFonts w:ascii="Times New Roman" w:cs="Times New Roman" w:eastAsia="Times New Roman" w:hAnsi="Times New Roman"/>
          <w:sz w:val="18"/>
          <w:szCs w:val="18"/>
          <w:color w:val="auto"/>
        </w:rPr>
        <w:t>Restricted stock is an award of nontransferable shares of our common stock that remain forfeitable unless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92" w:lineRule="exact"/>
        <w:rPr>
          <w:rFonts w:ascii="Times New Roman" w:cs="Times New Roman" w:eastAsia="Times New Roman" w:hAnsi="Times New Roman"/>
          <w:sz w:val="18"/>
          <w:szCs w:val="18"/>
          <w:color w:val="auto"/>
        </w:rPr>
      </w:pPr>
    </w:p>
    <w:p>
      <w:pPr>
        <w:jc w:val="both"/>
        <w:ind w:left="1180" w:hanging="538"/>
        <w:spacing w:after="0" w:line="253" w:lineRule="auto"/>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 or cash-based awards. </w:t>
      </w:r>
      <w:r>
        <w:rPr>
          <w:rFonts w:ascii="Times New Roman" w:cs="Times New Roman" w:eastAsia="Times New Roman" w:hAnsi="Times New Roman"/>
          <w:sz w:val="18"/>
          <w:szCs w:val="18"/>
          <w:color w:val="auto"/>
        </w:rPr>
        <w:t>Other stock or cash-based awards are awards of cash, fully vested shares of our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20"/>
          </w:cols>
          <w:pgMar w:left="320" w:top="451" w:right="5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1180" w:right="20"/>
        <w:spacing w:after="0" w:line="274" w:lineRule="auto"/>
        <w:rPr>
          <w:sz w:val="20"/>
          <w:szCs w:val="20"/>
          <w:color w:val="auto"/>
        </w:rPr>
      </w:pPr>
      <w:r>
        <w:rPr>
          <w:rFonts w:ascii="Times New Roman" w:cs="Times New Roman" w:eastAsia="Times New Roman" w:hAnsi="Times New Roman"/>
          <w:sz w:val="18"/>
          <w:szCs w:val="18"/>
          <w:color w:val="auto"/>
        </w:rPr>
        <w:t>determine the terms and conditions of other stock or cash-based awards, which may include vesting conditions based on continued service, performance and/or other conditions.</w:t>
      </w:r>
    </w:p>
    <w:p>
      <w:pPr>
        <w:spacing w:after="0" w:line="69" w:lineRule="exact"/>
        <w:rPr>
          <w:sz w:val="20"/>
          <w:szCs w:val="20"/>
          <w:color w:val="auto"/>
        </w:rPr>
      </w:pPr>
    </w:p>
    <w:p>
      <w:pPr>
        <w:jc w:val="both"/>
        <w:ind w:left="1180" w:right="20" w:hanging="538"/>
        <w:spacing w:after="0" w:line="256" w:lineRule="auto"/>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RSUs or other stock and cash-based awards may be accompanied by the right to receive the equivalent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on shares of our common stock prior to the delivery of the underlying shares. Such dividend equivalents will only be paid out to the extent that any vesting conditions are subsequently satisfied, unless otherwise determined by the plan administrator. No dividend equivalents will be payable on stock options or SARs.</w:t>
      </w:r>
    </w:p>
    <w:p>
      <w:pPr>
        <w:spacing w:after="0" w:line="177"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Performance awards include any of the foregoing awards that are granted subject to vesting and/or payment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193" w:lineRule="exact"/>
        <w:rPr>
          <w:sz w:val="20"/>
          <w:szCs w:val="20"/>
          <w:color w:val="auto"/>
        </w:rPr>
      </w:pPr>
    </w:p>
    <w:p>
      <w:pPr>
        <w:jc w:val="both"/>
        <w:ind w:left="220" w:right="2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The 2022 Plan provides that the plan administrator may establish compensation for non-employee directors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subject to the 2022 Plan’s limitations. Our board of directors or its authorized committee may modify the non-employee director compensation program from time to time in the exercise of its business judgment, taking into account such factors, circumstances and considerations as it deems relevant from time to time.</w:t>
      </w:r>
    </w:p>
    <w:p>
      <w:pPr>
        <w:spacing w:after="0" w:line="177"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i w:val="1"/>
          <w:iCs w:val="1"/>
          <w:color w:val="auto"/>
        </w:rPr>
        <w:t>Certain transactions</w:t>
      </w:r>
      <w:r>
        <w:rPr>
          <w:rFonts w:ascii="Times New Roman" w:cs="Times New Roman" w:eastAsia="Times New Roman" w:hAnsi="Times New Roman"/>
          <w:sz w:val="18"/>
          <w:szCs w:val="18"/>
          <w:color w:val="auto"/>
        </w:rPr>
        <w:t>. In connection with certain transactions and events affecting our common stock, including a change in control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or change in any applicable laws or accounting principles, the plan administrator has broad discretion to act under the 2022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2022 Plan. In the event of a change in control where the acquirer does not assume awards granted under the 2022 Plan, awards issued under the 2022 Plan will be subject to accelerated vesting such that 100% of the awards</w:t>
      </w:r>
    </w:p>
    <w:p>
      <w:pPr>
        <w:spacing w:after="0" w:line="1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40"/>
          </w:cols>
          <w:pgMar w:left="320" w:top="451" w:right="5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9" w:lineRule="auto"/>
        <w:rPr>
          <w:sz w:val="20"/>
          <w:szCs w:val="20"/>
          <w:color w:val="auto"/>
        </w:rPr>
      </w:pPr>
      <w:r>
        <w:rPr>
          <w:rFonts w:ascii="Times New Roman" w:cs="Times New Roman" w:eastAsia="Times New Roman" w:hAnsi="Times New Roman"/>
          <w:sz w:val="18"/>
          <w:szCs w:val="18"/>
          <w:color w:val="auto"/>
        </w:rPr>
        <w:t>will become vested and exercisable or payable, as applicable. In addition, in the event of certain non-reciprocal transactions with our stockholders (an equity restructuring) the plan administrator will make equitable adjustments to the 2022 Plan and outstanding awards as it deems appropriate to reflect the equity restructuring.</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2022 Plan, a “change in control” means and includes each of the following:</w:t>
      </w:r>
    </w:p>
    <w:p>
      <w:pPr>
        <w:spacing w:after="0" w:line="124" w:lineRule="exact"/>
        <w:rPr>
          <w:sz w:val="20"/>
          <w:szCs w:val="20"/>
          <w:color w:val="auto"/>
        </w:rPr>
      </w:pPr>
    </w:p>
    <w:p>
      <w:pPr>
        <w:jc w:val="both"/>
        <w:ind w:left="1180" w:hanging="538"/>
        <w:spacing w:after="0" w:line="271" w:lineRule="auto"/>
        <w:tabs>
          <w:tab w:leader="none" w:pos="11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w:t>
      </w:r>
    </w:p>
    <w:p>
      <w:pPr>
        <w:spacing w:after="0" w:line="75" w:lineRule="exact"/>
        <w:rPr>
          <w:rFonts w:ascii="Times New Roman" w:cs="Times New Roman" w:eastAsia="Times New Roman" w:hAnsi="Times New Roman"/>
          <w:sz w:val="17"/>
          <w:szCs w:val="17"/>
          <w:color w:val="auto"/>
        </w:rPr>
      </w:pPr>
    </w:p>
    <w:p>
      <w:pPr>
        <w:jc w:val="both"/>
        <w:ind w:left="1180" w:hanging="538"/>
        <w:spacing w:after="0" w:line="252" w:lineRule="auto"/>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individuals who, at the beginning of such period, constitute our board of directors together with any new directors (other than a director designated by a person who has entered into an agreement with us to effect a change in control transaction)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92" w:lineRule="exact"/>
        <w:rPr>
          <w:rFonts w:ascii="Times New Roman" w:cs="Times New Roman" w:eastAsia="Times New Roman" w:hAnsi="Times New Roman"/>
          <w:sz w:val="18"/>
          <w:szCs w:val="18"/>
          <w:color w:val="auto"/>
        </w:rPr>
      </w:pPr>
    </w:p>
    <w:p>
      <w:pPr>
        <w:jc w:val="both"/>
        <w:ind w:left="1180" w:hanging="538"/>
        <w:spacing w:after="0" w:line="259" w:lineRule="auto"/>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us (whether directly or indirectly) of (x) a merger, consolidation, reorganization, or business combination or (y) a sale or other disposition of all or substantially all of our assets in any single transaction or series of related transactions or (z) the acquisition of assets or stock of another entity, in each case other than a transaction:</w:t>
      </w:r>
    </w:p>
    <w:p>
      <w:pPr>
        <w:spacing w:after="0" w:line="85" w:lineRule="exact"/>
        <w:rPr>
          <w:rFonts w:ascii="Times New Roman" w:cs="Times New Roman" w:eastAsia="Times New Roman" w:hAnsi="Times New Roman"/>
          <w:sz w:val="18"/>
          <w:szCs w:val="18"/>
          <w:color w:val="auto"/>
        </w:rPr>
      </w:pPr>
    </w:p>
    <w:p>
      <w:pPr>
        <w:jc w:val="both"/>
        <w:ind w:left="1180" w:hanging="538"/>
        <w:spacing w:after="0" w:line="252" w:lineRule="auto"/>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our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our assets or otherwise succeeds to our business, directly or indirectly, at least a majority of the combined voting power of the successor entity’s outstanding voting securities immediately after the transaction, and</w:t>
      </w:r>
    </w:p>
    <w:p>
      <w:pPr>
        <w:spacing w:after="0" w:line="92" w:lineRule="exact"/>
        <w:rPr>
          <w:rFonts w:ascii="Times New Roman" w:cs="Times New Roman" w:eastAsia="Times New Roman" w:hAnsi="Times New Roman"/>
          <w:sz w:val="18"/>
          <w:szCs w:val="18"/>
          <w:color w:val="auto"/>
        </w:rPr>
      </w:pPr>
    </w:p>
    <w:p>
      <w:pPr>
        <w:jc w:val="both"/>
        <w:ind w:left="1180" w:hanging="538"/>
        <w:spacing w:after="0" w:line="259" w:lineRule="auto"/>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which no person or group beneficially owns voting securities representing 50% or more of the combined voting power of the successor entity; provided, however, that no person or group will be treated as beneficially owning 50% or more of the combined voting power of the successor entity solely as a result of the voting power held in our company prior to the consummation of the transaction.</w:t>
      </w:r>
    </w:p>
    <w:p>
      <w:pPr>
        <w:spacing w:after="0" w:line="176" w:lineRule="exact"/>
        <w:rPr>
          <w:sz w:val="20"/>
          <w:szCs w:val="20"/>
          <w:color w:val="auto"/>
        </w:rPr>
      </w:pPr>
    </w:p>
    <w:p>
      <w:pPr>
        <w:jc w:val="both"/>
        <w:ind w:left="220" w:firstLine="432"/>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Foreign participants, clawback provisions, transferability, and participant payments. </w:t>
      </w:r>
      <w:r>
        <w:rPr>
          <w:rFonts w:ascii="Times New Roman" w:cs="Times New Roman" w:eastAsia="Times New Roman" w:hAnsi="Times New Roman"/>
          <w:sz w:val="17"/>
          <w:szCs w:val="17"/>
          <w:color w:val="auto"/>
        </w:rPr>
        <w:t>With respect to foreign participants, the plan administrator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modify award terms, establish subplans and/or adjust other terms and conditions of awards, subject to the share limits described above. All awards will be subject to the provisions of any clawback policy implemented by our company and to the extent set forth in such clawback policy or in the applicable award agreement. With limited exceptions for estate planning, domestic relations orders, certain beneficiary designations and the laws of descent and distribution, awards under the 2022 Plan are generally nontransferable prior to vesting and are exercisable only by the participant. With regard to tax withholding obligations arising in connection with awards under the 2022 Plan and exercise price obligations arising in connection with the exercise of stock options under the 2022 Plan, the plan administrator may, in its discretion, accept cash, wire transfer, or check, shares of our common stock that meet specified conditions (a market sell order) or such other consideration as it deems suitable or any combination of the foregoing.</w:t>
      </w:r>
    </w:p>
    <w:p>
      <w:pPr>
        <w:spacing w:after="0" w:line="175" w:lineRule="exact"/>
        <w:rPr>
          <w:sz w:val="20"/>
          <w:szCs w:val="20"/>
          <w:color w:val="auto"/>
        </w:rPr>
      </w:pPr>
    </w:p>
    <w:p>
      <w:pPr>
        <w:jc w:val="both"/>
        <w:ind w:left="2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amendment and termination. </w:t>
      </w:r>
      <w:r>
        <w:rPr>
          <w:rFonts w:ascii="Times New Roman" w:cs="Times New Roman" w:eastAsia="Times New Roman" w:hAnsi="Times New Roman"/>
          <w:sz w:val="18"/>
          <w:szCs w:val="18"/>
          <w:color w:val="auto"/>
        </w:rPr>
        <w:t>Our board of directors may amend, suspend, or terminate the 2022 Plan at any time; however,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certain changes in our capital structure, stockholder approval will be required for any amendment that increases the number of shares available under the 2022 Plan. The plan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20"/>
          </w:cols>
          <w:pgMar w:left="320" w:top="451" w:right="5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9" w:lineRule="auto"/>
        <w:rPr>
          <w:sz w:val="20"/>
          <w:szCs w:val="20"/>
          <w:color w:val="auto"/>
        </w:rPr>
      </w:pPr>
      <w:r>
        <w:rPr>
          <w:rFonts w:ascii="Times New Roman" w:cs="Times New Roman" w:eastAsia="Times New Roman" w:hAnsi="Times New Roman"/>
          <w:sz w:val="18"/>
          <w:szCs w:val="18"/>
          <w:color w:val="auto"/>
        </w:rPr>
        <w:t>administrator will have the authority, without the approval of our stockholders, to amend any outstanding stock option or SAR to reduce its exercise price per share. After the effective date of the 2024 Plan, no additional awards will be granted under the 2022 Plan. However, the 2022 Plan will continue to govern the terms and conditions of the outstanding awards granted under it.</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and our stockholders have adopted and approved the 2015 Equity Incentive Plan, effective as of July 28, 2015.</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2023, a total of            shares are subject to issued and outstanding stock options granted under the 2015 Plan.</w:t>
      </w:r>
    </w:p>
    <w:p>
      <w:pPr>
        <w:spacing w:after="0" w:line="217"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After the effective date of the 2022 Plan, no additional awards were granted under the 2015 Plan and the 2015 Plan was terminated. However, the 2015 Plan will continue to govern the terms and conditions of the outstanding awards granted under it. Shares of our common stock subject to awards granted under the 2015 Plan that expire, lapse or are terminated, exchanged for cash, surrendered, repurchased, or forfeited following the effective date of the 2015 Plan will be available for issuance under the 2022 Plan in accordance with its terms.</w:t>
      </w:r>
    </w:p>
    <w:p>
      <w:pPr>
        <w:spacing w:after="0" w:line="178"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compensation committee administers the 2015 Plan unless it delegates authority for administration of the plan.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conditions of the 2015 Plan, the administrator has the authority to select the persons to whom awards 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2015 Plan. The plan administrator is also authorized to establish, adopt, amend, or revise rules relating to administration of the 2015 Plan, subject to certain restrictions.</w:t>
      </w:r>
    </w:p>
    <w:p>
      <w:pPr>
        <w:spacing w:after="0" w:line="185" w:lineRule="exact"/>
        <w:rPr>
          <w:sz w:val="20"/>
          <w:szCs w:val="20"/>
          <w:color w:val="auto"/>
        </w:rPr>
      </w:pPr>
    </w:p>
    <w:p>
      <w:pPr>
        <w:jc w:val="both"/>
        <w:ind w:left="220" w:firstLine="432"/>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Awards under the 2015 Plan may be granted to individuals who are then our employees, consultants, and members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our subsidiaries. Only employees may be granted ISOs.</w:t>
      </w:r>
    </w:p>
    <w:p>
      <w:pPr>
        <w:spacing w:after="0" w:line="160" w:lineRule="exact"/>
        <w:rPr>
          <w:sz w:val="20"/>
          <w:szCs w:val="20"/>
          <w:color w:val="auto"/>
        </w:rPr>
      </w:pPr>
    </w:p>
    <w:p>
      <w:pPr>
        <w:jc w:val="both"/>
        <w:ind w:left="22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The 2015 Plan provides that our administrator may grant or issue stock options (including NSOs and ISOs) and restricted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considers each award grant subjectively, considering factors such as the individual performance of the recipient and the anticipated contribution of the recipient to the attainment of our long-term goals. Each award is set forth in a separate agreement with the person receiving the award and indicates the type, terms, and conditions of the award.</w:t>
      </w:r>
    </w:p>
    <w:p>
      <w:pPr>
        <w:spacing w:after="0" w:line="177"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Certain Transactions; Change in Control. </w:t>
      </w:r>
      <w:r>
        <w:rPr>
          <w:rFonts w:ascii="Times New Roman" w:cs="Times New Roman" w:eastAsia="Times New Roman" w:hAnsi="Times New Roman"/>
          <w:sz w:val="18"/>
          <w:szCs w:val="18"/>
          <w:color w:val="auto"/>
        </w:rPr>
        <w:t>The plan administrator has broad discretion to equitably adjust the provisions of the 2015 Plan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conditions of existing and future awards, including with respect to aggregate number and type of shares subject to the 2015 Plan and awards granted pursuant to the 2015 Plan, to prevent the dilution or enlargement of intended benefits and/or facilitate necessary or desirable changes in the event of certain transactions and events affecting our common stock, such as stock dividends, stock splits, mergers, acquisitions, consolidations and other corporate transactions. The plan administrator may also provide for the acceleration, cash-out, termination, assumption, substitution, or conversion of awards in the event of a change in control, a merger of the Company with or into another corporation or other entity occurs or certain other unusual or nonrecurring events or transactions. In addition, in the event of certain non-reciprocal transactions with our stockholders, or an “equity restructuring,” the plan administrator will make equitable adjustments to the 2015 Plan and outstanding awards as it deems appropriate to reflect the equity restructuring.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Upon the effectiveness of our 2022 Plan, our board of directors terminated the 2015 Plan.</w:t>
      </w:r>
    </w:p>
    <w:p>
      <w:pPr>
        <w:spacing w:after="0" w:line="1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20"/>
          </w:cols>
          <w:pgMar w:left="320" w:top="451" w:right="5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15" w:lineRule="exact"/>
        <w:rPr>
          <w:sz w:val="20"/>
          <w:szCs w:val="20"/>
          <w:color w:val="auto"/>
        </w:rPr>
      </w:pPr>
    </w:p>
    <w:p>
      <w:pPr>
        <w:jc w:val="both"/>
        <w:ind w:left="220" w:firstLine="432"/>
        <w:spacing w:after="0" w:line="282" w:lineRule="auto"/>
        <w:rPr>
          <w:sz w:val="20"/>
          <w:szCs w:val="20"/>
          <w:color w:val="auto"/>
        </w:rPr>
      </w:pPr>
      <w:r>
        <w:rPr>
          <w:rFonts w:ascii="Times New Roman" w:cs="Times New Roman" w:eastAsia="Times New Roman" w:hAnsi="Times New Roman"/>
          <w:sz w:val="17"/>
          <w:szCs w:val="17"/>
          <w:color w:val="auto"/>
        </w:rPr>
        <w:t>Effective the day prior to the first public trading date of our common stock, we intend to adopt and ask our stockholders to approve the CG Oncology, Inc. 2024 Employee Stock Purchase Program (the ESPP), the material terms of which, as it is currently contemplated, are summarized below. Our board of directors is still in the process of developing, approving, and implementing the ESPP and, accordingly, this summary is subject to change.</w:t>
      </w:r>
    </w:p>
    <w:p>
      <w:pPr>
        <w:spacing w:after="0" w:line="159"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The ESPP is comprised of two distinct components in order to provide increased flexibility to grant options to purchase shares under the ESPP to U.S. and to non-U.S. employees. Specifically, the ESPP authorizes (1) the grant of options to U.S. employees that are intended to qualify for favorable U.S. federal tax treatment under Section 423 of the Code, (the Section 423 Component), and (2) the grant of options that are not intended to be tax-qualified under Section 423 of the Code to facilitate participation for employees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w:t>
      </w:r>
    </w:p>
    <w:p>
      <w:pPr>
        <w:spacing w:after="0" w:line="185"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Shares available for awards; administration. </w:t>
      </w:r>
      <w:r>
        <w:rPr>
          <w:rFonts w:ascii="Times New Roman" w:cs="Times New Roman" w:eastAsia="Times New Roman" w:hAnsi="Times New Roman"/>
          <w:sz w:val="18"/>
          <w:szCs w:val="18"/>
          <w:color w:val="auto"/>
        </w:rPr>
        <w:t>A total of        shares of our common stock will initially be reserved for issuance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In addition, the number of shares available for issuance under the ESPP will be annually increased on January 1 of each calendar year beginning in 2025 and ending in and including 2034, by an amount equal to the lesser of (A)        % of the shares outstanding on the final day of the immediately preceding calendar year and (B) such smaller number of shares as is determined by our board of directors, provided that no more than        shares of our common stock may be issued under the Section 423 Component. Our board of directors or a committee of our board of directors will administer and will have authority to interpret the terms of the ESPP and determine eligibility of participants. We expect that the compensation committee will be the initial administrator of the ESPP (referred to as the plan administrator below).</w:t>
      </w:r>
    </w:p>
    <w:p>
      <w:pPr>
        <w:spacing w:after="0" w:line="187" w:lineRule="exact"/>
        <w:rPr>
          <w:sz w:val="20"/>
          <w:szCs w:val="20"/>
          <w:color w:val="auto"/>
        </w:rPr>
      </w:pPr>
    </w:p>
    <w:p>
      <w:pPr>
        <w:jc w:val="both"/>
        <w:ind w:left="2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expect that all of our employees will be eligible to participate in the ESPP. However, an employee may not be granted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stock under the ESPP if the employee, immediately after the grant, would own (directly or through attribution) stock possessing 5% or more of the total combined voting power or value of all classes of our stock.</w:t>
      </w:r>
    </w:p>
    <w:p>
      <w:pPr>
        <w:spacing w:after="0" w:line="173"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Grant of rights. </w:t>
      </w:r>
      <w:r>
        <w:rPr>
          <w:rFonts w:ascii="Times New Roman" w:cs="Times New Roman" w:eastAsia="Times New Roman" w:hAnsi="Times New Roman"/>
          <w:sz w:val="18"/>
          <w:szCs w:val="18"/>
          <w:color w:val="auto"/>
        </w:rPr>
        <w:t>Stock will be offered under the ESPP during offering periods. The length of the offering periods under the ESPP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plan administrator and may be up to twenty-seven months long. Employee payroll deductions will be used to purchase shares on each purchase date during an offering period. The purchase dates for each offering period will be the final trading day in the offering period. Offering periods under the ESPP will commence when determined by the plan administrator. The plan administrator may, in its discretion, modify the terms of future offering periods.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w:t>
      </w:r>
    </w:p>
    <w:p>
      <w:pPr>
        <w:spacing w:after="0" w:line="189"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The ESPP permits participants to purchase common stock through payroll deductions of up to a specified percentage of their eligible compensation. The plan administrator will establish a maximum number of shares that may be purchased by a participant during any offering period.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w:t>
      </w:r>
    </w:p>
    <w:p>
      <w:pPr>
        <w:spacing w:after="0" w:line="18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On the first trading day of each offering period, each participant will automatically be granted an option to purchase shares of our common stock. The option will expire at the end of the applicable offering period and will</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20"/>
          </w:cols>
          <w:pgMar w:left="320" w:top="451" w:right="5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2" w:lineRule="auto"/>
        <w:rPr>
          <w:sz w:val="20"/>
          <w:szCs w:val="20"/>
          <w:color w:val="auto"/>
        </w:rPr>
      </w:pPr>
      <w:r>
        <w:rPr>
          <w:rFonts w:ascii="Times New Roman" w:cs="Times New Roman" w:eastAsia="Times New Roman" w:hAnsi="Times New Roman"/>
          <w:sz w:val="18"/>
          <w:szCs w:val="18"/>
          <w:color w:val="auto"/>
        </w:rPr>
        <w:t>be exercised at that time to the extent of the payroll deductions accumulated during the offering period. The purchase price of the shares, in the absence of a contrary designation, will be 85% of the lower of the fair market value of our common stock on the first trading day of the offering period or on the purchase date. Participants may voluntarily end their participation in the ESPP at any time during a specified period prior to the end of the applicable offering period and will be paid their accrued payroll deductions that have not yet been used to purchase shares of common stock. Participation ends automatically upon a participant’s termination of employment.</w:t>
      </w:r>
    </w:p>
    <w:p>
      <w:pPr>
        <w:spacing w:after="0" w:line="18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A participant may not transfer rights granted under the ESPP other than by will or the laws of descent and distribution, and such rights are generally exercisable only by the participant.</w:t>
      </w:r>
    </w:p>
    <w:p>
      <w:pPr>
        <w:spacing w:after="0" w:line="161"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Certain transactions. </w:t>
      </w:r>
      <w:r>
        <w:rPr>
          <w:rFonts w:ascii="Times New Roman" w:cs="Times New Roman" w:eastAsia="Times New Roman" w:hAnsi="Times New Roman"/>
          <w:sz w:val="18"/>
          <w:szCs w:val="18"/>
          <w:color w:val="auto"/>
        </w:rPr>
        <w:t>In the event of certain non-reciprocal transactions or events affecting our common stock, the plan administrator will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equitable adjustments to the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87" w:lineRule="exact"/>
        <w:rPr>
          <w:sz w:val="20"/>
          <w:szCs w:val="20"/>
          <w:color w:val="auto"/>
        </w:rPr>
      </w:pPr>
    </w:p>
    <w:p>
      <w:pPr>
        <w:jc w:val="both"/>
        <w:ind w:left="2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amendment. </w:t>
      </w:r>
      <w:r>
        <w:rPr>
          <w:rFonts w:ascii="Times New Roman" w:cs="Times New Roman" w:eastAsia="Times New Roman" w:hAnsi="Times New Roman"/>
          <w:sz w:val="18"/>
          <w:szCs w:val="18"/>
          <w:color w:val="auto"/>
        </w:rPr>
        <w:t>The plan administrator may amend, suspend, or terminate the ESPP at any time. However, stockholder approval will be obtained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amendment that increases the aggregate number or changes the type of shares that may be sold pursuant to rights under the ESPP or changes the corporations or classes of corporations whose employees are eligible to participate in the ESPP.</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We provide a $36,000 cash retainer, paid in quarterly installments, to certain directors for their service on our board. We also have a policy of reimbursing all of our non-employee directors for their reasonable out-of-pocket expenses in connection with attending board of directors and committee meetings.</w:t>
      </w:r>
    </w:p>
    <w:p>
      <w:pPr>
        <w:spacing w:after="0" w:line="178"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In addition, we also from time to time provide equity compensation to certain directors for their service on our board. On June 14, 2023, Drs. Mulé and Post were granted options to purchase 75,000 shares and 150,000 shares, respectively, of our common stock. The options have an exercise price of $0.39 per share, the fair market value on the date of grant as determined by our board based on an independent third-party valuation. The options vest over a period of three years in equal monthly installments beginning on the first monthly anniversary of the vesting commencement date (June 14, 2023), subject to Dr. Mulé and Dr. Post’s continuous service with us as of each such vesting date.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year ended December 31, 2022, we did not provide any equity compensation to our non-employee directors.</w:t>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8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or Paid in</w:t>
            </w:r>
          </w:p>
        </w:tc>
        <w:tc>
          <w:tcPr>
            <w:tcW w:w="98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20" w:type="dxa"/>
            <w:vAlign w:val="bottom"/>
            <w:vMerge w:val="restart"/>
          </w:tcPr>
          <w:p>
            <w:pPr>
              <w:spacing w:after="0"/>
              <w:rPr>
                <w:sz w:val="12"/>
                <w:szCs w:val="12"/>
                <w:color w:val="auto"/>
              </w:rPr>
            </w:pPr>
          </w:p>
        </w:tc>
        <w:tc>
          <w:tcPr>
            <w:tcW w:w="2960" w:type="dxa"/>
            <w:vAlign w:val="bottom"/>
          </w:tcPr>
          <w:p>
            <w:pPr>
              <w:spacing w:after="0"/>
              <w:rPr>
                <w:sz w:val="12"/>
                <w:szCs w:val="12"/>
                <w:color w:val="auto"/>
              </w:rPr>
            </w:pPr>
          </w:p>
        </w:tc>
        <w:tc>
          <w:tcPr>
            <w:tcW w:w="128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980" w:type="dxa"/>
            <w:vAlign w:val="bottom"/>
            <w:gridSpan w:val="2"/>
          </w:tcPr>
          <w:p>
            <w:pPr>
              <w:jc w:val="right"/>
              <w:ind w:right="520"/>
              <w:spacing w:after="0" w:line="146"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420" w:type="dxa"/>
            <w:vAlign w:val="bottom"/>
            <w:gridSpan w:val="2"/>
          </w:tcPr>
          <w:p>
            <w:pPr>
              <w:jc w:val="right"/>
              <w:ind w:right="5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3700" w:type="dxa"/>
            <w:vAlign w:val="bottom"/>
            <w:gridSpan w:val="2"/>
          </w:tcPr>
          <w:p>
            <w:pPr>
              <w:jc w:val="center"/>
              <w:ind w:left="2876"/>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460" w:type="dxa"/>
            <w:vAlign w:val="bottom"/>
          </w:tcPr>
          <w:p>
            <w:pPr>
              <w:jc w:val="right"/>
              <w:ind w:right="77"/>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880" w:type="dxa"/>
            <w:vAlign w:val="bottom"/>
          </w:tcPr>
          <w:p>
            <w:pPr>
              <w:jc w:val="right"/>
              <w:ind w:right="277"/>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540" w:type="dxa"/>
            <w:vAlign w:val="bottom"/>
          </w:tcPr>
          <w:p>
            <w:pPr>
              <w:jc w:val="right"/>
              <w:ind w:right="116"/>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80" w:type="dxa"/>
            <w:vAlign w:val="bottom"/>
            <w:tcBorders>
              <w:top w:val="single" w:sz="8" w:color="CCEEFF"/>
            </w:tcBorders>
            <w:gridSpan w:val="2"/>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Brian Liu</w:t>
            </w:r>
          </w:p>
        </w:tc>
        <w:tc>
          <w:tcPr>
            <w:tcW w:w="29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gridSpan w:val="2"/>
          </w:tcPr>
          <w:p>
            <w:pPr>
              <w:spacing w:after="0" w:line="212" w:lineRule="exact"/>
              <w:rPr>
                <w:sz w:val="20"/>
                <w:szCs w:val="20"/>
                <w:color w:val="auto"/>
              </w:rPr>
            </w:pPr>
            <w:r>
              <w:rPr>
                <w:rFonts w:ascii="Times New Roman" w:cs="Times New Roman" w:eastAsia="Times New Roman" w:hAnsi="Times New Roman"/>
                <w:sz w:val="16"/>
                <w:szCs w:val="16"/>
                <w:color w:val="auto"/>
              </w:rPr>
              <w:t>James J. Mulé, IPh.D.</w:t>
            </w:r>
            <w:r>
              <w:rPr>
                <w:rFonts w:ascii="Times New Roman" w:cs="Times New Roman" w:eastAsia="Times New Roman" w:hAnsi="Times New Roman"/>
                <w:sz w:val="24"/>
                <w:szCs w:val="24"/>
                <w:color w:val="auto"/>
                <w:vertAlign w:val="superscript"/>
              </w:rPr>
              <w:t>(1)</w:t>
            </w:r>
          </w:p>
        </w:tc>
        <w:tc>
          <w:tcPr>
            <w:tcW w:w="4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36,000</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12"/>
        </w:trPr>
        <w:tc>
          <w:tcPr>
            <w:tcW w:w="35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Osamu Nakanishi, Ph.D.</w:t>
            </w:r>
            <w:r>
              <w:rPr>
                <w:rFonts w:ascii="Times New Roman" w:cs="Times New Roman" w:eastAsia="Times New Roman" w:hAnsi="Times New Roman"/>
                <w:sz w:val="24"/>
                <w:szCs w:val="24"/>
                <w:color w:val="auto"/>
                <w:vertAlign w:val="superscript"/>
              </w:rPr>
              <w:t>(2)</w:t>
            </w:r>
          </w:p>
        </w:tc>
        <w:tc>
          <w:tcPr>
            <w:tcW w:w="29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Post, Ph.D.</w:t>
            </w:r>
          </w:p>
        </w:tc>
        <w:tc>
          <w:tcPr>
            <w:tcW w:w="4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36,000</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12"/>
        </w:trPr>
        <w:tc>
          <w:tcPr>
            <w:tcW w:w="35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Jue Pu</w:t>
            </w:r>
            <w:r>
              <w:rPr>
                <w:rFonts w:ascii="Times New Roman" w:cs="Times New Roman" w:eastAsia="Times New Roman" w:hAnsi="Times New Roman"/>
                <w:sz w:val="24"/>
                <w:szCs w:val="24"/>
                <w:color w:val="auto"/>
                <w:vertAlign w:val="superscript"/>
              </w:rPr>
              <w:t>(3)</w:t>
            </w:r>
          </w:p>
        </w:tc>
        <w:tc>
          <w:tcPr>
            <w:tcW w:w="29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Simone Song</w:t>
            </w:r>
          </w:p>
        </w:tc>
        <w:tc>
          <w:tcPr>
            <w:tcW w:w="29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 Tong, Jr.</w:t>
            </w:r>
          </w:p>
        </w:tc>
        <w:tc>
          <w:tcPr>
            <w:tcW w:w="29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9"/>
        </w:trPr>
        <w:tc>
          <w:tcPr>
            <w:tcW w:w="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6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152</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1" w:right="5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293370</wp:posOffset>
            </wp:positionV>
            <wp:extent cx="7569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40" w:hanging="422"/>
        <w:spacing w:after="0"/>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Drs. Mulé and Post each held options to purchase 257,593 shares and 1,287,964 shares, respectively, of the Company’s common stock.</w:t>
      </w:r>
    </w:p>
    <w:p>
      <w:pPr>
        <w:ind w:left="640" w:hanging="422"/>
        <w:spacing w:after="0" w:line="217"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Nakanishi ceased serving as a director in October 2023.</w:t>
      </w:r>
    </w:p>
    <w:p>
      <w:pPr>
        <w:ind w:left="640" w:hanging="422"/>
        <w:spacing w:after="0"/>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Pu ceased serving as a director in October 2023.</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Post-IPO Director Compensation Program</w:t>
      </w:r>
    </w:p>
    <w:p>
      <w:pPr>
        <w:spacing w:after="0" w:line="115" w:lineRule="exact"/>
        <w:rPr>
          <w:sz w:val="20"/>
          <w:szCs w:val="20"/>
          <w:color w:val="auto"/>
        </w:rPr>
      </w:pPr>
    </w:p>
    <w:p>
      <w:pPr>
        <w:jc w:val="both"/>
        <w:ind w:left="220" w:firstLine="432"/>
        <w:spacing w:after="0" w:line="304" w:lineRule="auto"/>
        <w:rPr>
          <w:sz w:val="20"/>
          <w:szCs w:val="20"/>
          <w:color w:val="auto"/>
        </w:rPr>
      </w:pPr>
      <w:r>
        <w:rPr>
          <w:rFonts w:ascii="Times New Roman" w:cs="Times New Roman" w:eastAsia="Times New Roman" w:hAnsi="Times New Roman"/>
          <w:sz w:val="17"/>
          <w:szCs w:val="17"/>
          <w:color w:val="auto"/>
        </w:rPr>
        <w:t>In connection with this offering, we intend to adopt and ask our stockholders to approve the initial terms of our non-employee director compensation program. The material terms of the non-employee director compensation program, as it is currently contemplated, are summarized below.</w:t>
      </w:r>
    </w:p>
    <w:p>
      <w:pPr>
        <w:spacing w:after="0" w:line="141"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The non-employee director compensation program will provide for annual retainer fees and/or long-term equity awards for our non-employee directors. We expect each non-employee director will receive an annual retainer of $        , with the non-employee director serving as chair of the board or lead independent director receiving an additional annual retainer of $        . The non-employee directors serving as the chairs of the audit, compensation and nominating and corporate governance committees will receive additional annual retainers of $        , $        and $        , respectively. Non-employee directors serving as members of the audit, compensation and nominating and corporate governance committees will receive</w:t>
      </w:r>
    </w:p>
    <w:p>
      <w:pPr>
        <w:spacing w:after="0" w:line="1" w:lineRule="exact"/>
        <w:rPr>
          <w:sz w:val="20"/>
          <w:szCs w:val="20"/>
          <w:color w:val="auto"/>
        </w:rPr>
      </w:pPr>
    </w:p>
    <w:p>
      <w:pPr>
        <w:jc w:val="both"/>
        <w:ind w:left="220"/>
        <w:spacing w:after="0" w:line="245" w:lineRule="auto"/>
        <w:rPr>
          <w:sz w:val="20"/>
          <w:szCs w:val="20"/>
          <w:color w:val="auto"/>
        </w:rPr>
      </w:pPr>
      <w:r>
        <w:rPr>
          <w:rFonts w:ascii="Times New Roman" w:cs="Times New Roman" w:eastAsia="Times New Roman" w:hAnsi="Times New Roman"/>
          <w:sz w:val="18"/>
          <w:szCs w:val="18"/>
          <w:color w:val="auto"/>
        </w:rPr>
        <w:t>additional annual retainers of $        , $        and $        respectively. Non-employee directors commencing service following this offering will also receive initial grants of options to purchase        shares of our common stock, vesting over three years, upon election or appointment to the</w:t>
      </w:r>
    </w:p>
    <w:p>
      <w:pPr>
        <w:spacing w:after="0" w:line="1" w:lineRule="exact"/>
        <w:rPr>
          <w:sz w:val="20"/>
          <w:szCs w:val="20"/>
          <w:color w:val="auto"/>
        </w:rPr>
      </w:pPr>
    </w:p>
    <w:p>
      <w:pPr>
        <w:jc w:val="both"/>
        <w:ind w:left="220"/>
        <w:spacing w:after="0" w:line="247" w:lineRule="auto"/>
        <w:rPr>
          <w:sz w:val="20"/>
          <w:szCs w:val="20"/>
          <w:color w:val="auto"/>
        </w:rPr>
      </w:pPr>
      <w:r>
        <w:rPr>
          <w:rFonts w:ascii="Times New Roman" w:cs="Times New Roman" w:eastAsia="Times New Roman" w:hAnsi="Times New Roman"/>
          <w:sz w:val="18"/>
          <w:szCs w:val="18"/>
          <w:color w:val="auto"/>
        </w:rPr>
        <w:t>board of directors. Each year on the date of each annual meeting, each non-employee director will receive an annual grant of options to purchase        shares of our common stock, vesting in substantially equal monthly installments over the 12 months following the date of grant (or, in the event the next annual meeting of our stockholders occurs prior to the first anniversary of the date of grant, any remaining unvested portion of the annual award will vest on the date of such annual meeting of our stockholders). Awards to our non-employee directors will also vest in the event of a change in control.</w:t>
      </w:r>
    </w:p>
    <w:p>
      <w:pPr>
        <w:spacing w:after="0" w:line="188"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Compensation under our non-employee director compensation program will be subject to the annual limits on non-employee director compensation set forth in the 2024 Plan, as described above. Our board of directors or its authorized committee may modify the non-employee director compensation program from time to time in the exercise of its business judgment, taking into account such factors, circumstances and considerations as it shall deem relevant from time to time, subject to the annual limit on non-employee director compensation set forth in the 2024 Plan (which limits will not apply to any non-employee director that serves in any additional capacity with the company for which he or she receives compensation or any compensation paid to any non-employee director prior to the calendar year following the calendar year in which this offering occurs). As provided in the 2024 Plan, our board of directors or its authorized committee may make exceptions to this limit for individual non-employee directors in extraordinary circumstances, as the board of directors or its authorized committee may determine in its discretion, provided that the non-employee director receiving such additional compensation may not participate in the decision to award such compensation or in other compensation decisions involving non-employee directors.</w:t>
      </w:r>
    </w:p>
    <w:p>
      <w:pPr>
        <w:spacing w:after="0" w:line="2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w:t>
      </w:r>
    </w:p>
    <w:p>
      <w:pPr>
        <w:spacing w:after="0" w:line="85" w:lineRule="exact"/>
        <w:rPr>
          <w:sz w:val="20"/>
          <w:szCs w:val="20"/>
          <w:color w:val="auto"/>
        </w:rPr>
      </w:pPr>
    </w:p>
    <w:p>
      <w:pPr>
        <w:ind w:left="1180" w:hanging="538"/>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24" w:lineRule="exact"/>
        <w:rPr>
          <w:rFonts w:ascii="Times New Roman" w:cs="Times New Roman" w:eastAsia="Times New Roman" w:hAnsi="Times New Roman"/>
          <w:sz w:val="18"/>
          <w:szCs w:val="18"/>
          <w:color w:val="auto"/>
        </w:rPr>
      </w:pPr>
    </w:p>
    <w:p>
      <w:pPr>
        <w:ind w:left="5500" w:right="2500" w:hanging="4858"/>
        <w:spacing w:after="0" w:line="443" w:lineRule="auto"/>
        <w:tabs>
          <w:tab w:leader="none" w:pos="118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 153</w:t>
      </w:r>
    </w:p>
    <w:p>
      <w:pPr>
        <w:sectPr>
          <w:pgSz w:w="11900" w:h="16838" w:orient="portrait"/>
          <w:cols w:equalWidth="0" w:num="1">
            <w:col w:w="11020"/>
          </w:cols>
          <w:pgMar w:left="320" w:top="451" w:right="5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1180" w:hanging="538"/>
        <w:spacing w:after="0"/>
        <w:tabs>
          <w:tab w:leader="none" w:pos="1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or</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7"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w:t>
      </w:r>
    </w:p>
    <w:p>
      <w:pPr>
        <w:spacing w:after="0" w:line="180"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w:t>
      </w:r>
    </w:p>
    <w:p>
      <w:pPr>
        <w:spacing w:after="0" w:line="180"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18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w:t>
      </w:r>
    </w:p>
    <w:p>
      <w:pPr>
        <w:spacing w:after="0" w:line="178"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20"/>
          </w:cols>
          <w:pgMar w:left="320" w:top="451" w:right="5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19"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2020 to which we have been a party in which the amount involved exceeded or will exceed the lesser of $120,000 and one percent of the average of our total assets as of December 31, 2021 and 2022,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in the section titled “Executive and Director Compensation.” We also describe below certain other transactions with our directors, executive officers and stockholders.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 Financings</w:t>
      </w:r>
    </w:p>
    <w:p>
      <w:pPr>
        <w:spacing w:after="0" w:line="111" w:lineRule="exact"/>
        <w:rPr>
          <w:sz w:val="20"/>
          <w:szCs w:val="20"/>
          <w:color w:val="auto"/>
        </w:rPr>
      </w:pPr>
    </w:p>
    <w:p>
      <w:pPr>
        <w:jc w:val="both"/>
        <w:ind w:left="22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Series D Redeemable Convertible Preferred Stock Financing. </w:t>
      </w:r>
      <w:r>
        <w:rPr>
          <w:rFonts w:ascii="Times New Roman" w:cs="Times New Roman" w:eastAsia="Times New Roman" w:hAnsi="Times New Roman"/>
          <w:sz w:val="18"/>
          <w:szCs w:val="18"/>
          <w:color w:val="auto"/>
        </w:rPr>
        <w:t>In March 2020 we entered into a Series D redeemable convertible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as amended in June 2020, pursuant to which in closings between April 2020 and October 2020 we sold to investors, in private placements, an aggregate of 53,271,754 shares of Series D redeemable convertible preferred stock. The per share purchase price was $0.8879, and we received gross proceeds of approximately $47 million.</w:t>
      </w:r>
    </w:p>
    <w:p>
      <w:pPr>
        <w:spacing w:after="0" w:line="177" w:lineRule="exact"/>
        <w:rPr>
          <w:sz w:val="20"/>
          <w:szCs w:val="20"/>
          <w:color w:val="auto"/>
        </w:rPr>
      </w:pPr>
    </w:p>
    <w:p>
      <w:pPr>
        <w:jc w:val="both"/>
        <w:ind w:left="220" w:right="2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Series E Redeemable Convertible Preferred Stock Financing. </w:t>
      </w:r>
      <w:r>
        <w:rPr>
          <w:rFonts w:ascii="Times New Roman" w:cs="Times New Roman" w:eastAsia="Times New Roman" w:hAnsi="Times New Roman"/>
          <w:sz w:val="18"/>
          <w:szCs w:val="18"/>
          <w:color w:val="auto"/>
        </w:rPr>
        <w:t>In September 2022, we entered into a Series E redeemable convertible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purchase agreement, pursuant to which in closings in September 2022 and October 2022 we sold to investors, in private placements, an aggregate of 112,422,700 shares of Series E redeemable convertible preferred stock. The per share purchase price was $1.0674, and we received gross proceeds of approximately $120 million.</w:t>
      </w:r>
    </w:p>
    <w:p>
      <w:pPr>
        <w:spacing w:after="0" w:line="177" w:lineRule="exact"/>
        <w:rPr>
          <w:sz w:val="20"/>
          <w:szCs w:val="20"/>
          <w:color w:val="auto"/>
        </w:rPr>
      </w:pPr>
    </w:p>
    <w:p>
      <w:pPr>
        <w:jc w:val="both"/>
        <w:ind w:left="220" w:right="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Series F Redeemable Convertible Preferred Stock Financing. </w:t>
      </w:r>
      <w:r>
        <w:rPr>
          <w:rFonts w:ascii="Times New Roman" w:cs="Times New Roman" w:eastAsia="Times New Roman" w:hAnsi="Times New Roman"/>
          <w:sz w:val="18"/>
          <w:szCs w:val="18"/>
          <w:color w:val="auto"/>
        </w:rPr>
        <w:t>In July 2023, we entered into a Series F redeemable convertible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pursuant to which in July 2023 we sold to investors, in private placements, an aggregate of 81,587,937 shares of Series F redeemable convertible preferred stock. The per share purchase price was $1.2872, and we received gross proceeds of approximately $105 million.</w:t>
      </w:r>
    </w:p>
    <w:p>
      <w:pPr>
        <w:spacing w:after="0" w:line="175"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following table sets forth the aggregate number of shares acquired by the listed directors, executive officers or holders of more than 5% of our capital stock, or their affiliates. Each outstanding share of redeemable convertible preferred stock identified in the table below will convert into shares of common stock at a ratio of one-for-one immediately prior to the closing of this offering.</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Series F</w:t>
            </w:r>
          </w:p>
        </w:tc>
        <w:tc>
          <w:tcPr>
            <w:tcW w:w="0" w:type="dxa"/>
            <w:vAlign w:val="bottom"/>
          </w:tcPr>
          <w:p>
            <w:pPr>
              <w:spacing w:after="0"/>
              <w:rPr>
                <w:sz w:val="1"/>
                <w:szCs w:val="1"/>
                <w:color w:val="auto"/>
              </w:rPr>
            </w:pPr>
          </w:p>
        </w:tc>
      </w:tr>
      <w:tr>
        <w:trPr>
          <w:trHeight w:val="146"/>
        </w:trPr>
        <w:tc>
          <w:tcPr>
            <w:tcW w:w="7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1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1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12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6"/>
        </w:trPr>
        <w:tc>
          <w:tcPr>
            <w:tcW w:w="7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1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1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12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46"/>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Participants</w:t>
            </w:r>
          </w:p>
        </w:tc>
        <w:tc>
          <w:tcPr>
            <w:tcW w:w="6600" w:type="dxa"/>
            <w:vAlign w:val="bottom"/>
            <w:vMerge w:val="restart"/>
          </w:tcPr>
          <w:p>
            <w:pPr>
              <w:spacing w:after="0"/>
              <w:rPr>
                <w:sz w:val="12"/>
                <w:szCs w:val="12"/>
                <w:color w:val="auto"/>
              </w:rPr>
            </w:pPr>
          </w:p>
        </w:tc>
        <w:tc>
          <w:tcPr>
            <w:tcW w:w="11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2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0" w:type="dxa"/>
            <w:vAlign w:val="bottom"/>
          </w:tcPr>
          <w:p>
            <w:pPr>
              <w:spacing w:after="0"/>
              <w:rPr>
                <w:sz w:val="1"/>
                <w:szCs w:val="1"/>
                <w:color w:val="auto"/>
              </w:rPr>
            </w:pPr>
          </w:p>
        </w:tc>
      </w:tr>
      <w:tr>
        <w:trPr>
          <w:trHeight w:val="177"/>
        </w:trPr>
        <w:tc>
          <w:tcPr>
            <w:tcW w:w="740" w:type="dxa"/>
            <w:vAlign w:val="bottom"/>
            <w:tcBorders>
              <w:bottom w:val="single" w:sz="8" w:color="auto"/>
            </w:tcBorders>
            <w:vMerge w:val="continue"/>
          </w:tcPr>
          <w:p>
            <w:pPr>
              <w:spacing w:after="0"/>
              <w:rPr>
                <w:sz w:val="15"/>
                <w:szCs w:val="15"/>
                <w:color w:val="auto"/>
              </w:rPr>
            </w:pPr>
          </w:p>
        </w:tc>
        <w:tc>
          <w:tcPr>
            <w:tcW w:w="6600" w:type="dxa"/>
            <w:vAlign w:val="bottom"/>
            <w:vMerge w:val="continue"/>
          </w:tcPr>
          <w:p>
            <w:pPr>
              <w:spacing w:after="0"/>
              <w:rPr>
                <w:sz w:val="15"/>
                <w:szCs w:val="15"/>
                <w:color w:val="auto"/>
              </w:rPr>
            </w:pPr>
          </w:p>
        </w:tc>
        <w:tc>
          <w:tcPr>
            <w:tcW w:w="116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118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112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85"/>
        </w:trPr>
        <w:tc>
          <w:tcPr>
            <w:tcW w:w="7340" w:type="dxa"/>
            <w:vAlign w:val="bottom"/>
            <w:tcBorders>
              <w:top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5"/>
                <w:szCs w:val="15"/>
                <w:b w:val="1"/>
                <w:bCs w:val="1"/>
                <w:color w:val="auto"/>
              </w:rPr>
              <w:t>5% or greater stockholders</w:t>
            </w:r>
            <w:r>
              <w:rPr>
                <w:rFonts w:ascii="Times New Roman" w:cs="Times New Roman" w:eastAsia="Times New Roman" w:hAnsi="Times New Roman"/>
                <w:sz w:val="21"/>
                <w:szCs w:val="21"/>
                <w:b w:val="1"/>
                <w:bCs w:val="1"/>
                <w:color w:val="auto"/>
                <w:vertAlign w:val="superscript"/>
              </w:rPr>
              <w:t>(1)</w:t>
            </w: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line="212" w:lineRule="exact"/>
              <w:rPr>
                <w:sz w:val="20"/>
                <w:szCs w:val="20"/>
                <w:color w:val="auto"/>
              </w:rPr>
            </w:pPr>
            <w:r>
              <w:rPr>
                <w:rFonts w:ascii="Times New Roman" w:cs="Times New Roman" w:eastAsia="Times New Roman" w:hAnsi="Times New Roman"/>
                <w:sz w:val="16"/>
                <w:szCs w:val="16"/>
                <w:color w:val="auto"/>
              </w:rPr>
              <w:t>Entities affiliated with ORI Capital</w:t>
            </w:r>
            <w:r>
              <w:rPr>
                <w:rFonts w:ascii="Times New Roman" w:cs="Times New Roman" w:eastAsia="Times New Roman" w:hAnsi="Times New Roman"/>
                <w:sz w:val="24"/>
                <w:szCs w:val="24"/>
                <w:color w:val="auto"/>
                <w:vertAlign w:val="superscript"/>
              </w:rPr>
              <w:t>(2)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3,378,758</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37,474,236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34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Decheng Capital Global Life Sciences Fund IV, L.P.</w:t>
            </w:r>
            <w:r>
              <w:rPr>
                <w:rFonts w:ascii="Times New Roman" w:cs="Times New Roman" w:eastAsia="Times New Roman" w:hAnsi="Times New Roman"/>
                <w:sz w:val="24"/>
                <w:szCs w:val="24"/>
                <w:color w:val="auto"/>
                <w:vertAlign w:val="superscript"/>
              </w:rPr>
              <w:t>(3)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21,547,685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4,402,320</w:t>
            </w: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line="212" w:lineRule="exact"/>
              <w:rPr>
                <w:sz w:val="20"/>
                <w:szCs w:val="20"/>
                <w:color w:val="auto"/>
              </w:rPr>
            </w:pPr>
            <w:r>
              <w:rPr>
                <w:rFonts w:ascii="Times New Roman" w:cs="Times New Roman" w:eastAsia="Times New Roman" w:hAnsi="Times New Roman"/>
                <w:sz w:val="16"/>
                <w:szCs w:val="16"/>
                <w:color w:val="auto"/>
              </w:rPr>
              <w:t>Entities affiliated with Foresite Capital</w:t>
            </w:r>
            <w:r>
              <w:rPr>
                <w:rFonts w:ascii="Times New Roman" w:cs="Times New Roman" w:eastAsia="Times New Roman" w:hAnsi="Times New Roman"/>
                <w:sz w:val="24"/>
                <w:szCs w:val="24"/>
                <w:color w:val="auto"/>
                <w:vertAlign w:val="superscript"/>
              </w:rPr>
              <w:t>(4)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23,306,401</w:t>
            </w:r>
          </w:p>
        </w:tc>
        <w:tc>
          <w:tcPr>
            <w:tcW w:w="0" w:type="dxa"/>
            <w:vAlign w:val="bottom"/>
          </w:tcPr>
          <w:p>
            <w:pPr>
              <w:spacing w:after="0"/>
              <w:rPr>
                <w:sz w:val="1"/>
                <w:szCs w:val="1"/>
                <w:color w:val="auto"/>
              </w:rPr>
            </w:pPr>
          </w:p>
        </w:tc>
      </w:tr>
      <w:tr>
        <w:trPr>
          <w:trHeight w:val="21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Kissei Pharmaceutical Co., Ltd.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33,787,589</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line="212" w:lineRule="exact"/>
              <w:rPr>
                <w:sz w:val="20"/>
                <w:szCs w:val="20"/>
                <w:color w:val="auto"/>
              </w:rPr>
            </w:pPr>
            <w:r>
              <w:rPr>
                <w:rFonts w:ascii="Times New Roman" w:cs="Times New Roman" w:eastAsia="Times New Roman" w:hAnsi="Times New Roman"/>
                <w:sz w:val="16"/>
                <w:szCs w:val="16"/>
                <w:color w:val="auto"/>
              </w:rPr>
              <w:t>Entities affiliated with Longitude Venture Partners</w:t>
            </w:r>
            <w:r>
              <w:rPr>
                <w:rFonts w:ascii="Times New Roman" w:cs="Times New Roman" w:eastAsia="Times New Roman" w:hAnsi="Times New Roman"/>
                <w:sz w:val="24"/>
                <w:szCs w:val="24"/>
                <w:color w:val="auto"/>
                <w:vertAlign w:val="superscript"/>
              </w:rPr>
              <w:t>(5)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21,547,685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4,402,320</w:t>
            </w:r>
          </w:p>
        </w:tc>
        <w:tc>
          <w:tcPr>
            <w:tcW w:w="0" w:type="dxa"/>
            <w:vAlign w:val="bottom"/>
          </w:tcPr>
          <w:p>
            <w:pPr>
              <w:spacing w:after="0"/>
              <w:rPr>
                <w:sz w:val="1"/>
                <w:szCs w:val="1"/>
                <w:color w:val="auto"/>
              </w:rPr>
            </w:pPr>
          </w:p>
        </w:tc>
      </w:tr>
      <w:tr>
        <w:trPr>
          <w:trHeight w:val="21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TCG Crossover Fund I, L.P.</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23,306,401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92710</wp:posOffset>
            </wp:positionV>
            <wp:extent cx="7569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56" w:lineRule="exact"/>
        <w:rPr>
          <w:sz w:val="20"/>
          <w:szCs w:val="20"/>
          <w:color w:val="auto"/>
        </w:rPr>
      </w:pPr>
    </w:p>
    <w:p>
      <w:pPr>
        <w:ind w:left="640" w:hanging="422"/>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provided in the section titled “Principal Stockholders.”</w:t>
      </w:r>
    </w:p>
    <w:p>
      <w:pPr>
        <w:ind w:left="640" w:right="20" w:hanging="422"/>
        <w:spacing w:after="0" w:line="217"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securities acquired by Abundant Supply Global Limited and Charming Jade Limited. Simone Song is a Founder and Senior Partner at ORI Capital and a member of our board of directors.</w:t>
      </w:r>
    </w:p>
    <w:p>
      <w:pPr>
        <w:ind w:left="640" w:hanging="422"/>
        <w:spacing w:after="0" w:line="217"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Victor Tong, Jr. is a Managing Director at Decheng and a member of our board of directors.</w:t>
      </w:r>
    </w:p>
    <w:p>
      <w:pPr>
        <w:ind w:left="640" w:hanging="422"/>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securities acquired by Foresite Capital Fund V, L.P., Foresite Capital Fund VI, L.P. and Foresite Capital Opportunity Fund V, L.P.</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40"/>
          </w:cols>
          <w:pgMar w:left="320" w:top="451" w:right="5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ind w:left="640" w:right="20" w:hanging="422"/>
        <w:spacing w:after="0" w:line="251"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securities acquired by Longitude Prime Fund, L.P. and Longitude Venture Partners IV, L.P. Brian Liu, M.D. is a Managing Director at Longitude Capital Management and a member of our board of directors.</w:t>
      </w:r>
    </w:p>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Secondary Stock Sales</w:t>
      </w:r>
    </w:p>
    <w:p>
      <w:pPr>
        <w:spacing w:after="0" w:line="113"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In October 2023, Abundant Supply Global Limited, an entity affiliated with ORI Capital, a greater than 5% stockholder of our company, entered into stock transfer agreements with certain other holders of our capital stock pursuant to which Abundant Supply Global Limited sold an aggregate of 27,190,800 shares of Series C redeemable convertible preferred stock at a purchase price of $1.2872 per share for an aggregate purchase price of $34,999,997.84 (the ASGL Secondary Sales). In connection with these transactions, Abundant Supply Global Limited sold 3,107,520 shares of Series C redeemable convertible preferred stock to Decheng Capital Global Life Sciences Fund IV, L.P., a greater than 5% stockholder of our company (Decheng Capital Global), 3,107,520 shares of Series C redeemable convertible preferred stock to TCG Crossover Fund I, L.P., 3,107,520 shares of Series C redeemable convertible preferred stock to Longitude Prime Fund, L.P., an entity affiliated with Longitude Venture Partners, a greater than 5% stockholder of our company, (Longitude Prime), an affiliate of Longitude Venture Partners, and an aggregate of 3,107,520 shares of Series C redeemable convertible preferred stock to entities affiliated with Foresite Capital. In connection with the ASGL Secondary Sales, we entered into a stock transfer agreement with Abundant Supply Global Limited and each purchaser.</w:t>
      </w:r>
    </w:p>
    <w:p>
      <w:pPr>
        <w:spacing w:after="0" w:line="193"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In August 2023, Longitude Prime entered into a stock transfer agreement with an entity affiliated with a holder of our capital stock pursuant to which Longitude Prime sold 1,756,323 shares of Series C redeemable convertible preferred stock at a purchase price of $0.9073 per share for an aggregate purchase price of $1,593,511.86 (the August 2023 Longitude Secondary Transaction). In July 2023, Longitude Prime entered into a stock transfer agreement with Lepu Holdings Limited pursuant to which Longitude Prime purchased 3,512,646 shares of Series C redeemable convertible preferred stock from Lepu Holdings Limited at a purchase price of $0.9073 per share for an aggregate purchase price of $3,187,023.72 (the July 2023 Longitude Secondary Transaction). Jue Pu, our then-director, was an affiliate of Lepu Holdings Limited at the time of the July 2023 Longitude Secondary Transaction. In connection with the August 2023 Longitude Secondary Transaction and the July 2023 Longitude Secondary Transaction, we entered into stock transfer agreements with Longitude Prime and each counterparty. In May 2023, Longitude Venture Partners IV, L.P, an entity affiliated with Longitude Venture Partners, entered into a common stock transfer agreement with various holders of capital stock pursuant to which Longitude Venture Partners IV, L.P. purchased 8,873,500 shares of common stock at a purchase price of $0.80055 per share for an aggregate purchase price of $7,103,680.43 (the May 2023 Longitude Secondary Transaction). In connection with the May 2023 Longitude Secondary Transaction, we entered into a common stock transfer agreement with Longitude Venture Partners IV, L.P. and each seller pursuant to which, among other things, we waived our right of first refusal to purchase the shares of common stock sold in the transaction.</w:t>
      </w:r>
    </w:p>
    <w:p>
      <w:pPr>
        <w:spacing w:after="0" w:line="188" w:lineRule="exact"/>
        <w:rPr>
          <w:sz w:val="20"/>
          <w:szCs w:val="20"/>
          <w:color w:val="auto"/>
        </w:rPr>
      </w:pPr>
    </w:p>
    <w:p>
      <w:pPr>
        <w:jc w:val="both"/>
        <w:ind w:left="220" w:right="20" w:firstLine="432"/>
        <w:spacing w:after="0" w:line="264" w:lineRule="auto"/>
        <w:rPr>
          <w:sz w:val="20"/>
          <w:szCs w:val="20"/>
          <w:color w:val="auto"/>
        </w:rPr>
      </w:pPr>
      <w:r>
        <w:rPr>
          <w:rFonts w:ascii="Times New Roman" w:cs="Times New Roman" w:eastAsia="Times New Roman" w:hAnsi="Times New Roman"/>
          <w:sz w:val="17"/>
          <w:szCs w:val="17"/>
          <w:color w:val="auto"/>
        </w:rPr>
        <w:t>In July 2023, Decheng Capital Global entered into a stock transfer agreement with Lepu Holdings Limited pursuant to which Decheng Capital Global purchased 3,512,646 shares of Series C redeemable convertible preferred stock from Lepu Holdings Limited at a purchase price of $0.9073 per share for an aggregate purchase price of $3,187,023.72 (the July 2023 Decheng Secondary Transaction). Jue Pu, our then-director, was an affiliate of Lepu Holdings Limited at the time of the July 2023 Decheng Secondary Transaction. In June 2023, Decheng Capital Global entered into a stock transfer agreement with a holder of our capital stock pursuant to which Decheng Capital Global purchased 2,024,725 shares of Series C redeemable convertible preferred stock at a purchase price of $0.91 per share for an aggregate purchase price of $1,842,499.75 (the June 2023 Decheng Secondary Transaction). In connection with the July 2023 Decheng Secondary Transaction and the June 2023 Decheng Secondary Transaction, we entered into stock transfer agreements with Decheng Capital Global and each seller. In May 2023, Decheng Capital Global entered into common stock transfer agreements with various holders of capital stock pursuant to which Decheng Capital Global purchased 8,873,500 shares of common stock at a purchase price of $0.80055 per share for an aggregate purchase price of $7,103,680.44 (the May 2023 Decheng Secondary Transaction). In connection with the May 2023 Decheng Secondary Transaction, we entered into a common stock transfer agreement with Decheng Capital Global and each seller pursuant to which, among other things, we waived our right of first refusal to purchase the shares of common stock sold in the transaction.</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40"/>
          </w:cols>
          <w:pgMar w:left="320" w:top="451" w:right="5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3"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On March 11, 2019, we entered into the Development and License Agreement with Lepu. Jue Pu, a former member of our board of directors, is an affiliate of Lepu. On March 26, 2020, and as amended September 15, 2022, we entered into the License and Collaboration Agreement with Kissei. Osamu Nakanishi, a former member of our board of directors, is an affiliate of Kissei. Please see the section titled “Business—Collaboration and License Agreements” for a description of each of these agreements.</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13"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We entered into an investors’ rights agreement in July 2014, as last amended and restated in July 2023 (the Investors’ Rights Agreement), with the holders of our redeemable convertible preferred stock and certain holders of our common stock, including the holders of more than 5% of our capital stock listed above as well as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will terminate upon closing of this offering. The registration rights will continue following this offering and will terminate five years after the closing of this offering or earlier for certain holders. See the section titled “Description of Capital Stock—Registration Rights” for more information regarding these registration rights.</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13"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We entered into a voting agreement in July 2014, as last amended and restated in July 2023 (the Voting Agreement), with the holders of our redeemable convertible preferred stock and certain holders of our common stock, including the holders of more than 5% of our capital stock listed above as well as entities with which certain of our directors are affiliated, pursuant to which the following directors were each elected to serve as members on our board of directors and, as of the date of this prospectus, continue to so serve: Brian Liu, M.D., Simone Song, James J. Mulé, IPh.D., Arthur Kuan, Leonard Post, Ph.D. and Victor Tong, Jr. Pursuant to the Voting Agreement, Mr. Kuan, as our Chief Executive Officer, serves on our board of directors as the CEO director. Mr. Tong was selected to serve on our board of directors as representative of the holders of our common stock and holders of our redeemable convertible preferred stock, voting together as a single class on an as-converted basis, Dr. Post was selected to serve on our board of directors as representative of the holders of our common stock, Mr. Kuan was selected to serve on our board of directors as representative of the holders of our Series A-1 redeemable convertible preferred stock, Dr. Mulé was selected to serve on our board of directors as representative of the holders of our Series B redeemable convertible preferred stock, Ms. Song was selected to serve on our board of directors as representative of the holders of our Series C redeemable convertible preferred stock, and Dr. Liu was selected to serve on our board of directors as a representative of the holders of our Series E redeemable convertible preferred stock.</w:t>
      </w:r>
    </w:p>
    <w:p>
      <w:pPr>
        <w:spacing w:after="0" w:line="189"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 Voting Agreement will terminate upon the closing of this offering, and members previously elected to our board of directors pursuant to this agreement will continue to serve as directors until they resign, are removed or their successors are duly elected by holders of our common stock. The composition of our board of directors after this offering is described in more detail in the section titled “Management—Board Composition and Election of Directors.”</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Right of Refusal and Co-Sale Agreement</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We entered into a right of first refusal and co-sale agreement in July 2014, as last amended and restated in July 2023 (the ROFR Agreement), with holders of our common stock affiliated with our executive officers, which entities are referred to in the ROFR Agreement as key holders, and certain other holders of redeemable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20"/>
          </w:cols>
          <w:pgMar w:left="320" w:top="451" w:right="5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5" w:lineRule="auto"/>
        <w:rPr>
          <w:sz w:val="20"/>
          <w:szCs w:val="20"/>
          <w:color w:val="auto"/>
        </w:rPr>
      </w:pPr>
      <w:r>
        <w:rPr>
          <w:rFonts w:ascii="Times New Roman" w:cs="Times New Roman" w:eastAsia="Times New Roman" w:hAnsi="Times New Roman"/>
          <w:sz w:val="18"/>
          <w:szCs w:val="18"/>
          <w:color w:val="auto"/>
        </w:rPr>
        <w:t>convertible preferred stock, including the holders of more than 5% of our capital stock listed above. Pursuant to the ROFR Agreement, we have a right of first refusal on certain transfers of our shares by the key holders, holders of our redeemable convertible preferred stock have a secondary right of first refusal on such transfers, and such redeemable convertible preferred stockholders have a right of co-sale in respect of such transfers. The ROFR Agreement will terminate upon the closing of this offering.</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Consulting Agreement with Danforth Advisors</w:t>
      </w:r>
    </w:p>
    <w:p>
      <w:pPr>
        <w:spacing w:after="0" w:line="113"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On March 16, 2021, we entered into a consulting agreement with Danforth Advisors, LLC (Danforth) to provide us with resources to assist with our day-to-day finance and accounting functions. Services provided under the agreement with Danforth are billed at hourly rates. Mr. DiPalma, a managing director at Danforth, currently serves as our Chief Financial Officer and is compensated through his position at Danforth. The agreement does not have a specified term and can be terminated without cause upon 30 days’ notice by either party. During the years ended December 31, 2021 and 2022 and during the nine-month period ended September 30, 2023, we made payments to Danforth for such services of $57,875, $38,392 and $        , respectively.</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Consulting Agreement with Lion Healthcare Strategies</w:t>
      </w:r>
    </w:p>
    <w:p>
      <w:pPr>
        <w:spacing w:after="0" w:line="113"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On April 15, 2021, we entered into a consulting agreement with Lion Healthcare Strategies to provide us with corporate and strategic consulting services. Services provided under the agreement with Lion Healthcare Strategies are billed at daily or hourly rates. Mr. Bellete is the sole owner of Lion Healthcare Strategies, served as Chief Executive Officer of Lion Healthcare Strategies, from April 2021 to August 2023, and has served as our President and Chief Operating Officer since July 2023. The agreement was terminated when Mr. Bellete joined our company. During the years ended December 31, 2021 and 2022 and during the nine-month period ended September 30, 2023, we made payments to Lion Healthcare Strategies for such services of $204,000, $433,269 and $        , respectively.</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w:t>
      </w:r>
    </w:p>
    <w:p>
      <w:pPr>
        <w:spacing w:after="0" w:line="11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85"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amended and restated bylaws provide that we will indemnify each of our directors and officers to the fullest extent permitted by the Delaware General Corporation Law. Further, we have purchased a policy of directors’ and officers’ liability insurance that insures our directors and officers against the cost of defense, settlement or payment of a judgment under certain circumstances. For further information, see the section titled “Executive and Director Compensation—Limitations of Liability and Indemnification Matters.”</w:t>
      </w: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13"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will adopt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fiscal</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40"/>
          </w:cols>
          <w:pgMar w:left="320" w:top="451" w:right="5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71" w:lineRule="auto"/>
        <w:rPr>
          <w:sz w:val="20"/>
          <w:szCs w:val="20"/>
          <w:color w:val="auto"/>
        </w:rPr>
      </w:pPr>
      <w:r>
        <w:rPr>
          <w:rFonts w:ascii="Times New Roman" w:cs="Times New Roman" w:eastAsia="Times New Roman" w:hAnsi="Times New Roman"/>
          <w:sz w:val="17"/>
          <w:szCs w:val="17"/>
          <w:color w:val="auto"/>
        </w:rPr>
        <w:t>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will be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20"/>
          </w:cols>
          <w:pgMar w:left="320" w:top="451" w:right="5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13" w:lineRule="exact"/>
        <w:rPr>
          <w:sz w:val="20"/>
          <w:szCs w:val="20"/>
          <w:color w:val="auto"/>
        </w:rPr>
      </w:pPr>
    </w:p>
    <w:p>
      <w:pPr>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October 24, 2023, and as adjusted to reflect the sale of shares of common stock in this offering, by:</w:t>
      </w:r>
    </w:p>
    <w:p>
      <w:pPr>
        <w:spacing w:after="0" w:line="71" w:lineRule="exact"/>
        <w:rPr>
          <w:sz w:val="20"/>
          <w:szCs w:val="20"/>
          <w:color w:val="auto"/>
        </w:rPr>
      </w:pPr>
    </w:p>
    <w:p>
      <w:pPr>
        <w:ind w:left="1180" w:hanging="538"/>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 and</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17"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414,611,809 shares of common stock outstanding on October 24, 2023, which gives effect to the automatic conversion of all outstanding shares of our redeemable convertible preferred stock into 366,277,131 shares of our common stock immediately prior to the closing of this offering. In computing the number of shares beneficially owned by a person and the percentage ownership of that person, shares of common stock subject to options or other rights held by such person that are currently exercisable or that will become exercisable or otherwise vest within 60 days of October 24, 2023 are considered outstanding, although these shares are not considered outstanding for purposes of computing the percentage ownership of any other person. The table below excludes any potential purchases in this offering by the beneficial owners identified in the table below.</w:t>
      </w:r>
    </w:p>
    <w:p>
      <w:pPr>
        <w:spacing w:after="0" w:line="190"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CG Oncology, Inc., 400 Spectrum Center Drive, Suite 2040, Irvine, CA 92618.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700" w:type="dxa"/>
            <w:vAlign w:val="bottom"/>
            <w:gridSpan w:val="4"/>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80"/>
        </w:trPr>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540" w:type="dxa"/>
            <w:vAlign w:val="bottom"/>
            <w:gridSpan w:val="2"/>
            <w:vMerge w:val="restart"/>
          </w:tcPr>
          <w:p>
            <w:pPr>
              <w:jc w:val="center"/>
              <w:ind w:right="7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660" w:type="dxa"/>
            <w:vAlign w:val="bottom"/>
            <w:gridSpan w:val="3"/>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540" w:type="dxa"/>
            <w:vAlign w:val="bottom"/>
            <w:gridSpan w:val="2"/>
            <w:vMerge w:val="restart"/>
          </w:tcPr>
          <w:p>
            <w:pPr>
              <w:jc w:val="center"/>
              <w:ind w:right="70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660" w:type="dxa"/>
            <w:vAlign w:val="bottom"/>
            <w:tcBorders>
              <w:bottom w:val="single" w:sz="8" w:color="auto"/>
            </w:tcBorders>
            <w:gridSpan w:val="3"/>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760" w:type="dxa"/>
            <w:vAlign w:val="bottom"/>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178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w w:val="97"/>
              </w:rPr>
              <w:t>Before Offering</w:t>
            </w: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After Offering</w:t>
            </w:r>
          </w:p>
        </w:tc>
        <w:tc>
          <w:tcPr>
            <w:tcW w:w="0" w:type="dxa"/>
            <w:vAlign w:val="bottom"/>
          </w:tcPr>
          <w:p>
            <w:pPr>
              <w:spacing w:after="0" w:line="20" w:lineRule="exact"/>
              <w:rPr>
                <w:sz w:val="1"/>
                <w:szCs w:val="1"/>
                <w:color w:val="auto"/>
              </w:rPr>
            </w:pPr>
          </w:p>
        </w:tc>
      </w:tr>
      <w:tr>
        <w:trPr>
          <w:trHeight w:val="157"/>
        </w:trPr>
        <w:tc>
          <w:tcPr>
            <w:tcW w:w="4800" w:type="dxa"/>
            <w:vAlign w:val="bottom"/>
            <w:gridSpan w:val="4"/>
            <w:vMerge w:val="continue"/>
          </w:tcPr>
          <w:p>
            <w:pPr>
              <w:spacing w:after="0"/>
              <w:rPr>
                <w:sz w:val="13"/>
                <w:szCs w:val="13"/>
                <w:color w:val="auto"/>
              </w:rPr>
            </w:pPr>
          </w:p>
        </w:tc>
        <w:tc>
          <w:tcPr>
            <w:tcW w:w="1760" w:type="dxa"/>
            <w:vAlign w:val="bottom"/>
          </w:tcPr>
          <w:p>
            <w:pPr>
              <w:spacing w:after="0"/>
              <w:rPr>
                <w:sz w:val="13"/>
                <w:szCs w:val="13"/>
                <w:color w:val="auto"/>
              </w:rPr>
            </w:pPr>
          </w:p>
        </w:tc>
        <w:tc>
          <w:tcPr>
            <w:tcW w:w="1540" w:type="dxa"/>
            <w:vAlign w:val="bottom"/>
            <w:gridSpan w:val="2"/>
          </w:tcPr>
          <w:p>
            <w:pPr>
              <w:jc w:val="center"/>
              <w:ind w:right="700"/>
              <w:spacing w:after="0" w:line="157" w:lineRule="exact"/>
              <w:rPr>
                <w:sz w:val="20"/>
                <w:szCs w:val="20"/>
                <w:color w:val="auto"/>
              </w:rPr>
            </w:pPr>
            <w:r>
              <w:rPr>
                <w:rFonts w:ascii="Times New Roman" w:cs="Times New Roman" w:eastAsia="Times New Roman" w:hAnsi="Times New Roman"/>
                <w:sz w:val="14"/>
                <w:szCs w:val="14"/>
                <w:b w:val="1"/>
                <w:bCs w:val="1"/>
                <w:color w:val="auto"/>
              </w:rPr>
              <w:t>Owned</w:t>
            </w:r>
          </w:p>
        </w:tc>
        <w:tc>
          <w:tcPr>
            <w:tcW w:w="178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800" w:type="dxa"/>
            <w:vAlign w:val="bottom"/>
            <w:gridSpan w:val="4"/>
            <w:shd w:val="clear" w:color="auto" w:fill="CCEEFF"/>
          </w:tcPr>
          <w:p>
            <w:pPr>
              <w:spacing w:after="0" w:line="185" w:lineRule="exact"/>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gridSpan w:val="4"/>
          </w:tcPr>
          <w:p>
            <w:pPr>
              <w:spacing w:after="0" w:line="212" w:lineRule="exact"/>
              <w:rPr>
                <w:sz w:val="20"/>
                <w:szCs w:val="20"/>
                <w:color w:val="auto"/>
              </w:rPr>
            </w:pPr>
            <w:r>
              <w:rPr>
                <w:rFonts w:ascii="Times New Roman" w:cs="Times New Roman" w:eastAsia="Times New Roman" w:hAnsi="Times New Roman"/>
                <w:sz w:val="16"/>
                <w:szCs w:val="16"/>
                <w:color w:val="auto"/>
              </w:rPr>
              <w:t>Entities affiliated with ORI Capital</w:t>
            </w:r>
            <w:r>
              <w:rPr>
                <w:rFonts w:ascii="Times New Roman" w:cs="Times New Roman" w:eastAsia="Times New Roman" w:hAnsi="Times New Roman"/>
                <w:sz w:val="24"/>
                <w:szCs w:val="24"/>
                <w:color w:val="auto"/>
                <w:vertAlign w:val="superscript"/>
              </w:rPr>
              <w:t>(1)</w:t>
            </w:r>
          </w:p>
        </w:tc>
        <w:tc>
          <w:tcPr>
            <w:tcW w:w="33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47,115,961</w:t>
            </w: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Decheng Capital Global Life Sciences Fund IV, L.P.</w:t>
            </w:r>
            <w:r>
              <w:rPr>
                <w:rFonts w:ascii="Times New Roman" w:cs="Times New Roman" w:eastAsia="Times New Roman" w:hAnsi="Times New Roman"/>
                <w:sz w:val="24"/>
                <w:szCs w:val="24"/>
                <w:color w:val="auto"/>
                <w:vertAlign w:val="superscript"/>
              </w:rPr>
              <w:t>(2)</w:t>
            </w:r>
          </w:p>
        </w:tc>
        <w:tc>
          <w:tcPr>
            <w:tcW w:w="33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43,468,396</w:t>
            </w:r>
          </w:p>
        </w:tc>
        <w:tc>
          <w:tcPr>
            <w:tcW w:w="17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tcPr>
          <w:p>
            <w:pPr>
              <w:spacing w:after="0" w:line="212" w:lineRule="exact"/>
              <w:rPr>
                <w:sz w:val="20"/>
                <w:szCs w:val="20"/>
                <w:color w:val="auto"/>
              </w:rPr>
            </w:pPr>
            <w:r>
              <w:rPr>
                <w:rFonts w:ascii="Times New Roman" w:cs="Times New Roman" w:eastAsia="Times New Roman" w:hAnsi="Times New Roman"/>
                <w:sz w:val="16"/>
                <w:szCs w:val="16"/>
                <w:color w:val="auto"/>
              </w:rPr>
              <w:t>Entities affiliated with Longitude Venture Partners</w:t>
            </w:r>
            <w:r>
              <w:rPr>
                <w:rFonts w:ascii="Times New Roman" w:cs="Times New Roman" w:eastAsia="Times New Roman" w:hAnsi="Times New Roman"/>
                <w:sz w:val="24"/>
                <w:szCs w:val="24"/>
                <w:color w:val="auto"/>
                <w:vertAlign w:val="superscript"/>
              </w:rPr>
              <w:t>(3)</w:t>
            </w:r>
          </w:p>
        </w:tc>
        <w:tc>
          <w:tcPr>
            <w:tcW w:w="33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39,687,348</w:t>
            </w: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Kissei Pharmaceutical Co., Ltd.</w:t>
            </w:r>
            <w:r>
              <w:rPr>
                <w:rFonts w:ascii="Times New Roman" w:cs="Times New Roman" w:eastAsia="Times New Roman" w:hAnsi="Times New Roman"/>
                <w:sz w:val="24"/>
                <w:szCs w:val="24"/>
                <w:color w:val="auto"/>
                <w:vertAlign w:val="superscript"/>
              </w:rPr>
              <w:t>(4)</w:t>
            </w:r>
          </w:p>
        </w:tc>
        <w:tc>
          <w:tcPr>
            <w:tcW w:w="33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33,787,589</w:t>
            </w:r>
          </w:p>
        </w:tc>
        <w:tc>
          <w:tcPr>
            <w:tcW w:w="17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8.1%</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tcPr>
          <w:p>
            <w:pPr>
              <w:spacing w:after="0" w:line="212" w:lineRule="exact"/>
              <w:rPr>
                <w:sz w:val="20"/>
                <w:szCs w:val="20"/>
                <w:color w:val="auto"/>
              </w:rPr>
            </w:pPr>
            <w:r>
              <w:rPr>
                <w:rFonts w:ascii="Times New Roman" w:cs="Times New Roman" w:eastAsia="Times New Roman" w:hAnsi="Times New Roman"/>
                <w:sz w:val="16"/>
                <w:szCs w:val="16"/>
                <w:color w:val="auto"/>
              </w:rPr>
              <w:t>Entities affiliated with Foresite Capital</w:t>
            </w:r>
            <w:r>
              <w:rPr>
                <w:rFonts w:ascii="Times New Roman" w:cs="Times New Roman" w:eastAsia="Times New Roman" w:hAnsi="Times New Roman"/>
                <w:sz w:val="24"/>
                <w:szCs w:val="24"/>
                <w:color w:val="auto"/>
                <w:vertAlign w:val="superscript"/>
              </w:rPr>
              <w:t>(5)</w:t>
            </w:r>
          </w:p>
        </w:tc>
        <w:tc>
          <w:tcPr>
            <w:tcW w:w="33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26,413,921</w:t>
            </w: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TCG Crossover Fund I, L.P.</w:t>
            </w:r>
            <w:r>
              <w:rPr>
                <w:rFonts w:ascii="Times New Roman" w:cs="Times New Roman" w:eastAsia="Times New Roman" w:hAnsi="Times New Roman"/>
                <w:sz w:val="24"/>
                <w:szCs w:val="24"/>
                <w:color w:val="auto"/>
                <w:vertAlign w:val="superscript"/>
              </w:rPr>
              <w:t>(6)</w:t>
            </w:r>
          </w:p>
        </w:tc>
        <w:tc>
          <w:tcPr>
            <w:tcW w:w="33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26,413,921</w:t>
            </w:r>
          </w:p>
        </w:tc>
        <w:tc>
          <w:tcPr>
            <w:tcW w:w="17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00" w:type="dxa"/>
            <w:vAlign w:val="bottom"/>
            <w:gridSpan w:val="4"/>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Arthur Kuan</w:t>
            </w:r>
            <w:r>
              <w:rPr>
                <w:rFonts w:ascii="Times New Roman" w:cs="Times New Roman" w:eastAsia="Times New Roman" w:hAnsi="Times New Roman"/>
                <w:sz w:val="24"/>
                <w:szCs w:val="24"/>
                <w:color w:val="auto"/>
                <w:vertAlign w:val="superscript"/>
              </w:rPr>
              <w:t>(7)</w:t>
            </w:r>
          </w:p>
        </w:tc>
        <w:tc>
          <w:tcPr>
            <w:tcW w:w="33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13,153,201</w:t>
            </w:r>
          </w:p>
        </w:tc>
        <w:tc>
          <w:tcPr>
            <w:tcW w:w="17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tcPr>
          <w:p>
            <w:pPr>
              <w:spacing w:after="0" w:line="212" w:lineRule="exact"/>
              <w:rPr>
                <w:sz w:val="20"/>
                <w:szCs w:val="20"/>
                <w:color w:val="auto"/>
              </w:rPr>
            </w:pPr>
            <w:r>
              <w:rPr>
                <w:rFonts w:ascii="Times New Roman" w:cs="Times New Roman" w:eastAsia="Times New Roman" w:hAnsi="Times New Roman"/>
                <w:sz w:val="16"/>
                <w:szCs w:val="16"/>
                <w:color w:val="auto"/>
              </w:rPr>
              <w:t>James Burke, M.D.</w:t>
            </w:r>
            <w:r>
              <w:rPr>
                <w:rFonts w:ascii="Times New Roman" w:cs="Times New Roman" w:eastAsia="Times New Roman" w:hAnsi="Times New Roman"/>
                <w:sz w:val="24"/>
                <w:szCs w:val="24"/>
                <w:color w:val="auto"/>
                <w:vertAlign w:val="superscript"/>
              </w:rPr>
              <w:t>(8)</w:t>
            </w:r>
          </w:p>
        </w:tc>
        <w:tc>
          <w:tcPr>
            <w:tcW w:w="33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3,515,878</w:t>
            </w: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Georg Roth, Ph.D.</w:t>
            </w:r>
            <w:r>
              <w:rPr>
                <w:rFonts w:ascii="Times New Roman" w:cs="Times New Roman" w:eastAsia="Times New Roman" w:hAnsi="Times New Roman"/>
                <w:sz w:val="24"/>
                <w:szCs w:val="24"/>
                <w:color w:val="auto"/>
                <w:vertAlign w:val="superscript"/>
              </w:rPr>
              <w:t>(9)</w:t>
            </w:r>
          </w:p>
        </w:tc>
        <w:tc>
          <w:tcPr>
            <w:tcW w:w="33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1,583,403</w:t>
            </w: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Brian Liu, M.D.</w:t>
            </w:r>
          </w:p>
        </w:tc>
        <w:tc>
          <w:tcPr>
            <w:tcW w:w="176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James J. Mulé, IPh.D.</w:t>
            </w:r>
            <w:r>
              <w:rPr>
                <w:rFonts w:ascii="Times New Roman" w:cs="Times New Roman" w:eastAsia="Times New Roman" w:hAnsi="Times New Roman"/>
                <w:sz w:val="24"/>
                <w:szCs w:val="24"/>
                <w:color w:val="auto"/>
                <w:vertAlign w:val="superscript"/>
              </w:rPr>
              <w:t>(10)</w:t>
            </w:r>
          </w:p>
        </w:tc>
        <w:tc>
          <w:tcPr>
            <w:tcW w:w="33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542,321</w:t>
            </w: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tcPr>
          <w:p>
            <w:pPr>
              <w:spacing w:after="0" w:line="212" w:lineRule="exact"/>
              <w:rPr>
                <w:sz w:val="20"/>
                <w:szCs w:val="20"/>
                <w:color w:val="auto"/>
              </w:rPr>
            </w:pPr>
            <w:r>
              <w:rPr>
                <w:rFonts w:ascii="Times New Roman" w:cs="Times New Roman" w:eastAsia="Times New Roman" w:hAnsi="Times New Roman"/>
                <w:sz w:val="16"/>
                <w:szCs w:val="16"/>
                <w:color w:val="auto"/>
              </w:rPr>
              <w:t>Leonard Post, Ph.D.</w:t>
            </w:r>
            <w:r>
              <w:rPr>
                <w:rFonts w:ascii="Times New Roman" w:cs="Times New Roman" w:eastAsia="Times New Roman" w:hAnsi="Times New Roman"/>
                <w:sz w:val="24"/>
                <w:szCs w:val="24"/>
                <w:color w:val="auto"/>
                <w:vertAlign w:val="superscript"/>
              </w:rPr>
              <w:t>(11)</w:t>
            </w:r>
          </w:p>
        </w:tc>
        <w:tc>
          <w:tcPr>
            <w:tcW w:w="33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1,312,964</w:t>
            </w: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Simone Song</w:t>
            </w:r>
            <w:r>
              <w:rPr>
                <w:rFonts w:ascii="Times New Roman" w:cs="Times New Roman" w:eastAsia="Times New Roman" w:hAnsi="Times New Roman"/>
                <w:sz w:val="24"/>
                <w:szCs w:val="24"/>
                <w:color w:val="auto"/>
                <w:vertAlign w:val="superscript"/>
              </w:rPr>
              <w:t>(12)</w:t>
            </w:r>
          </w:p>
        </w:tc>
        <w:tc>
          <w:tcPr>
            <w:tcW w:w="33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50,460,569</w:t>
            </w:r>
          </w:p>
        </w:tc>
        <w:tc>
          <w:tcPr>
            <w:tcW w:w="17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12.2%</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Victor Tong, Jr.</w:t>
            </w:r>
          </w:p>
        </w:tc>
        <w:tc>
          <w:tcPr>
            <w:tcW w:w="176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800" w:type="dxa"/>
            <w:vAlign w:val="bottom"/>
            <w:gridSpan w:val="4"/>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All executive officers and directors as a group (9 persons)</w:t>
            </w:r>
            <w:r>
              <w:rPr>
                <w:rFonts w:ascii="Times New Roman" w:cs="Times New Roman" w:eastAsia="Times New Roman" w:hAnsi="Times New Roman"/>
                <w:sz w:val="24"/>
                <w:szCs w:val="24"/>
                <w:color w:val="auto"/>
                <w:vertAlign w:val="superscript"/>
              </w:rPr>
              <w:t>(13)</w:t>
            </w:r>
          </w:p>
        </w:tc>
        <w:tc>
          <w:tcPr>
            <w:tcW w:w="33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18,590,594</w:t>
            </w:r>
          </w:p>
        </w:tc>
        <w:tc>
          <w:tcPr>
            <w:tcW w:w="17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6"/>
        </w:trPr>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600" w:type="dxa"/>
            <w:vAlign w:val="bottom"/>
            <w:gridSpan w:val="2"/>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5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Less than 1%.</w:t>
            </w:r>
          </w:p>
        </w:tc>
        <w:tc>
          <w:tcPr>
            <w:tcW w:w="1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76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160</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1" w:right="5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jc w:val="both"/>
        <w:ind w:left="640" w:right="20" w:hanging="422"/>
        <w:spacing w:after="0" w:line="220"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9,641,725 shares of common stock held by Abundant Supply Global Limited and (ii) 37,474,236 shares of common stock held by Charming Jade Limited. Abundant Supply Global Limited is a wholly-owned subsidiary of ORI Healthcare Fund, L.P. ORI Capital Inc. is the general partner of ORI Healthcare Fund, L.P. and may be deemed to have voting, investment and dispositive power with respect to these securities. ORI Capital Inc. is a wholly-owned subsidiary of ORI Capital Holding Inc, which is a wholly-owned subsidiary of Healthcare Seed Limited. Charming Jade Limited is a wholly-owned subsidiary of ORI Healthcare Fund II, L.P. ORI Capital II Inc. is the general partner of ORI Healthcare Fund II, L.P. and may be deemed to have voting, investment and dispositive power with respect to these securities. ORI Capital II Inc. is a wholly-owned subsidiary of ORI Capital Holding Inc, which is a wholly-owned Subsidiary of Healthcare Seed Limited. Ms. Song is the sole owner of Healthcare Seed Limited. The business address for Ms. Song and these entities is C/O Room Nos. 4727-4734, 47/F, Sun Hung Kai Centre, 30 Harbour Road, Wanchai, Hong Kong.</w:t>
      </w:r>
    </w:p>
    <w:p>
      <w:pPr>
        <w:spacing w:after="0" w:line="3" w:lineRule="exact"/>
        <w:rPr>
          <w:rFonts w:ascii="Times New Roman" w:cs="Times New Roman" w:eastAsia="Times New Roman" w:hAnsi="Times New Roman"/>
          <w:sz w:val="14"/>
          <w:szCs w:val="14"/>
          <w:color w:val="auto"/>
        </w:rPr>
      </w:pPr>
    </w:p>
    <w:p>
      <w:pPr>
        <w:jc w:val="both"/>
        <w:ind w:left="640" w:right="20" w:hanging="422"/>
        <w:spacing w:after="0" w:line="217"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43,468,396 shares of common stock held by Decheng Capital Global Life Sciences Fund IV, L.P. Decheng Capital Management IV (Cayman), LLC (the Decheng GP) is the general partner of the Fund. Xiangmin Cui is the manager of the Decheng GP. Each of the Fund, the Decheng GP and Dr. Cui may be deemed to beneficially own the securities held by the Fund. Each of the Fund, the Decheng GP and Dr. Cui disclaim beneficial ownership of these securities, except to the extent of their respective pecuniary interests therein. The business address for Decheng is 3000 Sand Hill Road, Building 2, Suite 110, Menlo Park, California 94025.</w:t>
      </w:r>
    </w:p>
    <w:p>
      <w:pPr>
        <w:jc w:val="both"/>
        <w:ind w:left="640" w:hanging="422"/>
        <w:spacing w:after="0" w:line="217"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30,421,185 shares of common stock held by Longitude Venture Partners IV, L.P. (LVPIV) and (ii) 9,266,163 shares of common stock held by Longitude Prime Fund, L.P. (LPF). Longitude Capital Partners IV, LLC (LCPIV) is the general partner of LVPIV and may be deemed to have voting, investment and dispositive power with respect to these securities. Longitude Prime Partners, LLC (LPP) is the general partner of LPF and may be deemed to have voting, investment and dispositive power with respect to the securities held by LPF. Juliet Tammenoms Bakker and Patrick G. Enright are the managing members of LCPIV and LPP and may each be deemed to share voting, investment and dispositive power with respect to these securities. Each of LPP, LCPIV, Ms. Tammenoms Bakker and Mr. Enright disclaim beneficial ownership of such shares except to the extent of their respective pecuniary interests therein. The business address for these individuals and entities is 2740 Sand Hill Road, 2nd Floor, Menlo Park, California 94025.</w:t>
      </w:r>
    </w:p>
    <w:p>
      <w:pPr>
        <w:spacing w:after="0" w:line="1" w:lineRule="exact"/>
        <w:rPr>
          <w:rFonts w:ascii="Times New Roman" w:cs="Times New Roman" w:eastAsia="Times New Roman" w:hAnsi="Times New Roman"/>
          <w:sz w:val="14"/>
          <w:szCs w:val="14"/>
          <w:color w:val="auto"/>
        </w:rPr>
      </w:pPr>
    </w:p>
    <w:p>
      <w:pPr>
        <w:ind w:left="640" w:right="20" w:hanging="422"/>
        <w:spacing w:after="0" w:line="217"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33,787,589 shares of common stock held by Kissei Pharmaceutical Co., Ltd. (Tokyo Stock Exchange, stock code: 4547). The business address for Kissei is 19-48 Yoshino, Matsumoto City, Nagano, Japan.</w:t>
      </w:r>
    </w:p>
    <w:p>
      <w:pPr>
        <w:jc w:val="both"/>
        <w:ind w:left="640" w:right="20" w:hanging="422"/>
        <w:spacing w:after="0" w:line="217"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6,603,480 shares of common stock held by Foresite Capital Fund V, L.P. (Fund V), (ii) 13,206,961 shares of common stock held by Foresite Capital Fund VI, L.P. (Fund VI) and (iii) 6,603,480 shares of common stock held by Foresite Capital Opportunity Fund V, L.P. (Opportunity Fund V, and, together with Fund V and Fund VI, Foresite). Foresite Capital Management V LLC (FCM V) is the general partner of Fund V. Foresite Capital Management VI, LLC (FCM VI) is the general partner of Fund VI. Foresite Capital Opportunity Management V, LLC (FCOM V) is the general partner of Opportunity Fund V. FCM V, FCM VI and FCOM V may be deemed to have sole voting and dispositive power over these shares. James B. Tananbaum is the sole managing member of FCM V, FCM VI and FCOM V and may be deemed to have sole voting and dispositive power over these shares. Each of FCM V, FCM VI, FCOM V and Dr. Tananbaum disclaim beneficial ownership of these securities, except to the extent of their respective pecuniary interests therein. The address of Foresite, FCM VI, FCM V, FCOM V and Dr. Tananbaum is 900 Larkspur Landing Circle, Suite 150 Larkspur, CA 94939.</w:t>
      </w:r>
    </w:p>
    <w:p>
      <w:pPr>
        <w:spacing w:after="0" w:line="1" w:lineRule="exact"/>
        <w:rPr>
          <w:rFonts w:ascii="Times New Roman" w:cs="Times New Roman" w:eastAsia="Times New Roman" w:hAnsi="Times New Roman"/>
          <w:sz w:val="14"/>
          <w:szCs w:val="14"/>
          <w:color w:val="auto"/>
        </w:rPr>
      </w:pPr>
    </w:p>
    <w:p>
      <w:pPr>
        <w:jc w:val="both"/>
        <w:ind w:left="640" w:right="20" w:hanging="422"/>
        <w:spacing w:after="0" w:line="217"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26,413,921 shares of common stock held by TCG Crossover Fund I, L.P. TCG Crossover GP I, LLC (TCG Crossover GP I) is the general partner of TCG Crossover Fund I, L.P. (TCG Crossover I) and may be deemed to have voting, investment, and dispositive power with respect to these securities. Chen Yu is the sole managing member of TCG Crossover GP I and may be deemed to share voting, investment and dispositive power with respect to these securities. The business address for TCG Crossover GP I, TCG Crossover I and Mr. Yu is 705 High St., Palo Alto, CA 94301.</w:t>
      </w:r>
    </w:p>
    <w:p>
      <w:pPr>
        <w:ind w:left="640" w:right="20" w:hanging="422"/>
        <w:spacing w:after="0" w:line="217"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10,596,951 shares of common stock held directly and 2,556,250 shares of common stock underlying options held by Mr. Kuan that are exercisable as of October 24, 2023 or that will become exercisable within 60 days after such date.</w:t>
      </w:r>
    </w:p>
    <w:p>
      <w:pPr>
        <w:ind w:left="640" w:right="20" w:hanging="422"/>
        <w:spacing w:after="0" w:line="217"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3,515,878 shares of common stock underlying options held by Dr. Burke that are exercisable as of October 24, 2023 or that will become exercisable within 60 days after such date. Dr. Burke transitioned out of the role of Chief Medical Officer on August 14, 2023.</w:t>
      </w:r>
    </w:p>
    <w:p>
      <w:pPr>
        <w:ind w:left="640" w:right="20" w:hanging="422"/>
        <w:spacing w:after="0" w:line="217"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1,000,382 shares of common stock held directly and 583,021 shares of common stock underlying options held by Dr. Roth that are exercisable as of October 24, 2023 or that will become exercisable within 60 days after such date. Dr. Roth’s employment with us terminated on August 9, 2023.</w:t>
      </w:r>
    </w:p>
    <w:p>
      <w:pPr>
        <w:ind w:left="640" w:right="20" w:hanging="422"/>
        <w:spacing w:after="0" w:line="217"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542,321 shares of common stock underlying options held by Dr. Mulé that are exercisable as of October 24, 2023 or that will become exercisable within 60 days after such date.</w:t>
      </w:r>
    </w:p>
    <w:p>
      <w:pPr>
        <w:ind w:left="640" w:right="20" w:hanging="422"/>
        <w:spacing w:after="0" w:line="217"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1,312,964 shares of common stock underlying options held by Dr. Post that are exercisable as of October 24, 2023 or that will become exercisable within 60 days after such date.</w:t>
      </w:r>
    </w:p>
    <w:p>
      <w:pPr>
        <w:ind w:left="640" w:right="20" w:hanging="422"/>
        <w:spacing w:after="0" w:line="217"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9,641,725 shares of common stock held by Abundant Supply Global Limited, (ii) 37,474,236 shares of common stock held by Charming Jade Limited and (iii) 3,344,608 shares of common stock held directly by Ms. Song.</w:t>
      </w:r>
    </w:p>
    <w:p>
      <w:pPr>
        <w:ind w:left="640" w:right="20" w:hanging="422"/>
        <w:spacing w:after="0" w:line="233"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shares described in footnotes 7, 10, 11 and 12 above and an additional 237,500 shares of common stock underlying options exercisable as of October 24, 2023 or that will become exercisable within 60 days after such date held by our other executive officers.</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40"/>
          </w:cols>
          <w:pgMar w:left="320" w:top="451" w:right="5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The following description summarizes some of the terms of our amended and restated certificate of incorporation and amended and restated bylaws that will be in effect upon the closing of this offering, our investors’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and our investors’ rights agreement, copies of which have been filed as exhibits to the registration statement of which this prospectus is a part.</w:t>
      </w:r>
    </w:p>
    <w:p>
      <w:pPr>
        <w:spacing w:after="0" w:line="18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Following the closing of this offering, our authorized capital stock will consist of        shares of common stock, $0.0001 par value per share, and        shares of preferred stock, $0.0001 par value per share.</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 xml:space="preserve">As of September 30, 2023, there were         shares of our common stock outstanding and held of record by 100 stockholders, after giving effect to the automatic conversion of all outstanding shares of our redeemable convertible preferred stock into 366,277,131 shares of common stock, which will automatically occur immediately prior to the closing of this offering. Based on the number of shares of common stock outstanding as of September 30, 2023, and further assuming the issuance by us of        shares of common stock in this offering, there will be                </w:t>
      </w:r>
    </w:p>
    <w:p>
      <w:pPr>
        <w:spacing w:after="0" w:line="1" w:lineRule="exact"/>
        <w:rPr>
          <w:sz w:val="20"/>
          <w:szCs w:val="20"/>
          <w:color w:val="auto"/>
        </w:rPr>
      </w:pPr>
    </w:p>
    <w:p>
      <w:pPr>
        <w:jc w:val="both"/>
        <w:ind w:left="220"/>
        <w:spacing w:after="0" w:line="246" w:lineRule="auto"/>
        <w:rPr>
          <w:sz w:val="20"/>
          <w:szCs w:val="20"/>
          <w:color w:val="auto"/>
        </w:rPr>
      </w:pPr>
      <w:r>
        <w:rPr>
          <w:rFonts w:ascii="Times New Roman" w:cs="Times New Roman" w:eastAsia="Times New Roman" w:hAnsi="Times New Roman"/>
          <w:sz w:val="18"/>
          <w:szCs w:val="18"/>
          <w:color w:val="auto"/>
        </w:rPr>
        <w:t>shares of common stock outstanding upon the closing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the subsection titled “—Anti-Takeover Effects of Delaware Law and Our Certificate of Incorporation and Bylaws-Amendment of Charter Provisions” below.</w:t>
      </w:r>
    </w:p>
    <w:p>
      <w:pPr>
        <w:spacing w:after="0" w:line="191" w:lineRule="exact"/>
        <w:rPr>
          <w:sz w:val="20"/>
          <w:szCs w:val="20"/>
          <w:color w:val="auto"/>
        </w:rPr>
      </w:pPr>
    </w:p>
    <w:p>
      <w:pPr>
        <w:jc w:val="both"/>
        <w:ind w:left="220" w:firstLine="432"/>
        <w:spacing w:after="0" w:line="266" w:lineRule="auto"/>
        <w:rPr>
          <w:sz w:val="20"/>
          <w:szCs w:val="20"/>
          <w:color w:val="auto"/>
        </w:rPr>
      </w:pPr>
      <w:r>
        <w:rPr>
          <w:rFonts w:ascii="Times New Roman" w:cs="Times New Roman" w:eastAsia="Times New Roman" w:hAnsi="Times New Roman"/>
          <w:sz w:val="17"/>
          <w:szCs w:val="17"/>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Upon the closing of this offering, all of our previously outstanding shares of redeemable convertible preferred stock will have been converted into common stock, there will be no authorized shares of our previously</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20"/>
          </w:cols>
          <w:pgMar w:left="320" w:top="451" w:right="5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1" w:lineRule="auto"/>
        <w:rPr>
          <w:sz w:val="20"/>
          <w:szCs w:val="20"/>
          <w:color w:val="auto"/>
        </w:rPr>
      </w:pPr>
      <w:r>
        <w:rPr>
          <w:rFonts w:ascii="Times New Roman" w:cs="Times New Roman" w:eastAsia="Times New Roman" w:hAnsi="Times New Roman"/>
          <w:sz w:val="18"/>
          <w:szCs w:val="18"/>
          <w:color w:val="auto"/>
        </w:rPr>
        <w:t>outstanding redeemable convertible preferred stock, and we will have no shares of preferred stock outstanding. Under the terms of our amended and restated certificate of incorporation, which will become effective immediately prior to the closing of this offering, our board of directors has the authority, without further action by our stockholders, to issue up to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5"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deterring or preventing a change in our control and may adversely affect the market price of the common stock and the voting and other rights of the holders of common stock. We have no current plans to issue any shares of preferred stock.</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3"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As of September 30, 2023, options to purchase        shares of our common stock were outstanding, of which        were vested and exercisable as of that date. For additional information regarding the terms of our 2015 Plan and 2022 Plan, see the sections titled “Executive and Director Compensation—Equity Incentive Plans—2015 Equity Incentive Plan” and “Executive and Director Compensation—Equity Incentive Plans— 2022 Incentive Award Plan.”</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3" w:lineRule="exact"/>
        <w:rPr>
          <w:sz w:val="20"/>
          <w:szCs w:val="20"/>
          <w:color w:val="auto"/>
        </w:rPr>
      </w:pPr>
    </w:p>
    <w:p>
      <w:pPr>
        <w:jc w:val="both"/>
        <w:ind w:left="220" w:right="20" w:firstLine="432"/>
        <w:spacing w:after="0" w:line="271" w:lineRule="auto"/>
        <w:rPr>
          <w:sz w:val="20"/>
          <w:szCs w:val="20"/>
          <w:color w:val="auto"/>
        </w:rPr>
      </w:pPr>
      <w:r>
        <w:rPr>
          <w:rFonts w:ascii="Times New Roman" w:cs="Times New Roman" w:eastAsia="Times New Roman" w:hAnsi="Times New Roman"/>
          <w:sz w:val="17"/>
          <w:szCs w:val="17"/>
          <w:color w:val="auto"/>
        </w:rPr>
        <w:t>As of September 30, 2023, upon the closing of this offering holders of 366,277,131 shares of our common stock, which includes all of the shares of common stock issuable upon the automatic conversion redeemable convertible preferred stock immediately prior to the closing of this offering, will be entitled to the following rights with respect to the registration of such shares for public resale under the Securities Act, pursuant to an investors’ rights agreement by and among us and certain investors.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3"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Form S-1. </w:t>
      </w:r>
      <w:r>
        <w:rPr>
          <w:rFonts w:ascii="Times New Roman" w:cs="Times New Roman" w:eastAsia="Times New Roman" w:hAnsi="Times New Roman"/>
          <w:sz w:val="18"/>
          <w:szCs w:val="18"/>
          <w:color w:val="auto"/>
        </w:rPr>
        <w:t>If at any time beginning six months following the closing of this offering, the holders of at least 25% of the registrable securities then-outstanding request in writing that we effect a registration, we may be required to provide notice of such request to all holders of registrable securities and offer them the opportunity to participate in such registration, and to use best efforts to effect such registration; provided, however, that we will not be required to effect such a registration if, among other things, we have already effected either one registration in the last twelve months or three registrations in total for the holders of registrable securities in response to these demand registration rights, or the anticipated aggregate proceeds of the registration (after deduction for underwriter’s discounts and expenses related to the issuance) are less than $5 million.</w:t>
      </w:r>
    </w:p>
    <w:p>
      <w:pPr>
        <w:spacing w:after="0" w:line="185" w:lineRule="exact"/>
        <w:rPr>
          <w:sz w:val="20"/>
          <w:szCs w:val="20"/>
          <w:color w:val="auto"/>
        </w:rPr>
      </w:pPr>
    </w:p>
    <w:p>
      <w:pPr>
        <w:jc w:val="both"/>
        <w:ind w:left="220" w:right="20"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Form S-</w:t>
      </w:r>
      <w:r>
        <w:rPr>
          <w:rFonts w:ascii="Times New Roman" w:cs="Times New Roman" w:eastAsia="Times New Roman" w:hAnsi="Times New Roman"/>
          <w:sz w:val="18"/>
          <w:szCs w:val="18"/>
          <w:color w:val="auto"/>
        </w:rPr>
        <w:t>3. If at any time beginning six months following the closing of this offering, any holder of registrable securities then-outstanding requests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writing that we effect a registration with respect to all or a part of the registrable securities then outstanding, we may be required to provide notice of such request to all holders of registrable securities and offer them the opportunity to participate in such registration, and to use best efforts to effect such registration; provided, however, that we will not be required to effect such a registration if, among other things, Form S-3 is not available for such offering or the anticipated aggregate offering price to the public is less than $1 million.</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40"/>
          </w:cols>
          <w:pgMar w:left="320" w:top="451" w:right="5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If the holders requesting registration intend to distribute their shares by means of an underwritten offering, the underwriter of such offering will have the right to limit the number of shares to be underwritten for reasons related to the marketing of the shares in accordance with the cut-back provisions of the investors’ rights agreement.</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5"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If at any time following the closing of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underwritten offering, the managing underwriter of such offering will have the right to limit the number of shares to be underwritten for reasons related to the marketing of the shares in accordance with the cut-back provisions of the investors’ rights agreement.</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Our investors’ rights agreement contains customary cross indemnification provisions, under which we are obligated to indemnify holders of registrable securities in the event of material misstatements or omissions in a registration statement attributable to us, and they are obligated to indemnify us for material misstatements or omissions attributable to them.</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Registration Rights</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registration rights terminate upon the earlier of (i) five years after the closing of this offering or (ii) with respect to a particular holder, such time as Rule 144 or another similar exemption under the Securities Act is available for the sale of all shares by such holder without limitation during a three-month period without registration.</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1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w:t>
      </w:r>
    </w:p>
    <w:p>
      <w:pPr>
        <w:spacing w:after="0" w:line="18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20"/>
          </w:cols>
          <w:pgMar w:left="320" w:top="451" w:right="5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1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1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eliminate the right of stockholders to act by written consent without a meeting.</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of Directors</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Our amended and restated bylaws provide that our board of directors will be divided into three classes. The directors in each class will serve for a three-year term, with one class being elected each year by our stockholders. For more information on the classified board of directors, see the section titled “Management—Board Composition and Election of Directors.” This system of electing directors may tend to discourage a third party from attempting to obtain control of us, because it generally makes it more difficult for stockholders to replace a majority of the directors.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20"/>
          </w:cols>
          <w:pgMar w:left="320" w:top="451" w:right="5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right="20"/>
        <w:spacing w:after="0" w:line="252" w:lineRule="auto"/>
        <w:rPr>
          <w:sz w:val="20"/>
          <w:szCs w:val="20"/>
          <w:color w:val="auto"/>
        </w:rPr>
      </w:pPr>
      <w:r>
        <w:rPr>
          <w:rFonts w:ascii="Times New Roman" w:cs="Times New Roman" w:eastAsia="Times New Roman" w:hAnsi="Times New Roman"/>
          <w:sz w:val="18"/>
          <w:szCs w:val="18"/>
          <w:color w:val="auto"/>
        </w:rPr>
        <w:t>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15" w:lineRule="exact"/>
        <w:rPr>
          <w:sz w:val="20"/>
          <w:szCs w:val="20"/>
          <w:color w:val="auto"/>
        </w:rPr>
      </w:pPr>
    </w:p>
    <w:p>
      <w:pPr>
        <w:jc w:val="both"/>
        <w:ind w:left="220" w:firstLine="432"/>
        <w:spacing w:after="0" w:line="26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form, the Court of Chancery of the State of Delaware (the Court of Chancery) (or, in the event the Court of Chancery does not have jurisdiction, the federal district court for the District of Delaware or other state courts of the State of Delaware) will be the sole and exclusive forum for the following types of actions or proceedings under Delaware statutory or common law: (i) any derivative action or proceeding brought on our behalf; (ii) any action asserting a claim of breach of a fiduciary duty by any of our directors, officers or stockholders to us or our stockholders; (iii) any action asserting a claim against us arising pursuant to any provision of the Delaware General Corporation Law or our amended and restated certificate of incorporation or amended and restated bylaws; or (iv) any action asserting a claim governed by the internal affairs doctrine, in all cases to the fullest extent permitted by law. The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to have consented to this choice of forum provision.</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115"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63"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40"/>
          </w:cols>
          <w:pgMar w:left="320" w:top="451" w:right="5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will be            . The transfer agent and registrar’s address is            .</w:t>
      </w: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The Nasdaq Global Market Listing</w:t>
      </w:r>
    </w:p>
    <w:p>
      <w:pPr>
        <w:spacing w:after="0" w:line="113" w:lineRule="exact"/>
        <w:rPr>
          <w:sz w:val="20"/>
          <w:szCs w:val="20"/>
          <w:color w:val="auto"/>
        </w:rPr>
      </w:pPr>
    </w:p>
    <w:p>
      <w:pPr>
        <w:ind w:left="220" w:firstLine="432"/>
        <w:spacing w:after="0" w:line="274" w:lineRule="auto"/>
        <w:rPr>
          <w:sz w:val="20"/>
          <w:szCs w:val="20"/>
          <w:color w:val="auto"/>
        </w:rPr>
      </w:pPr>
      <w:r>
        <w:rPr>
          <w:rFonts w:ascii="Times New Roman" w:cs="Times New Roman" w:eastAsia="Times New Roman" w:hAnsi="Times New Roman"/>
          <w:sz w:val="18"/>
          <w:szCs w:val="18"/>
          <w:color w:val="auto"/>
        </w:rPr>
        <w:t>We have applied to have our common stock listed on the Nasdaq Global Market under the symbol “CGON,” and this offering is contingent upon obtaining such approval.</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3" w:lineRule="exact"/>
        <w:rPr>
          <w:sz w:val="20"/>
          <w:szCs w:val="20"/>
          <w:color w:val="auto"/>
        </w:rPr>
      </w:pPr>
    </w:p>
    <w:p>
      <w:pPr>
        <w:ind w:left="220" w:firstLine="432"/>
        <w:spacing w:after="0" w:line="274" w:lineRule="auto"/>
        <w:rPr>
          <w:sz w:val="20"/>
          <w:szCs w:val="20"/>
          <w:color w:val="auto"/>
        </w:rPr>
      </w:pPr>
      <w:r>
        <w:rPr>
          <w:rFonts w:ascii="Times New Roman" w:cs="Times New Roman" w:eastAsia="Times New Roman" w:hAnsi="Times New Roman"/>
          <w:sz w:val="18"/>
          <w:szCs w:val="18"/>
          <w:color w:val="auto"/>
        </w:rPr>
        <w:t>For a discussion of liability and indemnification, see the section titled “Executive and Director Compensation—Limitations of Liability and Indemnification Matters.”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20"/>
          </w:cols>
          <w:pgMar w:left="320" w:top="451" w:right="5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19"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we have applied to have our common stock listed on Nasdaq, we cannot assure you that there will be an active public market for our common stock.</w:t>
      </w:r>
    </w:p>
    <w:p>
      <w:pPr>
        <w:spacing w:after="0" w:line="178"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Based on the number of shares of our common stock outstanding as of September 30, 2023, and assuming (i) the issuance of          shares in this offering, (ii) the automatic conversion of all of our outstanding shares of redeemable convertible preferred stock into 366,277,131 shares of common stock and the related reclassification of the carrying value of the redeemable convertible preferred stock to permanent equity upon the closing of this offering, (iii) no exercise of the underwriters’ option to purchase additional shares of common stock and (iv) no exercise of outstanding options, we will have outstanding an aggregate of        shares of common stock following the closing of this offering.</w:t>
      </w:r>
    </w:p>
    <w:p>
      <w:pPr>
        <w:spacing w:after="0" w:line="185"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178"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The remaining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We expect that substantially all of these shares will be subject to the 180-day lock-up period under the lock-up agreements described below.</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3"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We, our officers, directors and substantially all of our securityholders, have agreed with the underwriters that for a period of 180 days, after the date of this prospectus, among other things and subject to certain exceptions, we or they will not offer, pledge, sell, contract to sell, sell any option or contract to purchase, purchase any option or contract to sell, grant any option, right or warrant to sell,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or publicly declare an intention to do any of the foregoing. Upon expiration of the lock-up period, certain of our stockholders will have the right to require us to register their shares under the Securities Act. See the subsection titled “—Registration Rights” below and the section titled “Description of Capital Stock—Registration Rights.”</w:t>
      </w:r>
    </w:p>
    <w:p>
      <w:pPr>
        <w:spacing w:after="0" w:line="190"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Morgan Stanley &amp; Co. LLC and Goldman Sachs &amp; Co. LLC may, in their sole discretion and at any time or from time to time before the termination of the lock-up period, in certain cases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pacing w:after="0" w:line="180"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Upon the expiration of the lock-up period, substantially all of the shares subject to such lock-up restrictions will become eligible for sale, subject to the limitations discussed above.</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13"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Following the closing of this offering, certain of our officers, directors and significant stockholders may adopt written plans, known as Rule 10b5-1 trading plans, in which they will contract with a broker to buy or sell</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40"/>
          </w:cols>
          <w:pgMar w:left="320" w:top="451" w:right="5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Affiliate Resales of Restricted Securities</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beginning 90 days after the effective date of the registration statement of which this prospectus is a part, a person who is an affiliate of ours, or who was an affiliate at any time during the 90 days before a sale, and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020"/>
          </w:cols>
          <w:pgMar w:left="320" w:top="451" w:right="559" w:bottom="1440" w:gutter="0" w:footer="0" w:header="0"/>
        </w:sectPr>
      </w:pP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of the number of shares of our common stock then outstanding, which will equal approximately 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immediately after this</w:t>
      </w:r>
    </w:p>
    <w:p>
      <w:pPr>
        <w:spacing w:after="0" w:line="35" w:lineRule="exact"/>
        <w:rPr>
          <w:sz w:val="20"/>
          <w:szCs w:val="20"/>
          <w:color w:val="auto"/>
        </w:rPr>
      </w:pPr>
    </w:p>
    <w:p>
      <w:pPr>
        <w:sectPr>
          <w:pgSz w:w="11900" w:h="16838" w:orient="portrait"/>
          <w:cols w:equalWidth="0" w:num="4">
            <w:col w:w="700" w:space="480"/>
            <w:col w:w="7100" w:space="140"/>
            <w:col w:w="380" w:space="180"/>
            <w:col w:w="2040"/>
          </w:cols>
          <w:pgMar w:left="320" w:top="451" w:right="55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7"/>
          <w:szCs w:val="17"/>
          <w:color w:val="auto"/>
        </w:rPr>
        <w:t>offering, assuming no exercise of the underwriters’ option to purchase additional shares; or</w:t>
      </w:r>
    </w:p>
    <w:p>
      <w:pPr>
        <w:sectPr>
          <w:pgSz w:w="11900" w:h="16838" w:orient="portrait"/>
          <w:cols w:equalWidth="0" w:num="1">
            <w:col w:w="11020"/>
          </w:cols>
          <w:pgMar w:left="320" w:top="451" w:right="559" w:bottom="1440" w:gutter="0" w:footer="0" w:header="0"/>
          <w:type w:val="continuous"/>
        </w:sectPr>
      </w:pPr>
    </w:p>
    <w:p>
      <w:pPr>
        <w:spacing w:after="0" w:line="116" w:lineRule="exact"/>
        <w:rPr>
          <w:sz w:val="20"/>
          <w:szCs w:val="20"/>
          <w:color w:val="auto"/>
        </w:rPr>
      </w:pPr>
    </w:p>
    <w:p>
      <w:pPr>
        <w:ind w:left="1180" w:hanging="538"/>
        <w:spacing w:after="0" w:line="274" w:lineRule="auto"/>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in our common stock on Nasdaq during the four calendar weeks preceding the filing of a notice on Form 144 with respect to such sale.</w:t>
      </w:r>
    </w:p>
    <w:p>
      <w:pPr>
        <w:spacing w:after="0" w:line="16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An “affiliate” is a person that directly, or indirectly through one or more intermediaries, controls or is controlled by, or is under common control with an issuer. 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of a sale directly with a market maker.</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Non-Affiliate Resales of Restricted Securities</w:t>
      </w:r>
    </w:p>
    <w:p>
      <w:pPr>
        <w:spacing w:after="0" w:line="115" w:lineRule="exact"/>
        <w:rPr>
          <w:sz w:val="20"/>
          <w:szCs w:val="20"/>
          <w:color w:val="auto"/>
        </w:rPr>
      </w:pPr>
    </w:p>
    <w:p>
      <w:pPr>
        <w:jc w:val="both"/>
        <w:ind w:left="220" w:firstLine="432"/>
        <w:spacing w:after="0" w:line="271" w:lineRule="auto"/>
        <w:rPr>
          <w:sz w:val="20"/>
          <w:szCs w:val="20"/>
          <w:color w:val="auto"/>
        </w:rPr>
      </w:pPr>
      <w:r>
        <w:rPr>
          <w:rFonts w:ascii="Times New Roman" w:cs="Times New Roman" w:eastAsia="Times New Roman" w:hAnsi="Times New Roman"/>
          <w:sz w:val="17"/>
          <w:szCs w:val="17"/>
          <w:color w:val="auto"/>
        </w:rPr>
        <w:t>In general, under Rule 144 as currently in effect,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Non-affiliate resales are not subject to the manner of sale, volume limitation or notice filing provisions of Rule 144.</w:t>
      </w: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3"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In general, under Rule 701 as currently in effect, any of an issuer’s employees, directors, officers, consultants or advisors who purchase shares from the issuer in connection with a compensatory stock or option plan or other written agreement before the effective date of a registration statement under the Securities Act are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 However, substantially all Rule 701 shares are subject to lock-up agreements as described above and will become eligible for sale in compliance with Rule 144 only upon the expiration of the restrictions set forth in those agreements.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20"/>
          </w:cols>
          <w:pgMar w:left="320" w:top="451" w:right="55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1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common stock subject to outstanding stock options and common stock issued or issuable under our equity incentive plans and employee stock purchase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3"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Upon the closing of this offering, holders of 366,277,131 shares of our common stock, which includes all of the shares of common stock issuable upon the automatic conversion of our redeemable convertible preferred stock into shares of our common stock immediately prior to the closing of this offering, will be entitled to various rights with respect to the registration of these shares under the Securities Act upon the closing of this offering. Registration of these shares under the Securities Act would result in these shares becoming freely tradable without restriction under the Securities Act immediately upon the effectiveness of the registration, except for shares purchased by our affiliates. See the section titled “Description of Capital Stock —Registration Rights” for additional information. Shares covered by a registration statement will be eligible for sale in the public market upon the expiration or release from the terms of the lock-up agreements described above.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20"/>
          </w:cols>
          <w:pgMar w:left="320" w:top="451" w:right="5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TO NON-U.S. HOLDERS</w:t>
      </w:r>
    </w:p>
    <w:p>
      <w:pPr>
        <w:spacing w:after="0" w:line="219"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7"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provisions of the Code. In addition, it does not address consequences relevant to Non-U.S. Holders subject to special rules, including, without limitation:</w:t>
      </w:r>
    </w:p>
    <w:p>
      <w:pPr>
        <w:spacing w:after="0" w:line="88" w:lineRule="exact"/>
        <w:rPr>
          <w:sz w:val="20"/>
          <w:szCs w:val="20"/>
          <w:color w:val="auto"/>
        </w:rPr>
      </w:pPr>
    </w:p>
    <w:p>
      <w:pPr>
        <w:ind w:left="1180" w:hanging="538"/>
        <w:spacing w:after="0"/>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124"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3"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78" w:lineRule="exact"/>
        <w:rPr>
          <w:sz w:val="20"/>
          <w:szCs w:val="20"/>
          <w:color w:val="auto"/>
        </w:rPr>
      </w:pPr>
    </w:p>
    <w:p>
      <w:pPr>
        <w:jc w:val="both"/>
        <w:ind w:left="220"/>
        <w:spacing w:after="0" w:line="261"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20"/>
          </w:cols>
          <w:pgMar w:left="320" w:top="451" w:right="5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both"/>
        <w:ind w:left="220"/>
        <w:spacing w:after="0" w:line="261" w:lineRule="auto"/>
        <w:rPr>
          <w:sz w:val="20"/>
          <w:szCs w:val="20"/>
          <w:color w:val="auto"/>
        </w:rPr>
      </w:pPr>
      <w:r>
        <w:rPr>
          <w:rFonts w:ascii="Times New Roman" w:cs="Times New Roman" w:eastAsia="Times New Roman" w:hAnsi="Times New Roman"/>
          <w:sz w:val="18"/>
          <w:szCs w:val="18"/>
          <w:b w:val="1"/>
          <w:bCs w:val="1"/>
          <w:color w:val="auto"/>
        </w:rPr>
        <w:t>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85" w:lineRule="exact"/>
        <w:rPr>
          <w:sz w:val="20"/>
          <w:szCs w:val="20"/>
          <w:color w:val="auto"/>
        </w:rPr>
      </w:pPr>
    </w:p>
    <w:p>
      <w:pPr>
        <w:ind w:left="1180" w:hanging="538"/>
        <w:spacing w:after="0"/>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24"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24" w:lineRule="exact"/>
        <w:rPr>
          <w:rFonts w:ascii="Times New Roman" w:cs="Times New Roman" w:eastAsia="Times New Roman" w:hAnsi="Times New Roman"/>
          <w:sz w:val="18"/>
          <w:szCs w:val="18"/>
          <w:color w:val="auto"/>
        </w:rPr>
      </w:pPr>
    </w:p>
    <w:p>
      <w:pPr>
        <w:jc w:val="both"/>
        <w:ind w:left="1180" w:hanging="538"/>
        <w:spacing w:after="0" w:line="259" w:lineRule="auto"/>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As described in the section titled “Dividend Policy,” we do not anticipate declaring or paying cash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in the subsection titled “—Sale or Other Taxable Disposition” below.</w:t>
      </w:r>
    </w:p>
    <w:p>
      <w:pPr>
        <w:spacing w:after="0" w:line="18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90"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rates. A Non-U.S. Holder that is a corporation also may be subject to a branch profits tax at a rate of</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20"/>
          </w:cols>
          <w:pgMar w:left="320" w:top="451" w:right="5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 (or such lower rate specified by an applicable income tax treaty) on such effectively connected dividends, as adjusted for certain items. Non-U.S.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Holders should consult their tax advisors regarding any applicable tax treaties that may provide for different rules.</w:t>
      </w: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Subject to the discussion below of backup withholding and withholding under FATCA (defined below), a Non-U.S. Holder will not be subject to</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U.S. federal income tax on any gain realized upon the sale or other taxable disposition of our common stock unless:</w:t>
      </w:r>
    </w:p>
    <w:p>
      <w:pPr>
        <w:spacing w:after="0" w:line="105" w:lineRule="exact"/>
        <w:rPr>
          <w:sz w:val="20"/>
          <w:szCs w:val="20"/>
          <w:color w:val="auto"/>
        </w:rPr>
      </w:pPr>
    </w:p>
    <w:p>
      <w:pPr>
        <w:jc w:val="both"/>
        <w:ind w:left="1180" w:hanging="538"/>
        <w:spacing w:after="0" w:line="259" w:lineRule="auto"/>
        <w:tabs>
          <w:tab w:leader="none" w:pos="1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85"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(USRPI) by reason of our status as a U.S. real property holding corporation (USRPHC) for U.S. federal income tax purposes.</w:t>
      </w:r>
    </w:p>
    <w:p>
      <w:pPr>
        <w:spacing w:after="0" w:line="163"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8"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0"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13"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40"/>
          </w:cols>
          <w:pgMar w:left="320" w:top="451" w:right="5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2" w:lineRule="auto"/>
        <w:rPr>
          <w:sz w:val="20"/>
          <w:szCs w:val="20"/>
          <w:color w:val="auto"/>
        </w:rPr>
      </w:pPr>
      <w:r>
        <w:rPr>
          <w:rFonts w:ascii="Times New Roman" w:cs="Times New Roman" w:eastAsia="Times New Roman" w:hAnsi="Times New Roman"/>
          <w:sz w:val="18"/>
          <w:szCs w:val="18"/>
          <w:color w:val="auto"/>
        </w:rPr>
        <w:t>addition, proceeds of the sale or other taxable disposition of our common stock within the United States or conducted through certain U.S.-related brokers generally will be subject to backup withholding or information reporting unless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8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13" w:lineRule="exact"/>
        <w:rPr>
          <w:sz w:val="20"/>
          <w:szCs w:val="20"/>
          <w:color w:val="auto"/>
        </w:rPr>
      </w:pPr>
    </w:p>
    <w:p>
      <w:pPr>
        <w:jc w:val="both"/>
        <w:ind w:left="220" w:firstLine="432"/>
        <w:spacing w:after="0" w:line="266" w:lineRule="auto"/>
        <w:rPr>
          <w:sz w:val="20"/>
          <w:szCs w:val="20"/>
          <w:color w:val="auto"/>
        </w:rPr>
      </w:pPr>
      <w:r>
        <w:rPr>
          <w:rFonts w:ascii="Times New Roman" w:cs="Times New Roman" w:eastAsia="Times New Roman" w:hAnsi="Times New Roman"/>
          <w:sz w:val="17"/>
          <w:szCs w:val="17"/>
          <w:color w:val="auto"/>
        </w:rPr>
        <w:t>Withholding taxes may be imposed under Sections 1471 to 1474 of the Code (such Sections are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w:t>
      </w:r>
    </w:p>
    <w:p>
      <w:pPr>
        <w:spacing w:after="0" w:line="1" w:lineRule="exact"/>
        <w:rPr>
          <w:sz w:val="20"/>
          <w:szCs w:val="20"/>
          <w:color w:val="auto"/>
        </w:rPr>
      </w:pPr>
    </w:p>
    <w:p>
      <w:pPr>
        <w:jc w:val="both"/>
        <w:ind w:left="220" w:hanging="2"/>
        <w:spacing w:after="0" w:line="246" w:lineRule="auto"/>
        <w:tabs>
          <w:tab w:leader="none" w:pos="43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1"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common stock. While withholding under FATCA would also have applied to payments of gross proceeds from the sale or other disposition of stock on or after January 1, 2019, proposed Treasury Regulations eliminate FATCA withholding on payments of gross proceeds entirely. Taxpayers (including applicable withholding agents) generally may rely on these proposed Treasury Regulations until final Treasury Regulations are issued. There can be no assurance that final Treasury Regulations would provide an exemption from FATCA withholding for gross proceeds.</w:t>
      </w:r>
    </w:p>
    <w:p>
      <w:pPr>
        <w:spacing w:after="0" w:line="18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20"/>
          </w:cols>
          <w:pgMar w:left="320" w:top="451" w:right="5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19"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Goldman Sachs &amp; Co. LLC and Cantor Fitzgerald &amp; Co. are acting as representatives, have severally agreed to purchase, and we have agreed to sell to them, severally, the number of shares of common stock indicated below:</w:t>
      </w:r>
    </w:p>
    <w:p>
      <w:pPr>
        <w:spacing w:after="0" w:line="183"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7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70"/>
        </w:trPr>
        <w:tc>
          <w:tcPr>
            <w:tcW w:w="7020" w:type="dxa"/>
            <w:vAlign w:val="bottom"/>
            <w:gridSpan w:val="4"/>
            <w:vMerge w:val="continue"/>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84"/>
              </w:rPr>
              <w:t>Shares </w:t>
            </w:r>
          </w:p>
        </w:tc>
        <w:tc>
          <w:tcPr>
            <w:tcW w:w="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000" w:type="dxa"/>
            <w:vAlign w:val="bottom"/>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Morgan Stanley &amp; Co. LLC</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w:t>
            </w: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80"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our common stock.</w:t>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778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4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9"/>
        </w:trPr>
        <w:tc>
          <w:tcPr>
            <w:tcW w:w="77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tcBorders>
              <w:top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w w:val="98"/>
              </w:rPr>
              <w:t>No Exercise</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Full 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7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Public offering price</w:t>
            </w:r>
          </w:p>
        </w:tc>
        <w:tc>
          <w:tcPr>
            <w:tcW w:w="8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        . We have also agreed to reimburse the underwriters for expenses relating to clearance of this offering with the Financial Industry Regulatory Authority up to $        .</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20"/>
          </w:cols>
          <w:pgMar w:left="320" w:top="451" w:right="5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pacing w:after="0" w:line="16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trading symbol “CGON,” and this offering is contingent upon obtaining approval of such listing</w:t>
      </w:r>
    </w:p>
    <w:p>
      <w:pPr>
        <w:spacing w:after="0" w:line="16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7"/>
          <w:szCs w:val="17"/>
          <w:color w:val="auto"/>
        </w:rPr>
        <w:t>We and all of our directors and officers and the holders of substantially all of our outstanding securities directly or indirectly convertible into or exchangeable or exercisable for shares of our common stock have entered into lock-up agreements with the underwriters agreeing that, subject to certain exceptions, without the prior written consent of Morgan Stanley &amp; Co. LLC and Goldman Sachs &amp; Co. LLC on behalf of the underwriters, we and they will not, and will not publicly disclose an intention to, during the period ending 180 days after the date of this prospectus (the restricted period):</w:t>
      </w:r>
    </w:p>
    <w:p>
      <w:pPr>
        <w:spacing w:after="0" w:line="75" w:lineRule="exact"/>
        <w:rPr>
          <w:sz w:val="20"/>
          <w:szCs w:val="20"/>
          <w:color w:val="auto"/>
        </w:rPr>
      </w:pPr>
    </w:p>
    <w:p>
      <w:pPr>
        <w:jc w:val="both"/>
        <w:ind w:left="1180" w:hanging="538"/>
        <w:spacing w:after="0" w:line="259" w:lineRule="auto"/>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5"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hedging, swap or other arrangement that transfers to another, in whole or in part, any of the economic consequences of ownership of our common stock; or</w:t>
      </w:r>
    </w:p>
    <w:p>
      <w:pPr>
        <w:spacing w:after="0" w:line="70" w:lineRule="exact"/>
        <w:rPr>
          <w:rFonts w:ascii="Times New Roman" w:cs="Times New Roman" w:eastAsia="Times New Roman" w:hAnsi="Times New Roman"/>
          <w:sz w:val="18"/>
          <w:szCs w:val="18"/>
          <w:color w:val="auto"/>
        </w:rPr>
      </w:pPr>
    </w:p>
    <w:p>
      <w:pPr>
        <w:ind w:left="1180" w:hanging="538"/>
        <w:spacing w:after="0" w:line="274" w:lineRule="auto"/>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or file any registration statement with the SEC relating to the offering of any shares of common stock or any securities convertible into or exercisable or exchangeable for common stock;</w:t>
      </w:r>
    </w:p>
    <w:p>
      <w:pPr>
        <w:spacing w:after="0" w:line="163" w:lineRule="exact"/>
        <w:rPr>
          <w:sz w:val="20"/>
          <w:szCs w:val="20"/>
          <w:color w:val="auto"/>
        </w:rPr>
      </w:pPr>
    </w:p>
    <w:p>
      <w:pPr>
        <w:jc w:val="both"/>
        <w:ind w:left="220"/>
        <w:spacing w:after="0" w:line="255"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have agreed that, without the prior written consent of Morgan Stanley &amp; Co.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us, the restrictions described in the immediately preceding paragraph do not apply to:</w:t>
      </w:r>
    </w:p>
    <w:p>
      <w:pPr>
        <w:spacing w:after="0" w:line="124" w:lineRule="exact"/>
        <w:rPr>
          <w:sz w:val="20"/>
          <w:szCs w:val="20"/>
          <w:color w:val="auto"/>
        </w:rPr>
      </w:pPr>
    </w:p>
    <w:p>
      <w:pPr>
        <w:ind w:left="1180" w:hanging="426"/>
        <w:spacing w:after="0"/>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in this offering;</w:t>
      </w:r>
    </w:p>
    <w:p>
      <w:pPr>
        <w:spacing w:after="0" w:line="124" w:lineRule="exact"/>
        <w:rPr>
          <w:rFonts w:ascii="Times New Roman" w:cs="Times New Roman" w:eastAsia="Times New Roman" w:hAnsi="Times New Roman"/>
          <w:sz w:val="18"/>
          <w:szCs w:val="18"/>
          <w:color w:val="auto"/>
        </w:rPr>
      </w:pPr>
    </w:p>
    <w:p>
      <w:pPr>
        <w:ind w:left="1180" w:hanging="426"/>
        <w:spacing w:after="0" w:line="274" w:lineRule="auto"/>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warrant or the conversion of a security outstanding on the date of this prospectus as described in the registration statement and this prospectus; or</w:t>
      </w:r>
    </w:p>
    <w:p>
      <w:pPr>
        <w:spacing w:after="0" w:line="70" w:lineRule="exact"/>
        <w:rPr>
          <w:rFonts w:ascii="Times New Roman" w:cs="Times New Roman" w:eastAsia="Times New Roman" w:hAnsi="Times New Roman"/>
          <w:sz w:val="18"/>
          <w:szCs w:val="18"/>
          <w:color w:val="auto"/>
        </w:rPr>
      </w:pPr>
    </w:p>
    <w:p>
      <w:pPr>
        <w:jc w:val="both"/>
        <w:ind w:left="1180" w:hanging="426"/>
        <w:spacing w:after="0" w:line="252" w:lineRule="auto"/>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any of our shareholders, officers or directors pursuant to Rule 10b5-1 under the Exchange Act for the transfer of shares of our common stock, provided that (a) such plan does not provide for the transfer of common stock during the restricted period and (b)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our directors, officers and securityholders, the restrictions described above do not apply to:</w:t>
      </w:r>
    </w:p>
    <w:p>
      <w:pPr>
        <w:spacing w:after="0" w:line="124" w:lineRule="exact"/>
        <w:rPr>
          <w:sz w:val="20"/>
          <w:szCs w:val="20"/>
          <w:color w:val="auto"/>
        </w:rPr>
      </w:pPr>
    </w:p>
    <w:p>
      <w:pPr>
        <w:jc w:val="both"/>
        <w:ind w:left="1180" w:hanging="426"/>
        <w:spacing w:after="0" w:line="255" w:lineRule="auto"/>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this offering or in open market transactions after the completion of this offering, provided that no filing under Section 16(a) of the Exchange Act or other public announcement shall be required or shall be voluntarily made during the restricted period in connection with subsequent sales of common stock or other securities acquired in this offering or in such open market transactions;</w:t>
      </w:r>
    </w:p>
    <w:p>
      <w:pPr>
        <w:spacing w:after="0" w:line="87" w:lineRule="exact"/>
        <w:rPr>
          <w:rFonts w:ascii="Times New Roman" w:cs="Times New Roman" w:eastAsia="Times New Roman" w:hAnsi="Times New Roman"/>
          <w:sz w:val="18"/>
          <w:szCs w:val="18"/>
          <w:color w:val="auto"/>
        </w:rPr>
      </w:pPr>
    </w:p>
    <w:p>
      <w:pPr>
        <w:ind w:left="1180" w:hanging="426"/>
        <w:spacing w:after="0" w:line="274" w:lineRule="auto"/>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common stock (i) as a bona fide gift, (ii) to an immediate family member or to any trust for the direct or indirect benefit of the holder or</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20"/>
          </w:cols>
          <w:pgMar w:left="320" w:top="451" w:right="5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1180" w:right="20"/>
        <w:spacing w:after="0" w:line="251" w:lineRule="auto"/>
        <w:rPr>
          <w:sz w:val="20"/>
          <w:szCs w:val="20"/>
          <w:color w:val="auto"/>
        </w:rPr>
      </w:pPr>
      <w:r>
        <w:rPr>
          <w:rFonts w:ascii="Times New Roman" w:cs="Times New Roman" w:eastAsia="Times New Roman" w:hAnsi="Times New Roman"/>
          <w:sz w:val="18"/>
          <w:szCs w:val="18"/>
          <w:color w:val="auto"/>
        </w:rPr>
        <w:t>an immediate family member of the holder, (iii) to any corporation, partnership, limited liability company, investment fund, trust or other entity of which the holder and the immediate family of the holder are the legal and beneficial owner of all of the outstanding equity securities or similar interests, or (iv) by will, other testamentary document or intestate succession to the legal representative, heir, beneficiary or an immediate family member of the holder; provided that in the case of any transfer or distribution pursuant to this clause</w:t>
      </w:r>
    </w:p>
    <w:p>
      <w:pPr>
        <w:spacing w:after="0" w:line="1" w:lineRule="exact"/>
        <w:rPr>
          <w:sz w:val="20"/>
          <w:szCs w:val="20"/>
          <w:color w:val="auto"/>
        </w:rPr>
      </w:pPr>
    </w:p>
    <w:p>
      <w:pPr>
        <w:jc w:val="both"/>
        <w:ind w:left="1180"/>
        <w:spacing w:after="0" w:line="247" w:lineRule="auto"/>
        <w:rPr>
          <w:sz w:val="20"/>
          <w:szCs w:val="20"/>
          <w:color w:val="auto"/>
        </w:rPr>
      </w:pPr>
      <w:r>
        <w:rPr>
          <w:rFonts w:ascii="Times New Roman" w:cs="Times New Roman" w:eastAsia="Times New Roman" w:hAnsi="Times New Roman"/>
          <w:sz w:val="18"/>
          <w:szCs w:val="18"/>
          <w:color w:val="auto"/>
        </w:rPr>
        <w:t>(2), (A) such transfer shall not involve a disposition for value, (B) each donee, distributee or transferee shall sign and deliver a lock-up agreement and (C) no public disclosure or filing shall be made voluntarily during the restricted period, and to the extent a filing under Section 16(a) of the Exchange Act is required during the restricted period as a result of transfers made pursuant to this clause (2), it shall clearly indicate that the filing relates to the circumstances described in this clause (2), including that the securities remain subject to the terms of the lock-up agreement;</w:t>
      </w:r>
    </w:p>
    <w:p>
      <w:pPr>
        <w:spacing w:after="0" w:line="95" w:lineRule="exact"/>
        <w:rPr>
          <w:sz w:val="20"/>
          <w:szCs w:val="20"/>
          <w:color w:val="auto"/>
        </w:rPr>
      </w:pPr>
    </w:p>
    <w:p>
      <w:pPr>
        <w:jc w:val="both"/>
        <w:ind w:left="1180" w:hanging="426"/>
        <w:spacing w:after="0" w:line="265" w:lineRule="auto"/>
        <w:tabs>
          <w:tab w:leader="none" w:pos="11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is a corporation, partnership, limited liability company, trust or other business entity, (i) transfers or distributions of shares of common stock or any security convertible into shares of common stock to current or former general or limited partners, managers or members, stockholders, other equityholders or direct or indirect affiliates (within the meaning of Rule 405 under the Securities Act) of the holder, or to the estates of any of the foregoing or (ii) transfers or distributions to any investment fund or other entity controlling, controlled by, managing or managed by or under common control with the holder or affiliates of the holder (including, for the avoidance of doubt, where the holder is a partnership, to its general partner or a successor partnership or fund, or any other funds managed by such partnership);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any transfer or distribution pursuant to this clause (3), (A) each transferee, donee or distributee shall sign and deliver a lock-up agreement, (B) no filing under Section 16(a) of the Exchange Act or other public announcement reporting a reduction in beneficial ownership of shares of common stock shall be required or shall be voluntarily made during the restricted period (other than a required filing on Schedule 13D, 13F or 13G) and (C) such transfer shall not involve a disposition for value;</w:t>
      </w:r>
    </w:p>
    <w:p>
      <w:pPr>
        <w:spacing w:after="0" w:line="80" w:lineRule="exact"/>
        <w:rPr>
          <w:rFonts w:ascii="Times New Roman" w:cs="Times New Roman" w:eastAsia="Times New Roman" w:hAnsi="Times New Roman"/>
          <w:sz w:val="17"/>
          <w:szCs w:val="17"/>
          <w:color w:val="auto"/>
        </w:rPr>
      </w:pPr>
    </w:p>
    <w:p>
      <w:pPr>
        <w:jc w:val="both"/>
        <w:ind w:left="1180" w:right="20" w:hanging="426"/>
        <w:spacing w:after="0" w:line="251" w:lineRule="auto"/>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or amendment of a trading plan on behalf of any of our stockholders, officers, or directors pursuant to Rule 10b5-1 under the Exchange Act for the transfer of shares of common stock, provided that (i) such plan does not provide for the transfer of shares of our common stock during the restricted period and (ii) to the extent a public announcement or filing under the Exchange Act, if any, is required of or voluntarily made by or on behalf of the holder or us regarding the establishment or amendment of such plan during the restricted period, such announcement or filing shall include a statement to the effect that no transfer of common stock may be made under such plan during the restricted period;</w:t>
      </w:r>
    </w:p>
    <w:p>
      <w:pPr>
        <w:spacing w:after="0" w:line="92" w:lineRule="exact"/>
        <w:rPr>
          <w:rFonts w:ascii="Times New Roman" w:cs="Times New Roman" w:eastAsia="Times New Roman" w:hAnsi="Times New Roman"/>
          <w:sz w:val="18"/>
          <w:szCs w:val="18"/>
          <w:color w:val="auto"/>
        </w:rPr>
      </w:pPr>
    </w:p>
    <w:p>
      <w:pPr>
        <w:jc w:val="both"/>
        <w:ind w:left="1180" w:right="20" w:hanging="426"/>
        <w:spacing w:after="0" w:line="249" w:lineRule="auto"/>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shares of common stock or any other securities to us to satisfy any tax, including estimated tax, remittance, or other payment obligations of the holder arising in connection with a vesting event of our securities, upon the settlement of restricted stock units or the payment due for the exercise of options (including a transfer to us for the “net” or “cashless” exercise of options) or other rights to purchase our securities, in all such cases pursuant to equity awards granted under our equity incentive plan or other equity award plan described in this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remaining shares of common stock or other securities received upon such vesting, settlement or exercise shall be subject to the terms of the lock-up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no public disclosure or filing shall be made voluntarily during the restricted period and, to the extent a filing under Section 16(a) of the Exchange Act is required during the restricted period as a result of transfers made pursuant to this clause (5), it shall clearly indicate that the filing relates to the circumstances described in this clause (5), including that the securities remain subject to the terms of the lock-up agreement;</w:t>
      </w:r>
    </w:p>
    <w:p>
      <w:pPr>
        <w:spacing w:after="0" w:line="94" w:lineRule="exact"/>
        <w:rPr>
          <w:rFonts w:ascii="Times New Roman" w:cs="Times New Roman" w:eastAsia="Times New Roman" w:hAnsi="Times New Roman"/>
          <w:sz w:val="18"/>
          <w:szCs w:val="18"/>
          <w:color w:val="auto"/>
        </w:rPr>
      </w:pPr>
    </w:p>
    <w:p>
      <w:pPr>
        <w:jc w:val="both"/>
        <w:ind w:left="1180" w:right="20" w:hanging="426"/>
        <w:spacing w:after="0" w:line="282" w:lineRule="auto"/>
        <w:tabs>
          <w:tab w:leader="none" w:pos="11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of shares of common stock or any other securities that occurs by operation of law pursuant to a qualified domestic order or other court order in connection with a divorce settlement, provided that (i) the transferee shall sign and deliver a lock- up agreement, (ii) no public disclosure or filing shall be voluntarily made during the restricted period and (iii) any filing required under Section 16(a) of the</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40"/>
          </w:cols>
          <w:pgMar w:left="320" w:top="451" w:right="5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1180"/>
        <w:spacing w:after="0" w:line="274" w:lineRule="auto"/>
        <w:rPr>
          <w:sz w:val="20"/>
          <w:szCs w:val="20"/>
          <w:color w:val="auto"/>
        </w:rPr>
      </w:pPr>
      <w:r>
        <w:rPr>
          <w:rFonts w:ascii="Times New Roman" w:cs="Times New Roman" w:eastAsia="Times New Roman" w:hAnsi="Times New Roman"/>
          <w:sz w:val="18"/>
          <w:szCs w:val="18"/>
          <w:color w:val="auto"/>
        </w:rPr>
        <w:t>Exchange Act during the restricted period shall clearly indicate in the footnotes thereto that the filing relates to the circumstances described in this clause (6);</w:t>
      </w:r>
    </w:p>
    <w:p>
      <w:pPr>
        <w:spacing w:after="0" w:line="71" w:lineRule="exact"/>
        <w:rPr>
          <w:sz w:val="20"/>
          <w:szCs w:val="20"/>
          <w:color w:val="auto"/>
        </w:rPr>
      </w:pPr>
    </w:p>
    <w:p>
      <w:pPr>
        <w:ind w:left="1180" w:hanging="426"/>
        <w:spacing w:after="0"/>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(A) from any of our employees upon death, disability or termination of employment, in each case, of such employee or</w:t>
      </w:r>
    </w:p>
    <w:p>
      <w:pPr>
        <w:spacing w:after="0" w:line="24" w:lineRule="exact"/>
        <w:rPr>
          <w:rFonts w:ascii="Times New Roman" w:cs="Times New Roman" w:eastAsia="Times New Roman" w:hAnsi="Times New Roman"/>
          <w:sz w:val="18"/>
          <w:szCs w:val="18"/>
          <w:color w:val="auto"/>
        </w:rPr>
      </w:pPr>
    </w:p>
    <w:p>
      <w:pPr>
        <w:jc w:val="both"/>
        <w:ind w:left="118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pursuant to any contractual arrangement described in this prospectus or in an exhibit filed with the registration statement related to this offering and disclosed to the Representatives that provides for the repurchase of shares of common stock in connection with the termination of the holder’s employment with or service to us; provided that in the case of clause (B), no public disclosure or filing under Section 16(a) of the Exchange Act shall be required or shall be voluntarily made during the restricted period within the first 75 days after the date of this prospectus, and after such 75th day, to the extent a filing under Section 16(a) of the Exchange Act is required during the restricted period as a result of transfers made pursuant to this clause (7), it shall clearly indicate that the filing relates to the circumstances described in this clause (7) and no public disclosure or filing shall be voluntarily made;</w:t>
      </w:r>
    </w:p>
    <w:p>
      <w:pPr>
        <w:spacing w:after="0" w:line="98" w:lineRule="exact"/>
        <w:rPr>
          <w:rFonts w:ascii="Times New Roman" w:cs="Times New Roman" w:eastAsia="Times New Roman" w:hAnsi="Times New Roman"/>
          <w:sz w:val="18"/>
          <w:szCs w:val="18"/>
          <w:color w:val="auto"/>
        </w:rPr>
      </w:pPr>
    </w:p>
    <w:p>
      <w:pPr>
        <w:ind w:left="1180" w:hanging="426"/>
        <w:spacing w:after="0" w:line="274" w:lineRule="auto"/>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our redeemable convertible preferred stock into shares of common stock as described in this prospectus, provided that, in each case such shares shall continue to be subject to the restrictions on transfer set forth in the lock-up agreement; or</w:t>
      </w:r>
    </w:p>
    <w:p>
      <w:pPr>
        <w:spacing w:after="0" w:line="70" w:lineRule="exact"/>
        <w:rPr>
          <w:rFonts w:ascii="Times New Roman" w:cs="Times New Roman" w:eastAsia="Times New Roman" w:hAnsi="Times New Roman"/>
          <w:sz w:val="18"/>
          <w:szCs w:val="18"/>
          <w:color w:val="auto"/>
        </w:rPr>
      </w:pPr>
    </w:p>
    <w:p>
      <w:pPr>
        <w:jc w:val="both"/>
        <w:ind w:left="1180" w:hanging="426"/>
        <w:spacing w:after="0" w:line="255" w:lineRule="auto"/>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other securities pursuant to a bona fide third- party tender offer, merger, consolidation or other similar transaction that is approved by our board of directors, made to all holders of common stock involving a change of control, provided that, in the event that the tender offer, merger, consolidation or other such transaction is not completed, the common stock owned by the holder shall remain subject to the restrictions contained in the lock-up agreement.</w:t>
      </w:r>
    </w:p>
    <w:p>
      <w:pPr>
        <w:spacing w:after="0" w:line="180"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Morgan Stanley &amp; Co. LLC and Goldman Sachs &amp; Co. LLC, in their sole discretion, may release the common stock and other securities subject to the lock-up agreements described above in whole or in part at any time.</w:t>
      </w:r>
    </w:p>
    <w:p>
      <w:pPr>
        <w:spacing w:after="0" w:line="163" w:lineRule="exact"/>
        <w:rPr>
          <w:sz w:val="20"/>
          <w:szCs w:val="20"/>
          <w:color w:val="auto"/>
        </w:rPr>
      </w:pPr>
    </w:p>
    <w:p>
      <w:pPr>
        <w:jc w:val="both"/>
        <w:ind w:left="220" w:firstLine="432"/>
        <w:spacing w:after="0" w:line="264" w:lineRule="auto"/>
        <w:rPr>
          <w:sz w:val="20"/>
          <w:szCs w:val="20"/>
          <w:color w:val="auto"/>
        </w:rPr>
      </w:pPr>
      <w:r>
        <w:rPr>
          <w:rFonts w:ascii="Times New Roman" w:cs="Times New Roman" w:eastAsia="Times New Roman" w:hAnsi="Times New Roman"/>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17"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20"/>
          </w:cols>
          <w:pgMar w:left="320" w:top="451" w:right="5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74" w:lineRule="auto"/>
        <w:rPr>
          <w:sz w:val="20"/>
          <w:szCs w:val="20"/>
          <w:color w:val="auto"/>
        </w:rPr>
      </w:pPr>
      <w:r>
        <w:rPr>
          <w:rFonts w:ascii="Times New Roman" w:cs="Times New Roman" w:eastAsia="Times New Roman" w:hAnsi="Times New Roman"/>
          <w:sz w:val="18"/>
          <w:szCs w:val="18"/>
          <w:color w:val="auto"/>
        </w:rPr>
        <w:t>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7"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8" w:lineRule="exact"/>
        <w:rPr>
          <w:sz w:val="20"/>
          <w:szCs w:val="20"/>
          <w:color w:val="auto"/>
        </w:rPr>
      </w:pPr>
    </w:p>
    <w:p>
      <w:pPr>
        <w:jc w:val="both"/>
        <w:ind w:left="220" w:firstLine="432"/>
        <w:spacing w:after="0" w:line="276"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20"/>
          </w:cols>
          <w:pgMar w:left="320" w:top="451" w:right="5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5"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EU Prospectus Regulation (as defined below), except that offers of shares may be made to the public in that Relevant State at any time under the following exemptions under the EU Prospectus Regulation:</w:t>
      </w:r>
    </w:p>
    <w:p>
      <w:pPr>
        <w:spacing w:after="0" w:line="93" w:lineRule="exact"/>
        <w:rPr>
          <w:sz w:val="20"/>
          <w:szCs w:val="20"/>
          <w:color w:val="auto"/>
        </w:rPr>
      </w:pPr>
    </w:p>
    <w:p>
      <w:pPr>
        <w:ind w:left="1180" w:hanging="538"/>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Regulation;</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EU Prospectus Regulation), subject to obtaining the prior consent of the representatives; or</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w:t>
      </w:r>
    </w:p>
    <w:p>
      <w:pPr>
        <w:spacing w:after="0" w:line="217" w:lineRule="exact"/>
        <w:rPr>
          <w:sz w:val="20"/>
          <w:szCs w:val="20"/>
          <w:color w:val="auto"/>
        </w:rPr>
      </w:pPr>
    </w:p>
    <w:p>
      <w:pPr>
        <w:jc w:val="both"/>
        <w:ind w:left="220" w:right="20"/>
        <w:spacing w:after="0" w:line="274" w:lineRule="auto"/>
        <w:rPr>
          <w:sz w:val="20"/>
          <w:szCs w:val="20"/>
          <w:color w:val="auto"/>
        </w:rPr>
      </w:pPr>
      <w:r>
        <w:rPr>
          <w:rFonts w:ascii="Times New Roman" w:cs="Times New Roman" w:eastAsia="Times New Roman" w:hAnsi="Times New Roman"/>
          <w:sz w:val="18"/>
          <w:szCs w:val="18"/>
          <w:color w:val="auto"/>
        </w:rPr>
        <w:t>provided that no such offer of the shares shall require us or any of the representatives to publish a prospectus pursuant to Article 3 of the EU Prospectus Regulation or supplement a prospectus pursuant to Article 23 of the EU Prospectus Regulation.</w:t>
      </w:r>
    </w:p>
    <w:p>
      <w:pPr>
        <w:spacing w:after="0" w:line="163"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any shares, and the expression “EU Prospectus Regulation” means Regulation (EU) 2017/1129 (as amended).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24" w:lineRule="exact"/>
        <w:rPr>
          <w:sz w:val="20"/>
          <w:szCs w:val="20"/>
          <w:color w:val="auto"/>
        </w:rPr>
      </w:pPr>
    </w:p>
    <w:p>
      <w:pPr>
        <w:jc w:val="both"/>
        <w:ind w:left="1180" w:right="20" w:hanging="538"/>
        <w:spacing w:after="0" w:line="255" w:lineRule="auto"/>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in circumstances in which Section 21(1) of the FSMA does not apply to us; and</w:t>
      </w:r>
    </w:p>
    <w:p>
      <w:pPr>
        <w:spacing w:after="0" w:line="87"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in, from or otherwise involving the United Kingdom.</w:t>
      </w:r>
    </w:p>
    <w:p>
      <w:pPr>
        <w:spacing w:after="0" w:line="163"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5" w:lineRule="exact"/>
        <w:rPr>
          <w:sz w:val="20"/>
          <w:szCs w:val="20"/>
          <w:color w:val="auto"/>
        </w:rPr>
      </w:pPr>
    </w:p>
    <w:p>
      <w:pPr>
        <w:ind w:left="1180" w:hanging="538"/>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 (as defined below);</w:t>
      </w:r>
    </w:p>
    <w:p>
      <w:pPr>
        <w:spacing w:after="0" w:line="124"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0" w:lineRule="exact"/>
        <w:rPr>
          <w:rFonts w:ascii="Times New Roman" w:cs="Times New Roman" w:eastAsia="Times New Roman" w:hAnsi="Times New Roman"/>
          <w:sz w:val="18"/>
          <w:szCs w:val="18"/>
          <w:color w:val="auto"/>
        </w:rPr>
      </w:pPr>
    </w:p>
    <w:p>
      <w:pPr>
        <w:ind w:left="1180" w:hanging="538"/>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17" w:lineRule="exact"/>
        <w:rPr>
          <w:sz w:val="20"/>
          <w:szCs w:val="20"/>
          <w:color w:val="auto"/>
        </w:rPr>
      </w:pPr>
    </w:p>
    <w:p>
      <w:pPr>
        <w:ind w:left="220" w:right="20"/>
        <w:spacing w:after="0" w:line="274" w:lineRule="auto"/>
        <w:rPr>
          <w:sz w:val="20"/>
          <w:szCs w:val="20"/>
          <w:color w:val="auto"/>
        </w:rPr>
      </w:pPr>
      <w:r>
        <w:rPr>
          <w:rFonts w:ascii="Times New Roman" w:cs="Times New Roman" w:eastAsia="Times New Roman" w:hAnsi="Times New Roman"/>
          <w:sz w:val="18"/>
          <w:szCs w:val="18"/>
          <w:color w:val="auto"/>
        </w:rPr>
        <w:t>provided that no such offer of the shares shall require us or any of the representatives to publish a prospectus pursuant to Section 85 of the FSMA or supplement a prospectus pursuant to Article 23 of the UK Prospectus Regulation.</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40"/>
          </w:cols>
          <w:pgMar w:left="320" w:top="451" w:right="5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This prospectus is only for distribution to and directed at: (i) in the United Kingdom, persons having professional experience in matters relating to investments falling within Article 19(5) of the Financial Services and Markets Act 2000 (Financial Promotion) Order 2005, as amended (the Order), and high net worth entities falling within Article 49(2)(a) to (d) of the Order; (ii) persons who are outside the United Kingdom; and (iii) any other person to whom it can otherwise be lawfully distributed (all such persons together, Relevant Persons). Any investment or investment activity to which this prospectus relates is available only to and will be engaged in only with Relevant Persons, and any person who is not a Relevant Person should not rely on it.</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shares of common stock have not been offered or sold and will not be offered or sold in Hong Kong, by means of any document, other than</w:t>
      </w:r>
    </w:p>
    <w:p>
      <w:pPr>
        <w:spacing w:after="0" w:line="36" w:lineRule="exact"/>
        <w:rPr>
          <w:sz w:val="20"/>
          <w:szCs w:val="20"/>
          <w:color w:val="auto"/>
        </w:rPr>
      </w:pPr>
    </w:p>
    <w:p>
      <w:pPr>
        <w:ind w:left="460" w:hanging="242"/>
        <w:spacing w:after="0"/>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“professional investors” as defined in the Securities and Futures Ordinance (Cap. 571) of Hong Kong and any rules made under that Ordinance or</w:t>
      </w:r>
    </w:p>
    <w:p>
      <w:pPr>
        <w:spacing w:after="0" w:line="16" w:lineRule="exact"/>
        <w:rPr>
          <w:rFonts w:ascii="Times New Roman" w:cs="Times New Roman" w:eastAsia="Times New Roman" w:hAnsi="Times New Roman"/>
          <w:sz w:val="17"/>
          <w:szCs w:val="17"/>
          <w:color w:val="auto"/>
        </w:rPr>
      </w:pPr>
    </w:p>
    <w:p>
      <w:pPr>
        <w:jc w:val="both"/>
        <w:ind w:left="220" w:hanging="2"/>
        <w:spacing w:after="0" w:line="264" w:lineRule="auto"/>
        <w:tabs>
          <w:tab w:leader="none" w:pos="47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5"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(as defined below)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20"/>
          </w:cols>
          <w:pgMar w:left="320" w:top="451" w:right="5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w:t>
      </w:r>
    </w:p>
    <w:p>
      <w:pPr>
        <w:spacing w:after="0" w:line="124" w:lineRule="exact"/>
        <w:rPr>
          <w:sz w:val="20"/>
          <w:szCs w:val="20"/>
          <w:color w:val="auto"/>
        </w:rPr>
      </w:pPr>
    </w:p>
    <w:p>
      <w:pPr>
        <w:ind w:left="1180" w:right="20" w:hanging="387"/>
        <w:spacing w:after="0" w:line="274" w:lineRule="auto"/>
        <w:tabs>
          <w:tab w:leader="none" w:pos="1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0" w:lineRule="exact"/>
        <w:rPr>
          <w:rFonts w:ascii="Times New Roman" w:cs="Times New Roman" w:eastAsia="Times New Roman" w:hAnsi="Times New Roman"/>
          <w:sz w:val="18"/>
          <w:szCs w:val="18"/>
          <w:color w:val="auto"/>
        </w:rPr>
      </w:pPr>
    </w:p>
    <w:p>
      <w:pPr>
        <w:ind w:left="1180" w:right="20" w:hanging="436"/>
        <w:spacing w:after="0" w:line="274" w:lineRule="auto"/>
        <w:tabs>
          <w:tab w:leader="none" w:pos="1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3" w:lineRule="exact"/>
        <w:rPr>
          <w:sz w:val="20"/>
          <w:szCs w:val="20"/>
          <w:color w:val="auto"/>
        </w:rPr>
      </w:pPr>
    </w:p>
    <w:p>
      <w:pPr>
        <w:jc w:val="both"/>
        <w:ind w:left="220" w:right="20"/>
        <w:spacing w:after="0" w:line="259"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5" w:lineRule="exact"/>
        <w:rPr>
          <w:sz w:val="20"/>
          <w:szCs w:val="20"/>
          <w:color w:val="auto"/>
        </w:rPr>
      </w:pPr>
    </w:p>
    <w:p>
      <w:pPr>
        <w:ind w:left="1180" w:hanging="416"/>
        <w:spacing w:after="0"/>
        <w:tabs>
          <w:tab w:leader="none" w:pos="11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or to a relevant person, or to any person arising from an offer referred to in Section 275(1A) or Section 276(4)(i)</w:t>
      </w:r>
    </w:p>
    <w:p>
      <w:pPr>
        <w:spacing w:after="0" w:line="35" w:lineRule="exact"/>
        <w:rPr>
          <w:rFonts w:ascii="Times New Roman" w:cs="Times New Roman" w:eastAsia="Times New Roman" w:hAnsi="Times New Roman"/>
          <w:sz w:val="17"/>
          <w:szCs w:val="17"/>
          <w:color w:val="auto"/>
        </w:rPr>
      </w:pP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the SFA;</w:t>
      </w:r>
    </w:p>
    <w:p>
      <w:pPr>
        <w:spacing w:after="0" w:line="104" w:lineRule="exact"/>
        <w:rPr>
          <w:rFonts w:ascii="Times New Roman" w:cs="Times New Roman" w:eastAsia="Times New Roman" w:hAnsi="Times New Roman"/>
          <w:sz w:val="17"/>
          <w:szCs w:val="17"/>
          <w:color w:val="auto"/>
        </w:rPr>
      </w:pPr>
    </w:p>
    <w:p>
      <w:pPr>
        <w:ind w:left="1180" w:hanging="426"/>
        <w:spacing w:after="0"/>
        <w:tabs>
          <w:tab w:leader="none" w:pos="1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24" w:lineRule="exact"/>
        <w:rPr>
          <w:rFonts w:ascii="Times New Roman" w:cs="Times New Roman" w:eastAsia="Times New Roman" w:hAnsi="Times New Roman"/>
          <w:sz w:val="18"/>
          <w:szCs w:val="18"/>
          <w:color w:val="auto"/>
        </w:rPr>
      </w:pPr>
    </w:p>
    <w:p>
      <w:pPr>
        <w:ind w:left="1180" w:hanging="416"/>
        <w:spacing w:after="0"/>
        <w:tabs>
          <w:tab w:leader="none" w:pos="1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24" w:lineRule="exact"/>
        <w:rPr>
          <w:rFonts w:ascii="Times New Roman" w:cs="Times New Roman" w:eastAsia="Times New Roman" w:hAnsi="Times New Roman"/>
          <w:sz w:val="18"/>
          <w:szCs w:val="18"/>
          <w:color w:val="auto"/>
        </w:rPr>
      </w:pPr>
    </w:p>
    <w:p>
      <w:pPr>
        <w:ind w:left="1180" w:hanging="426"/>
        <w:spacing w:after="0"/>
        <w:tabs>
          <w:tab w:leader="none" w:pos="1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3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15"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185"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Neither this prospectus nor any other offering or marketing material relating to us, the offering, or the shares have been or will be filed with or approved by any Swiss regulatory authority. In particular, this prospectus will not be filed with, and the offering of shares will not be supervised by, the Swiss Financial Market Supervisory Authority FINMA, and the offering of shares has not been and will not be authorized under the Swiss Federal Act on Collective Investment Schemes (the CISA). The investor protection afforded to acquirers of interests in collective investment schemes under the CISA does not extend to acquirers of the shares.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15" w:lineRule="exact"/>
        <w:rPr>
          <w:sz w:val="20"/>
          <w:szCs w:val="20"/>
          <w:color w:val="auto"/>
        </w:rPr>
      </w:pPr>
    </w:p>
    <w:p>
      <w:pPr>
        <w:jc w:val="both"/>
        <w:ind w:left="220" w:right="20" w:firstLine="432"/>
        <w:spacing w:after="0" w:line="269" w:lineRule="auto"/>
        <w:rPr>
          <w:sz w:val="20"/>
          <w:szCs w:val="20"/>
          <w:color w:val="auto"/>
        </w:rPr>
      </w:pPr>
      <w:r>
        <w:rPr>
          <w:rFonts w:ascii="Times New Roman" w:cs="Times New Roman" w:eastAsia="Times New Roman" w:hAnsi="Times New Roman"/>
          <w:sz w:val="17"/>
          <w:szCs w:val="17"/>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15"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40"/>
          </w:cols>
          <w:pgMar w:left="320" w:top="451" w:right="5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9" w:lineRule="auto"/>
        <w:rPr>
          <w:sz w:val="20"/>
          <w:szCs w:val="20"/>
          <w:color w:val="auto"/>
        </w:rPr>
      </w:pPr>
      <w:r>
        <w:rPr>
          <w:rFonts w:ascii="Times New Roman" w:cs="Times New Roman" w:eastAsia="Times New Roman" w:hAnsi="Times New Roman"/>
          <w:sz w:val="18"/>
          <w:szCs w:val="18"/>
          <w:color w:val="auto"/>
        </w:rPr>
        <w:t>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8"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shares must observe such Australian on-sale restrictions.</w:t>
      </w:r>
    </w:p>
    <w:p>
      <w:pPr>
        <w:spacing w:after="0" w:line="180"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1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shares of common stock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7" w:lineRule="exact"/>
        <w:rPr>
          <w:sz w:val="20"/>
          <w:szCs w:val="20"/>
          <w:color w:val="auto"/>
        </w:rPr>
      </w:pPr>
    </w:p>
    <w:p>
      <w:pPr>
        <w:jc w:val="both"/>
        <w:ind w:left="220" w:firstLine="432"/>
        <w:spacing w:after="0" w:line="265" w:lineRule="auto"/>
        <w:rPr>
          <w:sz w:val="20"/>
          <w:szCs w:val="20"/>
          <w:color w:val="auto"/>
        </w:rPr>
      </w:pPr>
      <w:r>
        <w:rPr>
          <w:rFonts w:ascii="Times New Roman" w:cs="Times New Roman" w:eastAsia="Times New Roman" w:hAnsi="Times New Roman"/>
          <w:sz w:val="17"/>
          <w:szCs w:val="17"/>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20"/>
          </w:cols>
          <w:pgMar w:left="320" w:top="451" w:right="5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Latham &amp; Watkins LLP, San Diego, California. The underwriters are being represented by Cooley LLP, San Diego, California.</w:t>
      </w:r>
    </w:p>
    <w:p>
      <w:pPr>
        <w:spacing w:after="0" w:line="3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3" w:lineRule="exact"/>
        <w:rPr>
          <w:sz w:val="20"/>
          <w:szCs w:val="20"/>
          <w:color w:val="auto"/>
        </w:rPr>
      </w:pPr>
    </w:p>
    <w:p>
      <w:pPr>
        <w:jc w:val="both"/>
        <w:ind w:left="220" w:firstLine="432"/>
        <w:spacing w:after="0" w:line="282" w:lineRule="auto"/>
        <w:rPr>
          <w:sz w:val="20"/>
          <w:szCs w:val="20"/>
          <w:color w:val="auto"/>
        </w:rPr>
      </w:pPr>
      <w:r>
        <w:rPr>
          <w:rFonts w:ascii="Times New Roman" w:cs="Times New Roman" w:eastAsia="Times New Roman" w:hAnsi="Times New Roman"/>
          <w:sz w:val="17"/>
          <w:szCs w:val="17"/>
          <w:color w:val="auto"/>
        </w:rPr>
        <w:t>Ernst &amp; Young LLP, independent registered public accounting firm, has audited our financial statements at December 31, 2021 and 2022, and for each of the two years in the period ended December 31, 2022, as set forth in their report. We’ve included our financial statements in the prospectus and elsewhere in the registration statement in reliance on Ernst &amp; Young LLP’s report, given on their authority as experts in accounting and auditing.</w:t>
      </w:r>
    </w:p>
    <w:p>
      <w:pPr>
        <w:spacing w:after="0" w:line="3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1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85"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We are not currently subject to the information and periodic and current reporting requirements of the Exchange Act. Upon the closing of this offering, we will become subject to the information and periodic and current reporting requirements of the Exchange Act and, in accordance therewith, will file periodic reports, proxy statements and other information with the SEC. The SEC maintains a website at www.sec.gov that contains reports, proxy statements and other information regarding companies that file electronically with it. Our periodic and current reports, proxy statements and other information will be available at www.sec.gov.</w:t>
      </w:r>
    </w:p>
    <w:p>
      <w:pPr>
        <w:spacing w:after="0" w:line="185"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also maintain a website at https://cgoncology.com. Upon the closing of this offering, you may access our proxy statements,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 We have included our website address in this prospectus solely as an inactive textual reference.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20"/>
          </w:cols>
          <w:pgMar w:left="320" w:top="451" w:right="5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4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7"/>
              </w:rPr>
              <w:t>Report of Independent Registered Public Accounting Firm</w:t>
            </w:r>
          </w:p>
        </w:tc>
        <w:tc>
          <w:tcPr>
            <w:tcW w:w="6340" w:type="dxa"/>
            <w:vAlign w:val="bottom"/>
            <w:gridSpan w:val="4"/>
            <w:vMerge w:val="restart"/>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0000EE"/>
            </w:tcBorders>
            <w:gridSpan w:val="3"/>
            <w:vMerge w:val="continue"/>
          </w:tcPr>
          <w:p>
            <w:pPr>
              <w:spacing w:after="0"/>
              <w:rPr>
                <w:sz w:val="14"/>
                <w:szCs w:val="14"/>
                <w:color w:val="auto"/>
              </w:rPr>
            </w:pPr>
          </w:p>
        </w:tc>
        <w:tc>
          <w:tcPr>
            <w:tcW w:w="6340" w:type="dxa"/>
            <w:vAlign w:val="bottom"/>
            <w:gridSpan w:val="4"/>
            <w:vMerge w:val="continue"/>
          </w:tcPr>
          <w:p>
            <w:pPr>
              <w:spacing w:after="0"/>
              <w:rPr>
                <w:sz w:val="14"/>
                <w:szCs w:val="14"/>
                <w:color w:val="auto"/>
              </w:rPr>
            </w:pPr>
          </w:p>
        </w:tc>
        <w:tc>
          <w:tcPr>
            <w:tcW w:w="320" w:type="dxa"/>
            <w:vAlign w:val="bottom"/>
          </w:tcPr>
          <w:p>
            <w:pPr>
              <w:ind w:left="40"/>
              <w:spacing w:after="0" w:line="165"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2"/>
        </w:trPr>
        <w:tc>
          <w:tcPr>
            <w:tcW w:w="10480" w:type="dxa"/>
            <w:vAlign w:val="bottom"/>
            <w:gridSpan w:val="7"/>
          </w:tcPr>
          <w:p>
            <w:pPr>
              <w:spacing w:after="0" w:line="192" w:lineRule="exact"/>
              <w:rPr>
                <w:sz w:val="20"/>
                <w:szCs w:val="20"/>
                <w:color w:val="auto"/>
              </w:rPr>
            </w:pPr>
            <w:r>
              <w:rPr>
                <w:rFonts w:ascii="Times New Roman" w:cs="Times New Roman" w:eastAsia="Times New Roman" w:hAnsi="Times New Roman"/>
                <w:sz w:val="18"/>
                <w:szCs w:val="18"/>
                <w:color w:val="0000EE"/>
              </w:rPr>
              <w:t>Balance Sheets as of December 31, 2021 and 2022</w:t>
            </w:r>
          </w:p>
        </w:tc>
        <w:tc>
          <w:tcPr>
            <w:tcW w:w="320" w:type="dxa"/>
            <w:vAlign w:val="bottom"/>
          </w:tcPr>
          <w:p>
            <w:pPr>
              <w:ind w:left="40"/>
              <w:spacing w:after="0" w:line="192"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2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40" w:type="dxa"/>
            <w:vAlign w:val="bottom"/>
            <w:tcBorders>
              <w:bottom w:val="single" w:sz="8" w:color="0000EE"/>
            </w:tcBorders>
            <w:gridSpan w:val="5"/>
          </w:tcPr>
          <w:p>
            <w:pPr>
              <w:spacing w:after="0" w:line="192" w:lineRule="exact"/>
              <w:rPr>
                <w:sz w:val="20"/>
                <w:szCs w:val="20"/>
                <w:color w:val="auto"/>
              </w:rPr>
            </w:pPr>
            <w:r>
              <w:rPr>
                <w:rFonts w:ascii="Times New Roman" w:cs="Times New Roman" w:eastAsia="Times New Roman" w:hAnsi="Times New Roman"/>
                <w:sz w:val="18"/>
                <w:szCs w:val="18"/>
                <w:color w:val="0000EE"/>
                <w:w w:val="97"/>
              </w:rPr>
              <w:t>Statements of Operations and Comprehensive Loss for the years ended December 31, 2021 and 2022</w:t>
            </w:r>
          </w:p>
        </w:tc>
        <w:tc>
          <w:tcPr>
            <w:tcW w:w="3340" w:type="dxa"/>
            <w:vAlign w:val="bottom"/>
            <w:gridSpan w:val="2"/>
          </w:tcPr>
          <w:p>
            <w:pPr>
              <w:spacing w:after="0"/>
              <w:rPr>
                <w:sz w:val="16"/>
                <w:szCs w:val="16"/>
                <w:color w:val="auto"/>
              </w:rPr>
            </w:pPr>
          </w:p>
        </w:tc>
        <w:tc>
          <w:tcPr>
            <w:tcW w:w="320" w:type="dxa"/>
            <w:vAlign w:val="bottom"/>
          </w:tcPr>
          <w:p>
            <w:pPr>
              <w:ind w:left="40"/>
              <w:spacing w:after="0" w:line="192"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2"/>
        </w:trPr>
        <w:tc>
          <w:tcPr>
            <w:tcW w:w="9280" w:type="dxa"/>
            <w:vAlign w:val="bottom"/>
            <w:tcBorders>
              <w:bottom w:val="single" w:sz="8" w:color="0000EE"/>
            </w:tcBorders>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97"/>
              </w:rPr>
              <w:t>Statements of Redeemable Convertible Preferred Stock and Stockholders’ Deficit for the years ended December 31, 2021 and 2022</w:t>
            </w:r>
          </w:p>
        </w:tc>
        <w:tc>
          <w:tcPr>
            <w:tcW w:w="1200" w:type="dxa"/>
            <w:vAlign w:val="bottom"/>
          </w:tcPr>
          <w:p>
            <w:pPr>
              <w:spacing w:after="0"/>
              <w:rPr>
                <w:sz w:val="16"/>
                <w:szCs w:val="16"/>
                <w:color w:val="auto"/>
              </w:rPr>
            </w:pPr>
          </w:p>
        </w:tc>
        <w:tc>
          <w:tcPr>
            <w:tcW w:w="320" w:type="dxa"/>
            <w:vAlign w:val="bottom"/>
          </w:tcPr>
          <w:p>
            <w:pPr>
              <w:ind w:left="40"/>
              <w:spacing w:after="0" w:line="192"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2"/>
        </w:trPr>
        <w:tc>
          <w:tcPr>
            <w:tcW w:w="10480" w:type="dxa"/>
            <w:vAlign w:val="bottom"/>
            <w:gridSpan w:val="7"/>
          </w:tcPr>
          <w:p>
            <w:pPr>
              <w:spacing w:after="0" w:line="192"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2021 and 2022</w:t>
            </w:r>
          </w:p>
        </w:tc>
        <w:tc>
          <w:tcPr>
            <w:tcW w:w="320" w:type="dxa"/>
            <w:vAlign w:val="bottom"/>
          </w:tcPr>
          <w:p>
            <w:pPr>
              <w:ind w:left="40"/>
              <w:spacing w:after="0" w:line="192"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2"/>
        </w:trPr>
        <w:tc>
          <w:tcPr>
            <w:tcW w:w="5400" w:type="dxa"/>
            <w:vAlign w:val="bottom"/>
            <w:tcBorders>
              <w:top w:val="single" w:sz="8" w:color="0000EE"/>
            </w:tcBorders>
            <w:gridSpan w:val="4"/>
          </w:tcPr>
          <w:p>
            <w:pPr>
              <w:spacing w:after="0" w:line="192"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5080" w:type="dxa"/>
            <w:vAlign w:val="bottom"/>
            <w:gridSpan w:val="3"/>
          </w:tcPr>
          <w:p>
            <w:pPr>
              <w:spacing w:after="0"/>
              <w:rPr>
                <w:sz w:val="16"/>
                <w:szCs w:val="16"/>
                <w:color w:val="auto"/>
              </w:rPr>
            </w:pPr>
          </w:p>
        </w:tc>
        <w:tc>
          <w:tcPr>
            <w:tcW w:w="320" w:type="dxa"/>
            <w:vAlign w:val="bottom"/>
          </w:tcPr>
          <w:p>
            <w:pPr>
              <w:ind w:left="40"/>
              <w:spacing w:after="0" w:line="192"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78"/>
        </w:trPr>
        <w:tc>
          <w:tcPr>
            <w:tcW w:w="212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4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1" w:right="5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 the Stockholders and the Board of Directors of CG Oncology, Inc.</w:t>
      </w: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3"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balance sheets of CG Oncology, Inc. (the Company) as of December 31, 2021 and 2022, the related statements of operations and comprehensive loss, redeemable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2021 and 2022, and the results of its operations and its cash flows for the years then ended in conformity with U.S. generally accepted accounting principles.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3"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October 27, 2023</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20"/>
          </w:cols>
          <w:pgMar w:left="320" w:top="451" w:right="5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8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8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8100" w:type="dxa"/>
            <w:vAlign w:val="bottom"/>
          </w:tcPr>
          <w:p>
            <w:pPr>
              <w:spacing w:after="0"/>
              <w:rPr>
                <w:sz w:val="12"/>
                <w:szCs w:val="12"/>
                <w:color w:val="auto"/>
              </w:rPr>
            </w:pPr>
          </w:p>
        </w:tc>
        <w:tc>
          <w:tcPr>
            <w:tcW w:w="220" w:type="dxa"/>
            <w:vAlign w:val="bottom"/>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2021       </w:t>
            </w:r>
          </w:p>
        </w:tc>
        <w:tc>
          <w:tcPr>
            <w:tcW w:w="1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37"/>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100" w:type="dxa"/>
            <w:vAlign w:val="bottom"/>
          </w:tcPr>
          <w:p>
            <w:pPr>
              <w:spacing w:after="0"/>
              <w:rPr>
                <w:sz w:val="12"/>
                <w:szCs w:val="12"/>
                <w:color w:val="auto"/>
              </w:rPr>
            </w:pPr>
          </w:p>
        </w:tc>
      </w:tr>
      <w:tr>
        <w:trPr>
          <w:trHeight w:val="192"/>
        </w:trPr>
        <w:tc>
          <w:tcPr>
            <w:tcW w:w="81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9"/>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53,607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88,143</w:t>
            </w:r>
          </w:p>
        </w:tc>
      </w:tr>
      <w:tr>
        <w:trPr>
          <w:trHeight w:val="199"/>
        </w:trPr>
        <w:tc>
          <w:tcPr>
            <w:tcW w:w="8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55,338</w:t>
            </w:r>
          </w:p>
        </w:tc>
      </w:tr>
      <w:tr>
        <w:trPr>
          <w:trHeight w:val="199"/>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4,798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3,424</w:t>
            </w:r>
          </w:p>
        </w:tc>
      </w:tr>
      <w:tr>
        <w:trPr>
          <w:trHeight w:val="205"/>
        </w:trPr>
        <w:tc>
          <w:tcPr>
            <w:tcW w:w="8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receivables</w:t>
            </w: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Pr>
          <w:p>
            <w:pPr>
              <w:spacing w:after="0"/>
              <w:rPr>
                <w:sz w:val="17"/>
                <w:szCs w:val="17"/>
                <w:color w:val="auto"/>
              </w:rPr>
            </w:pPr>
          </w:p>
        </w:tc>
      </w:tr>
      <w:tr>
        <w:trPr>
          <w:trHeight w:val="199"/>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58,407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147,208</w:t>
            </w:r>
          </w:p>
        </w:tc>
      </w:tr>
      <w:tr>
        <w:trPr>
          <w:trHeight w:val="199"/>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w:t>
            </w:r>
          </w:p>
        </w:tc>
      </w:tr>
      <w:tr>
        <w:trPr>
          <w:trHeight w:val="19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420</w:t>
            </w:r>
          </w:p>
        </w:tc>
      </w:tr>
      <w:tr>
        <w:trPr>
          <w:trHeight w:val="205"/>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7"/>
                <w:szCs w:val="17"/>
                <w:color w:val="auto"/>
              </w:rPr>
            </w:pPr>
          </w:p>
        </w:tc>
      </w:tr>
      <w:tr>
        <w:trPr>
          <w:trHeight w:val="199"/>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4"/>
              </w:rPr>
              <w:t>     58,692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147,747</w:t>
            </w:r>
          </w:p>
        </w:tc>
      </w:tr>
      <w:tr>
        <w:trPr>
          <w:trHeight w:val="204"/>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Liabilities, Redeemable Convertible Preferred Stock and Stockholders’ Deficit</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985</w:t>
            </w:r>
          </w:p>
        </w:tc>
      </w:tr>
      <w:tr>
        <w:trPr>
          <w:trHeight w:val="199"/>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Long-term debt, current portion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2,943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8,966</w:t>
            </w:r>
          </w:p>
        </w:tc>
      </w:tr>
      <w:tr>
        <w:trPr>
          <w:trHeight w:val="199"/>
        </w:trPr>
        <w:tc>
          <w:tcPr>
            <w:tcW w:w="8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w:t>
            </w:r>
          </w:p>
        </w:tc>
      </w:tr>
      <w:tr>
        <w:trPr>
          <w:trHeight w:val="199"/>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5,289</w:t>
            </w:r>
          </w:p>
        </w:tc>
      </w:tr>
      <w:tr>
        <w:trPr>
          <w:trHeight w:val="212"/>
        </w:trPr>
        <w:tc>
          <w:tcPr>
            <w:tcW w:w="8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15,429</w:t>
            </w:r>
          </w:p>
        </w:tc>
        <w:tc>
          <w:tcPr>
            <w:tcW w:w="100" w:type="dxa"/>
            <w:vAlign w:val="bottom"/>
          </w:tcPr>
          <w:p>
            <w:pPr>
              <w:spacing w:after="0"/>
              <w:rPr>
                <w:sz w:val="18"/>
                <w:szCs w:val="18"/>
                <w:color w:val="auto"/>
              </w:rPr>
            </w:pPr>
          </w:p>
        </w:tc>
      </w:tr>
      <w:tr>
        <w:trPr>
          <w:trHeight w:val="19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12,064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6,532</w:t>
            </w:r>
          </w:p>
        </w:tc>
      </w:tr>
      <w:tr>
        <w:trPr>
          <w:trHeight w:val="199"/>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Success fee liability, non-current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352</w:t>
            </w:r>
          </w:p>
        </w:tc>
      </w:tr>
      <w:tr>
        <w:trPr>
          <w:trHeight w:val="19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257</w:t>
            </w:r>
          </w:p>
        </w:tc>
      </w:tr>
      <w:tr>
        <w:trPr>
          <w:trHeight w:val="212"/>
        </w:trPr>
        <w:tc>
          <w:tcPr>
            <w:tcW w:w="8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22,570</w:t>
            </w:r>
          </w:p>
        </w:tc>
        <w:tc>
          <w:tcPr>
            <w:tcW w:w="100" w:type="dxa"/>
            <w:vAlign w:val="bottom"/>
          </w:tcPr>
          <w:p>
            <w:pPr>
              <w:spacing w:after="0"/>
              <w:rPr>
                <w:sz w:val="18"/>
                <w:szCs w:val="18"/>
                <w:color w:val="auto"/>
              </w:rPr>
            </w:pPr>
          </w:p>
        </w:tc>
      </w:tr>
      <w:tr>
        <w:trPr>
          <w:trHeight w:val="19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Redeemable convertible preferred stock: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7"/>
        </w:trPr>
        <w:tc>
          <w:tcPr>
            <w:tcW w:w="8100" w:type="dxa"/>
            <w:vAlign w:val="bottom"/>
            <w:shd w:val="clear" w:color="auto" w:fill="CCEEFF"/>
          </w:tcPr>
          <w:p>
            <w:pPr>
              <w:ind w:left="340"/>
              <w:spacing w:after="0" w:line="177" w:lineRule="exact"/>
              <w:rPr>
                <w:sz w:val="20"/>
                <w:szCs w:val="20"/>
                <w:color w:val="auto"/>
              </w:rPr>
            </w:pPr>
            <w:r>
              <w:rPr>
                <w:rFonts w:ascii="Times New Roman" w:cs="Times New Roman" w:eastAsia="Times New Roman" w:hAnsi="Times New Roman"/>
                <w:sz w:val="17"/>
                <w:szCs w:val="17"/>
                <w:color w:val="auto"/>
              </w:rPr>
              <w:t>Series A-1 redeemable convertible preferred stock, $0.0001 par value per share; 5,075,000 shares authorized,</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9"/>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issued and outstanding as of December 31, 2021 and 2022; liquidation value of $3,570 as of December 31,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2021 and 2022.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3,570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3,570</w:t>
            </w:r>
          </w:p>
        </w:tc>
      </w:tr>
      <w:tr>
        <w:trPr>
          <w:trHeight w:val="177"/>
        </w:trPr>
        <w:tc>
          <w:tcPr>
            <w:tcW w:w="8100" w:type="dxa"/>
            <w:vAlign w:val="bottom"/>
          </w:tcPr>
          <w:p>
            <w:pPr>
              <w:ind w:left="340"/>
              <w:spacing w:after="0" w:line="177" w:lineRule="exact"/>
              <w:rPr>
                <w:sz w:val="20"/>
                <w:szCs w:val="20"/>
                <w:color w:val="auto"/>
              </w:rPr>
            </w:pPr>
            <w:r>
              <w:rPr>
                <w:rFonts w:ascii="Times New Roman" w:cs="Times New Roman" w:eastAsia="Times New Roman" w:hAnsi="Times New Roman"/>
                <w:sz w:val="17"/>
                <w:szCs w:val="17"/>
                <w:color w:val="auto"/>
              </w:rPr>
              <w:t>Series B redeemable convertible preferred stock, $0.0001 par value per share; 11,973,000 shares authorized,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9"/>
        </w:trPr>
        <w:tc>
          <w:tcPr>
            <w:tcW w:w="8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issued and outstanding as of December 31, 2021 and 2022; liquidation value of $10,000 as of December 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8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2021 and 2022.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179"/>
        </w:trPr>
        <w:tc>
          <w:tcPr>
            <w:tcW w:w="8100" w:type="dxa"/>
            <w:vAlign w:val="bottom"/>
            <w:shd w:val="clear" w:color="auto" w:fill="CCEEFF"/>
          </w:tcPr>
          <w:p>
            <w:pPr>
              <w:ind w:left="340"/>
              <w:spacing w:after="0" w:line="179" w:lineRule="exact"/>
              <w:rPr>
                <w:sz w:val="20"/>
                <w:szCs w:val="20"/>
                <w:color w:val="auto"/>
              </w:rPr>
            </w:pPr>
            <w:r>
              <w:rPr>
                <w:rFonts w:ascii="Times New Roman" w:cs="Times New Roman" w:eastAsia="Times New Roman" w:hAnsi="Times New Roman"/>
                <w:sz w:val="17"/>
                <w:szCs w:val="17"/>
                <w:color w:val="auto"/>
              </w:rPr>
              <w:t>Series C redeemable convertible preferred stock, $0.0001 par value per share; 73,598,283 shares authorized,</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9"/>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issued and outstanding of December 31, 2021 and 2022; liquidation value of $22,000 as of December 31,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2021 and 2022.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22,000</w:t>
            </w:r>
          </w:p>
        </w:tc>
      </w:tr>
      <w:tr>
        <w:trPr>
          <w:trHeight w:val="177"/>
        </w:trPr>
        <w:tc>
          <w:tcPr>
            <w:tcW w:w="8100" w:type="dxa"/>
            <w:vAlign w:val="bottom"/>
          </w:tcPr>
          <w:p>
            <w:pPr>
              <w:ind w:left="340"/>
              <w:spacing w:after="0" w:line="177" w:lineRule="exact"/>
              <w:rPr>
                <w:sz w:val="20"/>
                <w:szCs w:val="20"/>
                <w:color w:val="auto"/>
              </w:rPr>
            </w:pPr>
            <w:r>
              <w:rPr>
                <w:rFonts w:ascii="Times New Roman" w:cs="Times New Roman" w:eastAsia="Times New Roman" w:hAnsi="Times New Roman"/>
                <w:sz w:val="17"/>
                <w:szCs w:val="17"/>
                <w:color w:val="auto"/>
              </w:rPr>
              <w:t>Series D redeemable convertible preferred stock, $0.0001 par value per share; 53,271,754 shares authorized,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9"/>
        </w:trPr>
        <w:tc>
          <w:tcPr>
            <w:tcW w:w="8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issued and outstanding as of December 31, 2021 and 2022; liquidation value of $47,300 as of December 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8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2021 and 2022.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47,300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47,300</w:t>
            </w:r>
          </w:p>
        </w:tc>
      </w:tr>
      <w:tr>
        <w:trPr>
          <w:trHeight w:val="179"/>
        </w:trPr>
        <w:tc>
          <w:tcPr>
            <w:tcW w:w="8100" w:type="dxa"/>
            <w:vAlign w:val="bottom"/>
            <w:shd w:val="clear" w:color="auto" w:fill="CCEEFF"/>
          </w:tcPr>
          <w:p>
            <w:pPr>
              <w:ind w:left="340"/>
              <w:spacing w:after="0" w:line="179" w:lineRule="exact"/>
              <w:rPr>
                <w:sz w:val="20"/>
                <w:szCs w:val="20"/>
                <w:color w:val="auto"/>
              </w:rPr>
            </w:pPr>
            <w:r>
              <w:rPr>
                <w:rFonts w:ascii="Times New Roman" w:cs="Times New Roman" w:eastAsia="Times New Roman" w:hAnsi="Times New Roman"/>
                <w:sz w:val="17"/>
                <w:szCs w:val="17"/>
                <w:color w:val="auto"/>
              </w:rPr>
              <w:t>Series E redeemable convertible preferred stock, $0.0001 par value per share; zero and 112,422,700 shares</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9"/>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authorized, issued and outstanding as of December 31, 2021 and 2022, respectively; liquidation value of zero</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and $120,000 as of December 31, 2021 and 2022, respectively.</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120,000</w:t>
            </w:r>
          </w:p>
        </w:tc>
      </w:tr>
      <w:tr>
        <w:trPr>
          <w:trHeight w:val="199"/>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7"/>
        </w:trPr>
        <w:tc>
          <w:tcPr>
            <w:tcW w:w="8100" w:type="dxa"/>
            <w:vAlign w:val="bottom"/>
            <w:shd w:val="clear" w:color="auto" w:fill="CCEEFF"/>
          </w:tcPr>
          <w:p>
            <w:pPr>
              <w:ind w:left="340"/>
              <w:spacing w:after="0" w:line="177" w:lineRule="exact"/>
              <w:rPr>
                <w:sz w:val="20"/>
                <w:szCs w:val="20"/>
                <w:color w:val="auto"/>
              </w:rPr>
            </w:pPr>
            <w:r>
              <w:rPr>
                <w:rFonts w:ascii="Times New Roman" w:cs="Times New Roman" w:eastAsia="Times New Roman" w:hAnsi="Times New Roman"/>
                <w:sz w:val="17"/>
                <w:szCs w:val="17"/>
                <w:color w:val="auto"/>
              </w:rPr>
              <w:t>Common stock, $0.001 par value per share; 263,000,000 and 393,500,000 shares authorized as of December 31,</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9"/>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2021 and 2022, respectively; 35,408,988 and 36,640,092 shares issued and outstanding at December 31, 2021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and 2022, respectively.</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r>
      <w:tr>
        <w:trPr>
          <w:trHeight w:val="199"/>
        </w:trPr>
        <w:tc>
          <w:tcPr>
            <w:tcW w:w="8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3,271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3,638</w:t>
            </w:r>
          </w:p>
        </w:tc>
      </w:tr>
      <w:tr>
        <w:trPr>
          <w:trHeight w:val="199"/>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(45,892)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(81,335)</w:t>
            </w:r>
          </w:p>
        </w:tc>
      </w:tr>
      <w:tr>
        <w:trPr>
          <w:trHeight w:val="212"/>
        </w:trPr>
        <w:tc>
          <w:tcPr>
            <w:tcW w:w="8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(77,693)</w:t>
            </w:r>
          </w:p>
        </w:tc>
        <w:tc>
          <w:tcPr>
            <w:tcW w:w="100" w:type="dxa"/>
            <w:vAlign w:val="bottom"/>
          </w:tcPr>
          <w:p>
            <w:pPr>
              <w:spacing w:after="0"/>
              <w:rPr>
                <w:sz w:val="18"/>
                <w:szCs w:val="18"/>
                <w:color w:val="auto"/>
              </w:rPr>
            </w:pPr>
          </w:p>
        </w:tc>
      </w:tr>
      <w:tr>
        <w:trPr>
          <w:trHeight w:val="199"/>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liabilities, redeemable convertible preferred stock and stockholders’ deficit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58,692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147,747</w:t>
            </w:r>
          </w:p>
        </w:tc>
      </w:tr>
      <w:tr>
        <w:trPr>
          <w:trHeight w:val="20"/>
        </w:trPr>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1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20"/>
          </w:cols>
          <w:pgMar w:left="320" w:top="451" w:right="5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8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9"/>
        </w:trPr>
        <w:tc>
          <w:tcPr>
            <w:tcW w:w="8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2"/>
        </w:trPr>
        <w:tc>
          <w:tcPr>
            <w:tcW w:w="80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collaboration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620" w:type="dxa"/>
            <w:vAlign w:val="bottom"/>
            <w:gridSpan w:val="2"/>
          </w:tcPr>
          <w:p>
            <w:pPr>
              <w:jc w:val="right"/>
              <w:ind w:right="820"/>
              <w:spacing w:after="0"/>
              <w:rPr>
                <w:sz w:val="20"/>
                <w:szCs w:val="20"/>
                <w:color w:val="auto"/>
              </w:rPr>
            </w:pPr>
            <w:r>
              <w:rPr>
                <w:rFonts w:ascii="Times New Roman" w:cs="Times New Roman" w:eastAsia="Times New Roman" w:hAnsi="Times New Roman"/>
                <w:sz w:val="19"/>
                <w:szCs w:val="19"/>
                <w:color w:val="auto"/>
              </w:rPr>
              <w:t>10,358</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191</w:t>
            </w:r>
          </w:p>
        </w:tc>
      </w:tr>
      <w:tr>
        <w:trPr>
          <w:trHeight w:val="21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18,319</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29,029</w:t>
            </w:r>
          </w:p>
        </w:tc>
      </w:tr>
      <w:tr>
        <w:trPr>
          <w:trHeight w:val="212"/>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6,408</w:t>
            </w:r>
          </w:p>
        </w:tc>
      </w:tr>
      <w:tr>
        <w:trPr>
          <w:trHeight w:val="225"/>
        </w:trPr>
        <w:tc>
          <w:tcPr>
            <w:tcW w:w="8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35,437</w:t>
            </w:r>
          </w:p>
        </w:tc>
        <w:tc>
          <w:tcPr>
            <w:tcW w:w="100" w:type="dxa"/>
            <w:vAlign w:val="bottom"/>
          </w:tcPr>
          <w:p>
            <w:pPr>
              <w:spacing w:after="0"/>
              <w:rPr>
                <w:sz w:val="19"/>
                <w:szCs w:val="19"/>
                <w:color w:val="auto"/>
              </w:rPr>
            </w:pPr>
          </w:p>
        </w:tc>
      </w:tr>
      <w:tr>
        <w:trPr>
          <w:trHeight w:val="21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(12,606)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(35,246)</w:t>
            </w:r>
          </w:p>
        </w:tc>
      </w:tr>
      <w:tr>
        <w:trPr>
          <w:trHeight w:val="21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8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r>
      <w:tr>
        <w:trPr>
          <w:trHeight w:val="218"/>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100" w:type="dxa"/>
            <w:vAlign w:val="bottom"/>
          </w:tcPr>
          <w:p>
            <w:pPr>
              <w:spacing w:after="0"/>
              <w:rPr>
                <w:sz w:val="19"/>
                <w:szCs w:val="19"/>
                <w:color w:val="auto"/>
              </w:rPr>
            </w:pPr>
          </w:p>
        </w:tc>
      </w:tr>
      <w:tr>
        <w:trPr>
          <w:trHeight w:val="212"/>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Deemed dividend on redeemable convertible preferred stock issuances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r>
      <w:tr>
        <w:trPr>
          <w:trHeight w:val="212"/>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 redeemable convertible preferred stock dividends</w:t>
            </w:r>
          </w:p>
        </w:tc>
        <w:tc>
          <w:tcPr>
            <w:tcW w:w="10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(7,871)</w:t>
            </w:r>
          </w:p>
        </w:tc>
      </w:tr>
      <w:tr>
        <w:trPr>
          <w:trHeight w:val="27"/>
        </w:trPr>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9"/>
                <w:szCs w:val="19"/>
                <w:color w:val="auto"/>
              </w:rPr>
              <w:t>(18,383)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9"/>
                <w:szCs w:val="19"/>
                <w:color w:val="auto"/>
              </w:rPr>
              <w:t>(43,788)</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(0.53)</w:t>
            </w:r>
          </w:p>
        </w:tc>
        <w:tc>
          <w:tcPr>
            <w:tcW w:w="8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10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80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960"/>
              <w:spacing w:after="0" w:line="187"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line="187" w:lineRule="exact"/>
              <w:rPr>
                <w:sz w:val="20"/>
                <w:szCs w:val="20"/>
                <w:color w:val="auto"/>
              </w:rPr>
            </w:pPr>
            <w:r>
              <w:rPr>
                <w:rFonts w:ascii="Times New Roman" w:cs="Times New Roman" w:eastAsia="Times New Roman" w:hAnsi="Times New Roman"/>
                <w:sz w:val="18"/>
                <w:szCs w:val="18"/>
                <w:color w:val="auto"/>
              </w:rPr>
              <w:t> </w:t>
            </w:r>
          </w:p>
        </w:tc>
      </w:tr>
      <w:tr>
        <w:trPr>
          <w:trHeight w:val="230"/>
        </w:trPr>
        <w:tc>
          <w:tcPr>
            <w:tcW w:w="8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96"/>
              </w:rPr>
              <w:t>34,807,996</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35,669,546</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20"/>
          </w:cols>
          <w:pgMar w:left="320" w:top="451" w:right="5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8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Statements of Redeemable Convertible Preferred Stock and Stockholders’ Deficit</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thousands, except share amounts)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26"/>
        </w:trPr>
        <w:tc>
          <w:tcPr>
            <w:tcW w:w="1000" w:type="dxa"/>
            <w:vAlign w:val="bottom"/>
          </w:tcPr>
          <w:p>
            <w:pPr>
              <w:spacing w:after="0"/>
              <w:rPr>
                <w:sz w:val="2"/>
                <w:szCs w:val="2"/>
                <w:color w:val="auto"/>
              </w:rPr>
            </w:pPr>
          </w:p>
        </w:tc>
        <w:tc>
          <w:tcPr>
            <w:tcW w:w="12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Series A-1</w:t>
            </w: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100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220" w:type="dxa"/>
            <w:vAlign w:val="bottom"/>
            <w:gridSpan w:val="4"/>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1300" w:type="dxa"/>
            <w:vAlign w:val="bottom"/>
            <w:gridSpan w:val="4"/>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Series B Redeemable</w:t>
            </w:r>
          </w:p>
        </w:tc>
        <w:tc>
          <w:tcPr>
            <w:tcW w:w="1320" w:type="dxa"/>
            <w:vAlign w:val="bottom"/>
            <w:gridSpan w:val="4"/>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Series C Redeemable</w:t>
            </w:r>
          </w:p>
        </w:tc>
        <w:tc>
          <w:tcPr>
            <w:tcW w:w="1300" w:type="dxa"/>
            <w:vAlign w:val="bottom"/>
            <w:gridSpan w:val="5"/>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Series D Redeemable</w:t>
            </w:r>
          </w:p>
        </w:tc>
        <w:tc>
          <w:tcPr>
            <w:tcW w:w="1440" w:type="dxa"/>
            <w:vAlign w:val="bottom"/>
            <w:tcBorders>
              <w:right w:val="single" w:sz="8" w:color="auto"/>
            </w:tcBorders>
            <w:gridSpan w:val="5"/>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Series E Redeemable</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Convertible</w:t>
            </w:r>
          </w:p>
        </w:tc>
        <w:tc>
          <w:tcPr>
            <w:tcW w:w="130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Convertible</w:t>
            </w: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Convertible</w:t>
            </w:r>
          </w:p>
        </w:tc>
        <w:tc>
          <w:tcPr>
            <w:tcW w:w="130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Convertible</w:t>
            </w:r>
          </w:p>
        </w:tc>
        <w:tc>
          <w:tcPr>
            <w:tcW w:w="144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Convertible</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3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30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44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20" w:type="dxa"/>
            <w:vAlign w:val="bottom"/>
          </w:tcPr>
          <w:p>
            <w:pPr>
              <w:spacing w:after="0"/>
              <w:rPr>
                <w:sz w:val="12"/>
                <w:szCs w:val="12"/>
                <w:color w:val="auto"/>
              </w:rPr>
            </w:pPr>
          </w:p>
        </w:tc>
        <w:tc>
          <w:tcPr>
            <w:tcW w:w="104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700" w:type="dxa"/>
            <w:vAlign w:val="bottom"/>
            <w:tcBorders>
              <w:top w:val="single" w:sz="8" w:color="auto"/>
            </w:tcBorders>
            <w:gridSpan w:val="2"/>
          </w:tcPr>
          <w:p>
            <w:pPr>
              <w:ind w:left="140"/>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44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8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480" w:type="dxa"/>
            <w:vAlign w:val="bottom"/>
            <w:tcBorders>
              <w:top w:val="single" w:sz="8" w:color="auto"/>
            </w:tcBorders>
          </w:tcPr>
          <w:p>
            <w:pPr>
              <w:ind w:left="20"/>
              <w:spacing w:after="0" w:line="126" w:lineRule="exact"/>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0"/>
                <w:szCs w:val="10"/>
                <w:color w:val="auto"/>
              </w:rPr>
            </w:pPr>
          </w:p>
        </w:tc>
        <w:tc>
          <w:tcPr>
            <w:tcW w:w="680" w:type="dxa"/>
            <w:vAlign w:val="bottom"/>
            <w:tcBorders>
              <w:top w:val="single" w:sz="8" w:color="auto"/>
            </w:tcBorders>
          </w:tcPr>
          <w:p>
            <w:pPr>
              <w:jc w:val="right"/>
              <w:ind w:right="92"/>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0"/>
                <w:szCs w:val="10"/>
                <w:color w:val="auto"/>
              </w:rPr>
            </w:pPr>
          </w:p>
        </w:tc>
        <w:tc>
          <w:tcPr>
            <w:tcW w:w="700" w:type="dxa"/>
            <w:vAlign w:val="bottom"/>
            <w:tcBorders>
              <w:top w:val="single" w:sz="8" w:color="auto"/>
            </w:tcBorders>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right w:val="single" w:sz="8" w:color="auto"/>
            </w:tcBorders>
            <w:gridSpan w:val="2"/>
          </w:tcPr>
          <w:p>
            <w:pPr>
              <w:jc w:val="right"/>
              <w:ind w:right="49"/>
              <w:spacing w:after="0" w:line="126"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0"/>
                <w:szCs w:val="10"/>
                <w:color w:val="auto"/>
              </w:rPr>
            </w:pPr>
          </w:p>
        </w:tc>
        <w:tc>
          <w:tcPr>
            <w:tcW w:w="680" w:type="dxa"/>
            <w:vAlign w:val="bottom"/>
            <w:tcBorders>
              <w:top w:val="single" w:sz="8" w:color="auto"/>
            </w:tcBorders>
          </w:tcPr>
          <w:p>
            <w:pPr>
              <w:jc w:val="right"/>
              <w:ind w:right="91"/>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spacing w:after="0" w:line="126"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0"/>
                <w:szCs w:val="10"/>
                <w:color w:val="auto"/>
              </w:rPr>
            </w:pPr>
          </w:p>
        </w:tc>
        <w:tc>
          <w:tcPr>
            <w:tcW w:w="66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91"/>
              <w:spacing w:after="0" w:line="12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01"/>
        </w:trPr>
        <w:tc>
          <w:tcPr>
            <w:tcW w:w="100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right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00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5,075,000</w:t>
            </w: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$ 3,570</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11,973,000</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3"/>
              </w:rPr>
              <w:t>$ 10,000</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73,598,283</w:t>
            </w:r>
          </w:p>
        </w:tc>
        <w:tc>
          <w:tcPr>
            <w:tcW w:w="6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$ 22,000</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53,271,754</w:t>
            </w:r>
          </w:p>
        </w:tc>
        <w:tc>
          <w:tcPr>
            <w:tcW w:w="6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$ 47,300</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34,346,850</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1,914</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(33,053)</w:t>
            </w: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(31,136</w:t>
            </w:r>
          </w:p>
        </w:tc>
        <w:tc>
          <w:tcPr>
            <w:tcW w:w="0" w:type="dxa"/>
            <w:vAlign w:val="bottom"/>
          </w:tcPr>
          <w:p>
            <w:pPr>
              <w:spacing w:after="0"/>
              <w:rPr>
                <w:sz w:val="1"/>
                <w:szCs w:val="1"/>
                <w:color w:val="auto"/>
              </w:rPr>
            </w:pPr>
          </w:p>
        </w:tc>
      </w:tr>
      <w:tr>
        <w:trPr>
          <w:trHeight w:val="170"/>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common</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1,062,138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68"/>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Stock-based</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1,112</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0" w:type="dxa"/>
            <w:vAlign w:val="bottom"/>
          </w:tcPr>
          <w:p>
            <w:pPr>
              <w:spacing w:after="0"/>
              <w:rPr>
                <w:sz w:val="1"/>
                <w:szCs w:val="1"/>
                <w:color w:val="auto"/>
              </w:rPr>
            </w:pPr>
          </w:p>
        </w:tc>
      </w:tr>
      <w:tr>
        <w:trPr>
          <w:trHeight w:val="168"/>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70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(12,839)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(12,839</w:t>
            </w:r>
          </w:p>
        </w:tc>
        <w:tc>
          <w:tcPr>
            <w:tcW w:w="0" w:type="dxa"/>
            <w:vAlign w:val="bottom"/>
          </w:tcPr>
          <w:p>
            <w:pPr>
              <w:spacing w:after="0"/>
              <w:rPr>
                <w:sz w:val="1"/>
                <w:szCs w:val="1"/>
                <w:color w:val="auto"/>
              </w:rPr>
            </w:pPr>
          </w:p>
        </w:tc>
      </w:tr>
      <w:tr>
        <w:trPr>
          <w:trHeight w:val="121"/>
        </w:trPr>
        <w:tc>
          <w:tcPr>
            <w:tcW w:w="10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5,075,000</w:t>
            </w: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$ 3,570</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11,973,000</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3"/>
              </w:rPr>
              <w:t>$ 10,000</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73,598,283</w:t>
            </w:r>
          </w:p>
        </w:tc>
        <w:tc>
          <w:tcPr>
            <w:tcW w:w="6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$ 22,000</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53,271,754</w:t>
            </w:r>
          </w:p>
        </w:tc>
        <w:tc>
          <w:tcPr>
            <w:tcW w:w="6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$ 47,300</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35,408,988</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3,271</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(45,892)</w:t>
            </w: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(42,618</w:t>
            </w:r>
          </w:p>
        </w:tc>
        <w:tc>
          <w:tcPr>
            <w:tcW w:w="0" w:type="dxa"/>
            <w:vAlign w:val="bottom"/>
          </w:tcPr>
          <w:p>
            <w:pPr>
              <w:spacing w:after="0"/>
              <w:rPr>
                <w:sz w:val="1"/>
                <w:szCs w:val="1"/>
                <w:color w:val="auto"/>
              </w:rPr>
            </w:pPr>
          </w:p>
        </w:tc>
      </w:tr>
      <w:tr>
        <w:trPr>
          <w:trHeight w:val="170"/>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Series 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redeemable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convertible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preferred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stock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(inclusive of</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deemed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dividend of</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$474k to</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accrete to</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redemption</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112,422,700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68"/>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7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rPr>
              <w:t>Common</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1,231,104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68"/>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0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Stock-based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68"/>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7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(35,443)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(35,443</w:t>
            </w:r>
          </w:p>
        </w:tc>
        <w:tc>
          <w:tcPr>
            <w:tcW w:w="0" w:type="dxa"/>
            <w:vAlign w:val="bottom"/>
          </w:tcPr>
          <w:p>
            <w:pPr>
              <w:spacing w:after="0"/>
              <w:rPr>
                <w:sz w:val="1"/>
                <w:szCs w:val="1"/>
                <w:color w:val="auto"/>
              </w:rPr>
            </w:pPr>
          </w:p>
        </w:tc>
      </w:tr>
      <w:tr>
        <w:trPr>
          <w:trHeight w:val="128"/>
        </w:trPr>
        <w:tc>
          <w:tcPr>
            <w:tcW w:w="1000" w:type="dxa"/>
            <w:vAlign w:val="bottom"/>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5,075,000</w:t>
            </w:r>
          </w:p>
        </w:tc>
        <w:tc>
          <w:tcPr>
            <w:tcW w:w="80" w:type="dxa"/>
            <w:vAlign w:val="bottom"/>
          </w:tcPr>
          <w:p>
            <w:pPr>
              <w:spacing w:after="0"/>
              <w:rPr>
                <w:sz w:val="12"/>
                <w:szCs w:val="12"/>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$ 3,570</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11,973,000</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73,598,283</w:t>
            </w:r>
          </w:p>
        </w:tc>
        <w:tc>
          <w:tcPr>
            <w:tcW w:w="6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22,000</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53,271,754</w:t>
            </w:r>
          </w:p>
        </w:tc>
        <w:tc>
          <w:tcPr>
            <w:tcW w:w="6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47,300</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112,422,700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36,640,092</w:t>
            </w: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3,638</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(81,335)</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(77,693</w:t>
            </w:r>
          </w:p>
        </w:tc>
        <w:tc>
          <w:tcPr>
            <w:tcW w:w="0" w:type="dxa"/>
            <w:vAlign w:val="bottom"/>
          </w:tcPr>
          <w:p>
            <w:pPr>
              <w:spacing w:after="0"/>
              <w:rPr>
                <w:sz w:val="1"/>
                <w:szCs w:val="1"/>
                <w:color w:val="auto"/>
              </w:rPr>
            </w:pPr>
          </w:p>
        </w:tc>
      </w:tr>
      <w:tr>
        <w:trPr>
          <w:trHeight w:val="170"/>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51"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8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9"/>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14"/>
        </w:trPr>
        <w:tc>
          <w:tcPr>
            <w:tcW w:w="87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720" w:type="dxa"/>
            <w:vAlign w:val="bottom"/>
            <w:tcBorders>
              <w:top w:val="single" w:sz="8" w:color="auto"/>
            </w:tcBorders>
            <w:gridSpan w:val="3"/>
          </w:tcPr>
          <w:p>
            <w:pPr>
              <w:jc w:val="right"/>
              <w:ind w:right="600"/>
              <w:spacing w:after="0" w:line="114" w:lineRule="exact"/>
              <w:rPr>
                <w:sz w:val="20"/>
                <w:szCs w:val="20"/>
                <w:color w:val="auto"/>
              </w:rPr>
            </w:pPr>
            <w:r>
              <w:rPr>
                <w:rFonts w:ascii="Times New Roman" w:cs="Times New Roman" w:eastAsia="Times New Roman" w:hAnsi="Times New Roman"/>
                <w:sz w:val="13"/>
                <w:szCs w:val="13"/>
                <w:b w:val="1"/>
                <w:bCs w:val="1"/>
                <w:color w:val="auto"/>
                <w:w w:val="76"/>
              </w:rPr>
              <w:t> </w:t>
            </w: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500" w:type="dxa"/>
            <w:vAlign w:val="bottom"/>
            <w:tcBorders>
              <w:top w:val="single" w:sz="8" w:color="auto"/>
            </w:tcBorders>
          </w:tcPr>
          <w:p>
            <w:pPr>
              <w:jc w:val="right"/>
              <w:ind w:right="285"/>
              <w:spacing w:after="0" w:line="114" w:lineRule="exact"/>
              <w:rPr>
                <w:sz w:val="20"/>
                <w:szCs w:val="20"/>
                <w:color w:val="auto"/>
              </w:rPr>
            </w:pPr>
            <w:r>
              <w:rPr>
                <w:rFonts w:ascii="Times New Roman" w:cs="Times New Roman" w:eastAsia="Times New Roman" w:hAnsi="Times New Roman"/>
                <w:sz w:val="13"/>
                <w:szCs w:val="13"/>
                <w:b w:val="1"/>
                <w:bCs w:val="1"/>
                <w:color w:val="auto"/>
                <w:w w:val="91"/>
              </w:rPr>
              <w:t> </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xml:space="preserve">2021 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c>
          <w:tcPr>
            <w:tcW w:w="0" w:type="dxa"/>
            <w:vAlign w:val="bottom"/>
          </w:tcPr>
          <w:p>
            <w:pPr>
              <w:spacing w:after="0"/>
              <w:rPr>
                <w:sz w:val="1"/>
                <w:szCs w:val="1"/>
                <w:color w:val="auto"/>
              </w:rPr>
            </w:pPr>
          </w:p>
        </w:tc>
      </w:tr>
      <w:tr>
        <w:trPr>
          <w:trHeight w:val="139"/>
        </w:trPr>
        <w:tc>
          <w:tcPr>
            <w:tcW w:w="874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Operating Activities</w:t>
            </w: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740" w:type="dxa"/>
            <w:vAlign w:val="bottom"/>
          </w:tcPr>
          <w:p>
            <w:pPr>
              <w:ind w:left="300"/>
              <w:spacing w:after="0" w:line="159"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Pr>
          <w:p>
            <w:pPr>
              <w:spacing w:after="0"/>
              <w:rPr>
                <w:sz w:val="13"/>
                <w:szCs w:val="13"/>
                <w:color w:val="auto"/>
              </w:rPr>
            </w:pPr>
          </w:p>
        </w:tc>
        <w:tc>
          <w:tcPr>
            <w:tcW w:w="720" w:type="dxa"/>
            <w:vAlign w:val="bottom"/>
            <w:gridSpan w:val="3"/>
          </w:tcPr>
          <w:p>
            <w:pPr>
              <w:jc w:val="right"/>
              <w:ind w:right="180"/>
              <w:spacing w:after="0" w:line="159" w:lineRule="exact"/>
              <w:rPr>
                <w:sz w:val="20"/>
                <w:szCs w:val="20"/>
                <w:color w:val="auto"/>
              </w:rPr>
            </w:pPr>
            <w:r>
              <w:rPr>
                <w:rFonts w:ascii="Times New Roman" w:cs="Times New Roman" w:eastAsia="Times New Roman" w:hAnsi="Times New Roman"/>
                <w:sz w:val="15"/>
                <w:szCs w:val="15"/>
                <w:color w:val="auto"/>
              </w:rPr>
              <w:t>(12,839)</w:t>
            </w:r>
          </w:p>
        </w:tc>
        <w:tc>
          <w:tcPr>
            <w:tcW w:w="2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5"/>
                <w:szCs w:val="15"/>
                <w:color w:val="auto"/>
              </w:rPr>
              <w:t>(35,443)</w:t>
            </w: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300"/>
              <w:spacing w:after="0" w:line="159"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740" w:type="dxa"/>
            <w:vAlign w:val="bottom"/>
          </w:tcPr>
          <w:p>
            <w:pPr>
              <w:ind w:left="600"/>
              <w:spacing w:after="0" w:line="159"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10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600"/>
              <w:spacing w:after="0" w:line="159" w:lineRule="exact"/>
              <w:rPr>
                <w:sz w:val="20"/>
                <w:szCs w:val="20"/>
                <w:color w:val="auto"/>
              </w:rPr>
            </w:pPr>
            <w:r>
              <w:rPr>
                <w:rFonts w:ascii="Times New Roman" w:cs="Times New Roman" w:eastAsia="Times New Roman" w:hAnsi="Times New Roman"/>
                <w:sz w:val="15"/>
                <w:szCs w:val="15"/>
                <w:color w:val="auto"/>
              </w:rPr>
              <w:t>Amortization of loan fees</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11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740" w:type="dxa"/>
            <w:vAlign w:val="bottom"/>
          </w:tcPr>
          <w:p>
            <w:pPr>
              <w:ind w:left="600"/>
              <w:spacing w:after="0" w:line="159" w:lineRule="exact"/>
              <w:rPr>
                <w:sz w:val="20"/>
                <w:szCs w:val="20"/>
                <w:color w:val="auto"/>
              </w:rPr>
            </w:pPr>
            <w:r>
              <w:rPr>
                <w:rFonts w:ascii="Times New Roman" w:cs="Times New Roman" w:eastAsia="Times New Roman" w:hAnsi="Times New Roman"/>
                <w:sz w:val="15"/>
                <w:szCs w:val="15"/>
                <w:color w:val="auto"/>
              </w:rPr>
              <w:t>Final payment amortization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119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rPr>
              <w:t>448</w:t>
            </w: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600"/>
              <w:spacing w:after="0" w:line="159" w:lineRule="exact"/>
              <w:rPr>
                <w:sz w:val="20"/>
                <w:szCs w:val="20"/>
                <w:color w:val="auto"/>
              </w:rPr>
            </w:pPr>
            <w:r>
              <w:rPr>
                <w:rFonts w:ascii="Times New Roman" w:cs="Times New Roman" w:eastAsia="Times New Roman" w:hAnsi="Times New Roman"/>
                <w:sz w:val="15"/>
                <w:szCs w:val="15"/>
                <w:color w:val="auto"/>
              </w:rPr>
              <w:t>Mark to market on success fee</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237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9"/>
        </w:trPr>
        <w:tc>
          <w:tcPr>
            <w:tcW w:w="8740" w:type="dxa"/>
            <w:vAlign w:val="bottom"/>
          </w:tcPr>
          <w:p>
            <w:pPr>
              <w:ind w:left="600"/>
              <w:spacing w:after="0" w:line="159" w:lineRule="exact"/>
              <w:rPr>
                <w:sz w:val="20"/>
                <w:szCs w:val="20"/>
                <w:color w:val="auto"/>
              </w:rPr>
            </w:pPr>
            <w:r>
              <w:rPr>
                <w:rFonts w:ascii="Times New Roman" w:cs="Times New Roman" w:eastAsia="Times New Roman" w:hAnsi="Times New Roman"/>
                <w:sz w:val="15"/>
                <w:szCs w:val="15"/>
                <w:color w:val="auto"/>
              </w:rPr>
              <w:t>Success fee amortization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32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600"/>
              <w:spacing w:after="0" w:line="159" w:lineRule="exact"/>
              <w:rPr>
                <w:sz w:val="20"/>
                <w:szCs w:val="20"/>
                <w:color w:val="auto"/>
              </w:rPr>
            </w:pPr>
            <w:r>
              <w:rPr>
                <w:rFonts w:ascii="Times New Roman" w:cs="Times New Roman" w:eastAsia="Times New Roman" w:hAnsi="Times New Roman"/>
                <w:sz w:val="15"/>
                <w:szCs w:val="15"/>
                <w:color w:val="auto"/>
              </w:rPr>
              <w:t>Forgiveness of PPP loan</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line="159" w:lineRule="exact"/>
              <w:rPr>
                <w:sz w:val="20"/>
                <w:szCs w:val="20"/>
                <w:color w:val="auto"/>
              </w:rPr>
            </w:pPr>
            <w:r>
              <w:rPr>
                <w:rFonts w:ascii="Times New Roman" w:cs="Times New Roman" w:eastAsia="Times New Roman" w:hAnsi="Times New Roman"/>
                <w:sz w:val="15"/>
                <w:szCs w:val="15"/>
                <w:color w:val="auto"/>
              </w:rPr>
              <w:t>(372)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9"/>
        </w:trPr>
        <w:tc>
          <w:tcPr>
            <w:tcW w:w="8740" w:type="dxa"/>
            <w:vAlign w:val="bottom"/>
          </w:tcPr>
          <w:p>
            <w:pPr>
              <w:ind w:left="600"/>
              <w:spacing w:after="0" w:line="159"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1,112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rPr>
              <w:t>676</w:t>
            </w: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600"/>
              <w:spacing w:after="0" w:line="159" w:lineRule="exact"/>
              <w:rPr>
                <w:sz w:val="20"/>
                <w:szCs w:val="20"/>
                <w:color w:val="auto"/>
              </w:rPr>
            </w:pPr>
            <w:r>
              <w:rPr>
                <w:rFonts w:ascii="Times New Roman" w:cs="Times New Roman" w:eastAsia="Times New Roman" w:hAnsi="Times New Roman"/>
                <w:sz w:val="15"/>
                <w:szCs w:val="15"/>
                <w:color w:val="auto"/>
              </w:rPr>
              <w:t>Non-cash lease expense</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740" w:type="dxa"/>
            <w:vAlign w:val="bottom"/>
          </w:tcPr>
          <w:p>
            <w:pPr>
              <w:ind w:left="600"/>
              <w:spacing w:after="0" w:line="159"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720"/>
              <w:spacing w:after="0" w:line="159" w:lineRule="exact"/>
              <w:rPr>
                <w:sz w:val="20"/>
                <w:szCs w:val="20"/>
                <w:color w:val="auto"/>
              </w:rPr>
            </w:pPr>
            <w:r>
              <w:rPr>
                <w:rFonts w:ascii="Times New Roman" w:cs="Times New Roman" w:eastAsia="Times New Roman" w:hAnsi="Times New Roman"/>
                <w:sz w:val="15"/>
                <w:szCs w:val="15"/>
                <w:color w:val="auto"/>
              </w:rPr>
              <w:t>Prepaid and current assets</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line="159" w:lineRule="exact"/>
              <w:rPr>
                <w:sz w:val="20"/>
                <w:szCs w:val="20"/>
                <w:color w:val="auto"/>
              </w:rPr>
            </w:pPr>
            <w:r>
              <w:rPr>
                <w:rFonts w:ascii="Times New Roman" w:cs="Times New Roman" w:eastAsia="Times New Roman" w:hAnsi="Times New Roman"/>
                <w:sz w:val="15"/>
                <w:szCs w:val="15"/>
                <w:color w:val="auto"/>
              </w:rPr>
              <w:t>(1,996)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rPr>
              <w:t>1,073</w:t>
            </w:r>
          </w:p>
        </w:tc>
        <w:tc>
          <w:tcPr>
            <w:tcW w:w="0" w:type="dxa"/>
            <w:vAlign w:val="bottom"/>
          </w:tcPr>
          <w:p>
            <w:pPr>
              <w:spacing w:after="0"/>
              <w:rPr>
                <w:sz w:val="1"/>
                <w:szCs w:val="1"/>
                <w:color w:val="auto"/>
              </w:rPr>
            </w:pPr>
          </w:p>
        </w:tc>
      </w:tr>
      <w:tr>
        <w:trPr>
          <w:trHeight w:val="159"/>
        </w:trPr>
        <w:tc>
          <w:tcPr>
            <w:tcW w:w="8740" w:type="dxa"/>
            <w:vAlign w:val="bottom"/>
          </w:tcPr>
          <w:p>
            <w:pPr>
              <w:ind w:left="720"/>
              <w:spacing w:after="0" w:line="159" w:lineRule="exact"/>
              <w:rPr>
                <w:sz w:val="20"/>
                <w:szCs w:val="20"/>
                <w:color w:val="auto"/>
              </w:rPr>
            </w:pPr>
            <w:r>
              <w:rPr>
                <w:rFonts w:ascii="Times New Roman" w:cs="Times New Roman" w:eastAsia="Times New Roman" w:hAnsi="Times New Roman"/>
                <w:sz w:val="15"/>
                <w:szCs w:val="15"/>
                <w:color w:val="auto"/>
              </w:rPr>
              <w:t>Other assets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right"/>
              <w:ind w:right="180"/>
              <w:spacing w:after="0" w:line="159" w:lineRule="exact"/>
              <w:rPr>
                <w:sz w:val="20"/>
                <w:szCs w:val="20"/>
                <w:color w:val="auto"/>
              </w:rPr>
            </w:pPr>
            <w:r>
              <w:rPr>
                <w:rFonts w:ascii="Times New Roman" w:cs="Times New Roman" w:eastAsia="Times New Roman" w:hAnsi="Times New Roman"/>
                <w:sz w:val="15"/>
                <w:szCs w:val="15"/>
                <w:color w:val="auto"/>
              </w:rPr>
              <w:t>(85)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720"/>
              <w:spacing w:after="0" w:line="159" w:lineRule="exact"/>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578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59"/>
        </w:trPr>
        <w:tc>
          <w:tcPr>
            <w:tcW w:w="8740" w:type="dxa"/>
            <w:vAlign w:val="bottom"/>
          </w:tcPr>
          <w:p>
            <w:pPr>
              <w:ind w:left="720"/>
              <w:spacing w:after="0" w:line="159" w:lineRule="exact"/>
              <w:rPr>
                <w:sz w:val="20"/>
                <w:szCs w:val="20"/>
                <w:color w:val="auto"/>
              </w:rPr>
            </w:pPr>
            <w:r>
              <w:rPr>
                <w:rFonts w:ascii="Times New Roman" w:cs="Times New Roman" w:eastAsia="Times New Roman" w:hAnsi="Times New Roman"/>
                <w:sz w:val="15"/>
                <w:szCs w:val="15"/>
                <w:color w:val="auto"/>
              </w:rPr>
              <w:t>Accrued expenses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right"/>
              <w:ind w:right="180"/>
              <w:spacing w:after="0" w:line="159" w:lineRule="exact"/>
              <w:rPr>
                <w:sz w:val="20"/>
                <w:szCs w:val="20"/>
                <w:color w:val="auto"/>
              </w:rPr>
            </w:pPr>
            <w:r>
              <w:rPr>
                <w:rFonts w:ascii="Times New Roman" w:cs="Times New Roman" w:eastAsia="Times New Roman" w:hAnsi="Times New Roman"/>
                <w:sz w:val="15"/>
                <w:szCs w:val="15"/>
                <w:color w:val="auto"/>
              </w:rPr>
              <w:t>(464)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rPr>
              <w:t>3,332</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8740" w:type="dxa"/>
            <w:vAlign w:val="bottom"/>
            <w:shd w:val="clear" w:color="auto" w:fill="CCEEFF"/>
          </w:tcPr>
          <w:p>
            <w:pPr>
              <w:ind w:left="300"/>
              <w:spacing w:after="0" w:line="159"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line="159" w:lineRule="exact"/>
              <w:rPr>
                <w:sz w:val="20"/>
                <w:szCs w:val="20"/>
                <w:color w:val="auto"/>
              </w:rPr>
            </w:pPr>
            <w:r>
              <w:rPr>
                <w:rFonts w:ascii="Times New Roman" w:cs="Times New Roman" w:eastAsia="Times New Roman" w:hAnsi="Times New Roman"/>
                <w:sz w:val="15"/>
                <w:szCs w:val="15"/>
                <w:color w:val="auto"/>
              </w:rPr>
              <w:t>(13,654)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5"/>
                <w:szCs w:val="15"/>
                <w:color w:val="auto"/>
              </w:rPr>
              <w:t>(29,804)</w:t>
            </w:r>
          </w:p>
        </w:tc>
        <w:tc>
          <w:tcPr>
            <w:tcW w:w="0" w:type="dxa"/>
            <w:vAlign w:val="bottom"/>
          </w:tcPr>
          <w:p>
            <w:pPr>
              <w:spacing w:after="0"/>
              <w:rPr>
                <w:sz w:val="1"/>
                <w:szCs w:val="1"/>
                <w:color w:val="auto"/>
              </w:rPr>
            </w:pPr>
          </w:p>
        </w:tc>
      </w:tr>
      <w:tr>
        <w:trPr>
          <w:trHeight w:val="165"/>
        </w:trPr>
        <w:tc>
          <w:tcPr>
            <w:tcW w:w="87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Investing Activities</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600"/>
              <w:spacing w:after="0" w:line="159" w:lineRule="exact"/>
              <w:rPr>
                <w:sz w:val="20"/>
                <w:szCs w:val="20"/>
                <w:color w:val="auto"/>
              </w:rPr>
            </w:pPr>
            <w:r>
              <w:rPr>
                <w:rFonts w:ascii="Times New Roman" w:cs="Times New Roman" w:eastAsia="Times New Roman" w:hAnsi="Times New Roman"/>
                <w:sz w:val="15"/>
                <w:szCs w:val="15"/>
                <w:color w:val="auto"/>
              </w:rPr>
              <w:t>Purchase of securities</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5"/>
                <w:szCs w:val="15"/>
                <w:color w:val="auto"/>
              </w:rPr>
              <w:t>(55,338)</w:t>
            </w:r>
          </w:p>
        </w:tc>
        <w:tc>
          <w:tcPr>
            <w:tcW w:w="0" w:type="dxa"/>
            <w:vAlign w:val="bottom"/>
          </w:tcPr>
          <w:p>
            <w:pPr>
              <w:spacing w:after="0"/>
              <w:rPr>
                <w:sz w:val="1"/>
                <w:szCs w:val="1"/>
                <w:color w:val="auto"/>
              </w:rPr>
            </w:pPr>
          </w:p>
        </w:tc>
      </w:tr>
      <w:tr>
        <w:trPr>
          <w:trHeight w:val="159"/>
        </w:trPr>
        <w:tc>
          <w:tcPr>
            <w:tcW w:w="8740" w:type="dxa"/>
            <w:vAlign w:val="bottom"/>
          </w:tcPr>
          <w:p>
            <w:pPr>
              <w:ind w:left="600"/>
              <w:spacing w:after="0" w:line="159" w:lineRule="exact"/>
              <w:rPr>
                <w:sz w:val="20"/>
                <w:szCs w:val="20"/>
                <w:color w:val="auto"/>
              </w:rPr>
            </w:pPr>
            <w:r>
              <w:rPr>
                <w:rFonts w:ascii="Times New Roman" w:cs="Times New Roman" w:eastAsia="Times New Roman" w:hAnsi="Times New Roman"/>
                <w:sz w:val="15"/>
                <w:szCs w:val="15"/>
                <w:color w:val="auto"/>
              </w:rPr>
              <w:t>Purchase of property and equipment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right"/>
              <w:ind w:right="180"/>
              <w:spacing w:after="0" w:line="159" w:lineRule="exact"/>
              <w:rPr>
                <w:sz w:val="20"/>
                <w:szCs w:val="20"/>
                <w:color w:val="auto"/>
              </w:rPr>
            </w:pPr>
            <w:r>
              <w:rPr>
                <w:rFonts w:ascii="Times New Roman" w:cs="Times New Roman" w:eastAsia="Times New Roman" w:hAnsi="Times New Roman"/>
                <w:sz w:val="15"/>
                <w:szCs w:val="15"/>
                <w:color w:val="auto"/>
              </w:rPr>
              <w:t>(97)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8740" w:type="dxa"/>
            <w:vAlign w:val="bottom"/>
            <w:shd w:val="clear" w:color="auto" w:fill="CCEEFF"/>
          </w:tcPr>
          <w:p>
            <w:pPr>
              <w:ind w:left="300"/>
              <w:spacing w:after="0" w:line="159"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line="159" w:lineRule="exact"/>
              <w:rPr>
                <w:sz w:val="20"/>
                <w:szCs w:val="20"/>
                <w:color w:val="auto"/>
              </w:rPr>
            </w:pPr>
            <w:r>
              <w:rPr>
                <w:rFonts w:ascii="Times New Roman" w:cs="Times New Roman" w:eastAsia="Times New Roman" w:hAnsi="Times New Roman"/>
                <w:sz w:val="15"/>
                <w:szCs w:val="15"/>
                <w:color w:val="auto"/>
              </w:rPr>
              <w:t>(97)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5"/>
                <w:szCs w:val="15"/>
                <w:color w:val="auto"/>
              </w:rPr>
              <w:t>(55,352)</w:t>
            </w:r>
          </w:p>
        </w:tc>
        <w:tc>
          <w:tcPr>
            <w:tcW w:w="0" w:type="dxa"/>
            <w:vAlign w:val="bottom"/>
          </w:tcPr>
          <w:p>
            <w:pPr>
              <w:spacing w:after="0"/>
              <w:rPr>
                <w:sz w:val="1"/>
                <w:szCs w:val="1"/>
                <w:color w:val="auto"/>
              </w:rPr>
            </w:pPr>
          </w:p>
        </w:tc>
      </w:tr>
      <w:tr>
        <w:trPr>
          <w:trHeight w:val="165"/>
        </w:trPr>
        <w:tc>
          <w:tcPr>
            <w:tcW w:w="87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Financing Activities</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600"/>
              <w:spacing w:after="0" w:line="159" w:lineRule="exact"/>
              <w:rPr>
                <w:sz w:val="20"/>
                <w:szCs w:val="20"/>
                <w:color w:val="auto"/>
              </w:rPr>
            </w:pPr>
            <w:r>
              <w:rPr>
                <w:rFonts w:ascii="Times New Roman" w:cs="Times New Roman" w:eastAsia="Times New Roman" w:hAnsi="Times New Roman"/>
                <w:sz w:val="15"/>
                <w:szCs w:val="15"/>
                <w:color w:val="auto"/>
              </w:rPr>
              <w:t>Proceeds from issuance of Series E redeemable convertible preferred stock, net of issuance costs</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w w:val="98"/>
              </w:rPr>
              <w:t>119,526</w:t>
            </w:r>
          </w:p>
        </w:tc>
        <w:tc>
          <w:tcPr>
            <w:tcW w:w="0" w:type="dxa"/>
            <w:vAlign w:val="bottom"/>
          </w:tcPr>
          <w:p>
            <w:pPr>
              <w:spacing w:after="0"/>
              <w:rPr>
                <w:sz w:val="1"/>
                <w:szCs w:val="1"/>
                <w:color w:val="auto"/>
              </w:rPr>
            </w:pPr>
          </w:p>
        </w:tc>
      </w:tr>
      <w:tr>
        <w:trPr>
          <w:trHeight w:val="159"/>
        </w:trPr>
        <w:tc>
          <w:tcPr>
            <w:tcW w:w="8740" w:type="dxa"/>
            <w:vAlign w:val="bottom"/>
          </w:tcPr>
          <w:p>
            <w:pPr>
              <w:ind w:left="600"/>
              <w:spacing w:after="0" w:line="159" w:lineRule="exact"/>
              <w:rPr>
                <w:sz w:val="20"/>
                <w:szCs w:val="20"/>
                <w:color w:val="auto"/>
              </w:rPr>
            </w:pPr>
            <w:r>
              <w:rPr>
                <w:rFonts w:ascii="Times New Roman" w:cs="Times New Roman" w:eastAsia="Times New Roman" w:hAnsi="Times New Roman"/>
                <w:sz w:val="15"/>
                <w:szCs w:val="15"/>
                <w:color w:val="auto"/>
              </w:rPr>
              <w:t>Proceeds from issuance of long-term debt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right"/>
              <w:ind w:right="240"/>
              <w:spacing w:after="0" w:line="159" w:lineRule="exact"/>
              <w:rPr>
                <w:sz w:val="20"/>
                <w:szCs w:val="20"/>
                <w:color w:val="auto"/>
              </w:rPr>
            </w:pPr>
            <w:r>
              <w:rPr>
                <w:rFonts w:ascii="Times New Roman" w:cs="Times New Roman" w:eastAsia="Times New Roman" w:hAnsi="Times New Roman"/>
                <w:sz w:val="15"/>
                <w:szCs w:val="15"/>
                <w:color w:val="auto"/>
              </w:rPr>
              <w:t>14,959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600"/>
              <w:spacing w:after="0" w:line="159" w:lineRule="exact"/>
              <w:rPr>
                <w:sz w:val="20"/>
                <w:szCs w:val="20"/>
                <w:color w:val="auto"/>
              </w:rPr>
            </w:pPr>
            <w:r>
              <w:rPr>
                <w:rFonts w:ascii="Times New Roman" w:cs="Times New Roman" w:eastAsia="Times New Roman" w:hAnsi="Times New Roman"/>
                <w:sz w:val="15"/>
                <w:szCs w:val="15"/>
                <w:color w:val="auto"/>
              </w:rPr>
              <w:t>Proceeds from PPP loan</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242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8740" w:type="dxa"/>
            <w:vAlign w:val="bottom"/>
          </w:tcPr>
          <w:p>
            <w:pPr>
              <w:ind w:left="600"/>
              <w:spacing w:after="0" w:line="159" w:lineRule="exact"/>
              <w:rPr>
                <w:sz w:val="20"/>
                <w:szCs w:val="20"/>
                <w:color w:val="auto"/>
              </w:rPr>
            </w:pPr>
            <w:r>
              <w:rPr>
                <w:rFonts w:ascii="Times New Roman" w:cs="Times New Roman" w:eastAsia="Times New Roman" w:hAnsi="Times New Roman"/>
                <w:sz w:val="15"/>
                <w:szCs w:val="15"/>
                <w:color w:val="auto"/>
              </w:rPr>
              <w:t>Proceeds from exercise of common stock options</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245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166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300"/>
              <w:spacing w:after="0" w:line="159"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5"/>
                <w:szCs w:val="15"/>
                <w:color w:val="auto"/>
              </w:rPr>
              <w:t>15,446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w w:val="98"/>
              </w:rPr>
              <w:t>119,692</w:t>
            </w:r>
          </w:p>
        </w:tc>
        <w:tc>
          <w:tcPr>
            <w:tcW w:w="0" w:type="dxa"/>
            <w:vAlign w:val="bottom"/>
          </w:tcPr>
          <w:p>
            <w:pPr>
              <w:spacing w:after="0"/>
              <w:rPr>
                <w:sz w:val="1"/>
                <w:szCs w:val="1"/>
                <w:color w:val="auto"/>
              </w:rPr>
            </w:pPr>
          </w:p>
        </w:tc>
      </w:tr>
      <w:tr>
        <w:trPr>
          <w:trHeight w:val="165"/>
        </w:trPr>
        <w:tc>
          <w:tcPr>
            <w:tcW w:w="87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Net increase in cash, cash equivalent and restricted cash</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1,695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34,536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5"/>
                <w:szCs w:val="15"/>
                <w:color w:val="auto"/>
              </w:rPr>
              <w:t>51,912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rPr>
              <w:t>53,607</w:t>
            </w:r>
          </w:p>
        </w:tc>
        <w:tc>
          <w:tcPr>
            <w:tcW w:w="0" w:type="dxa"/>
            <w:vAlign w:val="bottom"/>
          </w:tcPr>
          <w:p>
            <w:pPr>
              <w:spacing w:after="0"/>
              <w:rPr>
                <w:sz w:val="1"/>
                <w:szCs w:val="1"/>
                <w:color w:val="auto"/>
              </w:rPr>
            </w:pPr>
          </w:p>
        </w:tc>
      </w:tr>
      <w:tr>
        <w:trPr>
          <w:trHeight w:val="165"/>
        </w:trPr>
        <w:tc>
          <w:tcPr>
            <w:tcW w:w="87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1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bottom w:val="single" w:sz="8" w:color="auto"/>
            </w:tcBorders>
          </w:tcPr>
          <w:p>
            <w:pPr>
              <w:ind w:left="40"/>
              <w:spacing w:after="0" w:line="166" w:lineRule="exact"/>
              <w:rPr>
                <w:sz w:val="20"/>
                <w:szCs w:val="20"/>
                <w:color w:val="auto"/>
              </w:rPr>
            </w:pPr>
            <w:r>
              <w:rPr>
                <w:rFonts w:ascii="Times New Roman" w:cs="Times New Roman" w:eastAsia="Times New Roman" w:hAnsi="Times New Roman"/>
                <w:sz w:val="15"/>
                <w:szCs w:val="15"/>
                <w:color w:val="auto"/>
                <w:w w:val="93"/>
              </w:rPr>
              <w:t> </w:t>
            </w:r>
          </w:p>
        </w:tc>
        <w:tc>
          <w:tcPr>
            <w:tcW w:w="4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87"/>
              </w:rPr>
              <w:t>  53,607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bottom w:val="single" w:sz="8" w:color="auto"/>
            </w:tcBorders>
          </w:tcPr>
          <w:p>
            <w:pPr>
              <w:ind w:left="60"/>
              <w:spacing w:after="0" w:line="166" w:lineRule="exact"/>
              <w:rPr>
                <w:sz w:val="20"/>
                <w:szCs w:val="20"/>
                <w:color w:val="auto"/>
              </w:rPr>
            </w:pPr>
            <w:r>
              <w:rPr>
                <w:rFonts w:ascii="Times New Roman" w:cs="Times New Roman" w:eastAsia="Times New Roman" w:hAnsi="Times New Roman"/>
                <w:sz w:val="15"/>
                <w:szCs w:val="15"/>
                <w:color w:val="auto"/>
                <w:w w:val="79"/>
              </w:rPr>
              <w:t> </w:t>
            </w:r>
          </w:p>
        </w:tc>
        <w:tc>
          <w:tcPr>
            <w:tcW w:w="5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91"/>
              </w:rPr>
              <w:t>  88,143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74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740" w:type="dxa"/>
            <w:vAlign w:val="bottom"/>
          </w:tcPr>
          <w:p>
            <w:pPr>
              <w:ind w:left="300"/>
              <w:spacing w:after="0" w:line="159" w:lineRule="exact"/>
              <w:rPr>
                <w:sz w:val="20"/>
                <w:szCs w:val="20"/>
                <w:color w:val="auto"/>
              </w:rPr>
            </w:pPr>
            <w:r>
              <w:rPr>
                <w:rFonts w:ascii="Times New Roman" w:cs="Times New Roman" w:eastAsia="Times New Roman" w:hAnsi="Times New Roman"/>
                <w:sz w:val="15"/>
                <w:szCs w:val="15"/>
                <w:color w:val="auto"/>
              </w:rPr>
              <w:t>Cash paid for interest</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314</w:t>
            </w:r>
          </w:p>
        </w:tc>
        <w:tc>
          <w:tcPr>
            <w:tcW w:w="220" w:type="dxa"/>
            <w:vAlign w:val="bottom"/>
          </w:tcPr>
          <w:p>
            <w:pPr>
              <w:spacing w:after="0"/>
              <w:rPr>
                <w:sz w:val="13"/>
                <w:szCs w:val="13"/>
                <w:color w:val="auto"/>
              </w:rPr>
            </w:pPr>
          </w:p>
        </w:tc>
        <w:tc>
          <w:tcPr>
            <w:tcW w:w="2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rPr>
              <w:t>1,091</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740" w:type="dxa"/>
            <w:vAlign w:val="bottom"/>
            <w:shd w:val="clear" w:color="auto" w:fill="CCEEFF"/>
          </w:tcPr>
          <w:p>
            <w:pPr>
              <w:ind w:left="300"/>
              <w:spacing w:after="0" w:line="152" w:lineRule="exact"/>
              <w:rPr>
                <w:sz w:val="20"/>
                <w:szCs w:val="20"/>
                <w:color w:val="auto"/>
              </w:rPr>
            </w:pPr>
            <w:r>
              <w:rPr>
                <w:rFonts w:ascii="Times New Roman" w:cs="Times New Roman" w:eastAsia="Times New Roman" w:hAnsi="Times New Roman"/>
                <w:sz w:val="15"/>
                <w:szCs w:val="15"/>
                <w:color w:val="auto"/>
              </w:rPr>
              <w:t>Cash paid for taxes</w:t>
            </w:r>
          </w:p>
        </w:tc>
        <w:tc>
          <w:tcPr>
            <w:tcW w:w="1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40"/>
              <w:spacing w:after="0" w:line="15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jc w:val="right"/>
              <w:spacing w:after="0" w:line="15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Supplemental Schedule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740" w:type="dxa"/>
            <w:vAlign w:val="bottom"/>
            <w:shd w:val="clear" w:color="auto" w:fill="CCEEFF"/>
          </w:tcPr>
          <w:p>
            <w:pPr>
              <w:ind w:left="300"/>
              <w:spacing w:after="0" w:line="159" w:lineRule="exact"/>
              <w:rPr>
                <w:sz w:val="20"/>
                <w:szCs w:val="20"/>
                <w:color w:val="auto"/>
              </w:rPr>
            </w:pPr>
            <w:r>
              <w:rPr>
                <w:rFonts w:ascii="Times New Roman" w:cs="Times New Roman" w:eastAsia="Times New Roman" w:hAnsi="Times New Roman"/>
                <w:sz w:val="15"/>
                <w:szCs w:val="15"/>
                <w:color w:val="auto"/>
              </w:rPr>
              <w:t>Forgiveness of PPP loan</w:t>
            </w:r>
          </w:p>
        </w:tc>
        <w:tc>
          <w:tcPr>
            <w:tcW w:w="1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372</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auto"/>
              </w:rPr>
              <w:t>Operating lease right-of-use asset obtained in exchange for lease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740" w:type="dxa"/>
            <w:vAlign w:val="bottom"/>
            <w:vMerge w:val="continue"/>
          </w:tcPr>
          <w:p>
            <w:pPr>
              <w:spacing w:after="0"/>
              <w:rPr>
                <w:sz w:val="13"/>
                <w:szCs w:val="13"/>
                <w:color w:val="auto"/>
              </w:rPr>
            </w:pPr>
          </w:p>
        </w:tc>
        <w:tc>
          <w:tcPr>
            <w:tcW w:w="1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rPr>
              <w:t>140</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rPr>
              <w:t>474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20"/>
          </w:cols>
          <w:pgMar w:left="320" w:top="451" w:right="5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15"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Cold Genesys Inc. was incorporated in California in September 2010, reincorporated in Delaware in November 2017 and is headquartered in Irvine, California. Cold Genesys, Inc. changed its name to CG Oncology, Inc. (the Company), in March 2020. The Company is a late-stage clinical biopharmaceutical company focused on developing and commercializing its product candidate, cretostimogene, for patients with bladder cancer. The Company is at a clinical stage and does not project to generate significant revenues if and until the U.S. Food and Drug Administration (FDA) approves its primary asset, cretostimogene.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accompanying financial statements are prepared in conformity with U.S. generally accepted accounting principles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115"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As of December 31, 2022, the Company had approximately $143.5 million of cash, cash equivalents and marketable securities and working capital of approximately $131.8 million. The revenue and income potential of the Company’s business and market are unproven. The Company has experienced net losses and negative cash flows from operations since its inception and, as of December 31, 2022, the Company had an accumulated deficit of $81.3 million. During the year ended December 31, 2022, the Company incurred a net loss of $35.4 million and negative cash flows from operations of $29.8 million. The Company will continue to incur significant costs and expenses related to its ongoing operations until it successfully develops, obtains regulatory approval and gains market acceptance of cretostimogene and achieves a level of revenues adequate to support the Company’s operations.</w:t>
      </w:r>
    </w:p>
    <w:p>
      <w:pPr>
        <w:spacing w:after="0" w:line="187"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From inception to December 31, 2022, the Company has funded its operations through the issuance of shares of its redeemable convertible preferred stock and long-term debt. The Company believes that its current capital resources, which consist of cash, cash equivalents and marketable securities, will be sufficient to fund operations through at least the next twelve months from the date the accompanying financial statements are issued based on its expected cash needs. As the Company continues to pursue its business plan, it expects to finance its operations through equity offerings, debt financings, or other capital sources, including current or potential future collaborations, licenses, and other similar arrangements. However, there can be no assurance that any additional financing or strategic arrangements will be available to the Company on acceptable terms, if at all. If events or circumstances occur such that the Company does not obtain additional funding, it may be necessary to significantly reduce its scope of operations to reduce the current rate of spending through actions such as reductions in staff and the need to delay, limit, reduce or terminate its product development or future commercialization efforts or grant rights to develop and market product candidates that it would otherwise prefer to develop and market itself, which could have a material adverse effect on the Company’s business, results of operations or financial condition.</w:t>
      </w:r>
    </w:p>
    <w:p>
      <w:pPr>
        <w:spacing w:after="0" w:line="2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assumptions, and judgements that affect the reported amounts of assets, liabilities, expenses, and related</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20"/>
          </w:cols>
          <w:pgMar w:left="320" w:top="451" w:right="5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spacing w:after="0" w:line="249" w:lineRule="auto"/>
        <w:rPr>
          <w:sz w:val="20"/>
          <w:szCs w:val="20"/>
          <w:color w:val="auto"/>
        </w:rPr>
      </w:pPr>
      <w:r>
        <w:rPr>
          <w:rFonts w:ascii="Times New Roman" w:cs="Times New Roman" w:eastAsia="Times New Roman" w:hAnsi="Times New Roman"/>
          <w:sz w:val="18"/>
          <w:szCs w:val="18"/>
          <w:color w:val="auto"/>
        </w:rPr>
        <w:t>disclosures in the accompanying notes. The Company bases its estimates, assumptions and judgements on historical experience when available and on various factors that it believes to be reasonable under the circumstances as of the date of the accompanying financial statements including the fair value of common stock, stock-based compensation expense, accrued expenses, lease accounting, and the recoverability of the Company’s net deferred tax assets and related valuation allowance. In addition, other factors may affect estimates, including the expected business and operational changes, the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Actual results could differ materially from the estimates and assumptions used in the preparation of the accompanying financial statements under different assumptions or conditions.</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investments and instruments with original maturities of 90 days or less that can be liquidated without prior notice or penalty to be cash equivalents. Cash equivalents consisted primarily of demand deposit accounts, insurance deposits and short-term U.S. Treasury money market funds as of December 31, 2021 and 2022. Marketable securities represent fixed income securities which consists of U.S. Treasury bills with maturities greater than 90 days.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115"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Financial instruments that subject the Company to significant concentrations of credit risk consist primarily of cash and cash equivalents. The Company deposits cash and cash equivalents with high credit quality financial institutions in the United States. These deposits are held in checking and money market accounts and may, from time to time, exceed the federally insured amounts. The Company has not experienced any losses in such accounts. The Company believes it is not exposed to any significant risk in its cash and cash equivalents. The primary objectives of the Company’s investment portfolio are the preservation of capital and maintenance of liquidity.</w:t>
      </w:r>
    </w:p>
    <w:p>
      <w:pPr>
        <w:spacing w:after="0" w:line="18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risks related to the successful development and commercialization of product candidates, fluctuations in operating results and financial risks, the ability to successfully raise additional funds when needed, protection of proprietary rights and patent risks, patent litigation, compliance with government regulations, dependence on key personnel and collaboration partners, and competition from competing products in the marketplace.</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5" w:lineRule="exact"/>
        <w:rPr>
          <w:sz w:val="20"/>
          <w:szCs w:val="20"/>
          <w:color w:val="auto"/>
        </w:rPr>
      </w:pPr>
    </w:p>
    <w:p>
      <w:pPr>
        <w:jc w:val="both"/>
        <w:ind w:left="220" w:firstLine="432"/>
        <w:spacing w:after="0" w:line="267" w:lineRule="auto"/>
        <w:rPr>
          <w:sz w:val="20"/>
          <w:szCs w:val="20"/>
          <w:color w:val="auto"/>
        </w:rPr>
      </w:pPr>
      <w:r>
        <w:rPr>
          <w:rFonts w:ascii="Times New Roman" w:cs="Times New Roman" w:eastAsia="Times New Roman" w:hAnsi="Times New Roman"/>
          <w:sz w:val="17"/>
          <w:szCs w:val="17"/>
          <w:color w:val="auto"/>
        </w:rPr>
        <w:t>The Company applies fair value measurements to record fair value adjustments to certain assets and liabilities and to determine fair value disclosures. The Company’s financial instruments consist principally of cash, cash equivalents, marketable securities, accounts payable and operating lease liabilities. Fair value is measured as the price that would be received to sell an asset or paid to transfer a liability in an orderly transaction between market participants at the measurement date. A fair value measurement assumes that the transaction to sell the asset or transfer the liability occurs in the principal market for the asset or liability or, in the absence of a principal market, the most advantageous market. A framework is used for measuring fair value utilizing a three-tier hierarchy that prioritizes the inputs to valuation techniques used to measure fair value. The hierarchy gives the highest priority to unadjusted quoted prices in active markets for identical assets or liabilities (Level 1) and the lowest priority to unobservable inputs (Level 3).</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20"/>
          </w:cols>
          <w:pgMar w:left="320" w:top="451" w:right="5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07" w:lineRule="exact"/>
        <w:rPr>
          <w:sz w:val="20"/>
          <w:szCs w:val="20"/>
          <w:color w:val="auto"/>
        </w:rPr>
      </w:pPr>
    </w:p>
    <w:p>
      <w:pPr>
        <w:jc w:val="both"/>
        <w:ind w:left="9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—Observable inputs such as unadjusted quoted prices in active markets that are accessible at the measurement date for identical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unrestricted assets or liabilities the Company has the ability to access;</w:t>
      </w:r>
    </w:p>
    <w:p>
      <w:pPr>
        <w:spacing w:after="0" w:line="50" w:lineRule="exact"/>
        <w:rPr>
          <w:sz w:val="20"/>
          <w:szCs w:val="20"/>
          <w:color w:val="auto"/>
        </w:rPr>
      </w:pPr>
    </w:p>
    <w:p>
      <w:pPr>
        <w:jc w:val="both"/>
        <w:ind w:left="9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substantially the full term of the asset or liability. These include quoted prices for similar assets or liabilities in active markets and quoted prices for identical or similar assets or liabilities in markets that are not active; and</w:t>
      </w:r>
    </w:p>
    <w:p>
      <w:pPr>
        <w:spacing w:after="0" w:line="64"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—Unobservable inputs that are significant to the fair value measurement and reflect the reporting entity’s use of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judgment and assumptions when there is little or no market data. Level 3 assets and liabilities include those whose fair value measurements are determined using pricing models, discounted cash flow methodologies or similar valuation techniques and significant management judgment or estimation.</w:t>
      </w:r>
    </w:p>
    <w:p>
      <w:pPr>
        <w:spacing w:after="0" w:line="181"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Financial instruments are categorized in their entirety based on the lowest level of input that is significant to the fair value measurement. The assessment of the significance of a particular input to the fair value measurement requires judgment and considers factors specific to the investment.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differences between net loss and comprehensive loss presented in the statements of operations for the years ended December 31,</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2021 and 2022.</w:t>
      </w:r>
    </w:p>
    <w:p>
      <w:pPr>
        <w:spacing w:after="0" w:line="3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over five years, which equals the estimated useful lives of the respective assets.</w:t>
      </w:r>
    </w:p>
    <w:p>
      <w:pPr>
        <w:spacing w:after="0" w:line="163"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 initial cost of property and equipment consists of its purchase price and any directly attributable costs of bringing the asset to its working condition and location for its intended use. Expenditures incurred after the assets have been put into operation, such as repairs and maintenance, are charged to expense in the period in which the costs are incurred. Major replacements, improvements, and additions are capitalized in accordance with Company policy.</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 Company evaluates its long-lived assets, which consist of property and equipment and operating lease right-of-use assets, for impairment at least annually and whenever events or changes in circumstances indicate that the carrying value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20"/>
          </w:cols>
          <w:pgMar w:left="320" w:top="451" w:right="5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right="20"/>
        <w:spacing w:after="0" w:line="274" w:lineRule="auto"/>
        <w:rPr>
          <w:sz w:val="20"/>
          <w:szCs w:val="20"/>
          <w:color w:val="auto"/>
        </w:rPr>
      </w:pPr>
      <w:r>
        <w:rPr>
          <w:rFonts w:ascii="Times New Roman" w:cs="Times New Roman" w:eastAsia="Times New Roman" w:hAnsi="Times New Roman"/>
          <w:sz w:val="18"/>
          <w:szCs w:val="18"/>
          <w:color w:val="auto"/>
        </w:rPr>
        <w:t>use of the assets. If the asset is considered to be impaired, the amount of any impairment is measured as the difference between the carrying value and the fair value of the impaired asset. The Company recognized no impairment losses for the years ended December 31, 2021 and 2022.</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15" w:lineRule="exact"/>
        <w:rPr>
          <w:sz w:val="20"/>
          <w:szCs w:val="20"/>
          <w:color w:val="auto"/>
        </w:rPr>
      </w:pPr>
    </w:p>
    <w:p>
      <w:pPr>
        <w:jc w:val="both"/>
        <w:ind w:left="220" w:firstLine="432"/>
        <w:spacing w:after="0" w:line="269" w:lineRule="auto"/>
        <w:rPr>
          <w:sz w:val="20"/>
          <w:szCs w:val="20"/>
          <w:color w:val="auto"/>
        </w:rPr>
      </w:pPr>
      <w:r>
        <w:rPr>
          <w:rFonts w:ascii="Times New Roman" w:cs="Times New Roman" w:eastAsia="Times New Roman" w:hAnsi="Times New Roman"/>
          <w:sz w:val="17"/>
          <w:szCs w:val="17"/>
          <w:color w:val="auto"/>
        </w:rPr>
        <w:t>On March 27, 2020, President Trump signed into law the Coronavirus Aid, Relief and Economic Security Act (CARES Act). The Company entered into a loan agreement (the PPP Loan) with Silicon Valley Bank (SVB) under the Paycheck Protection Program (the PPP), which is part of the CARES Act administered by the U.S. Small Business Administration (SBA). As part of the application for these funds, the Company, in good faith, certified that the then current economic uncertainty made the loan request necessary to support the ongoing operations of the Company. The certification further required the Company to take into account its current business activity and its ability to access other sources of liquidity sufficient to support ongoing operations in a manner that was not significantly detrimental to the business. The Company recorded the entire amount of the PPP Loan as debt.</w:t>
      </w:r>
    </w:p>
    <w:p>
      <w:pPr>
        <w:spacing w:after="0" w:line="169"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The Company applied for forgiveness of the PPP Loan of $0.4 million in 2021. In 2021, the Company received a confirmation notice from SVB that the forgiveness of the PPP Loan was approved by the SBA.</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5"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(the Commencement Date) based on the present value of lease payments over the lease term. At the inception of a contract, the Company determines whether the arrangement is or contains a lease based on the facts and circumstances present. The Company had no finance leases as of December 31, 2021 and 2022.</w:t>
      </w:r>
    </w:p>
    <w:p>
      <w:pPr>
        <w:spacing w:after="0" w:line="185"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The Company elects the practical expedient to exclude short-term agreements of less than 12 months from capitalization. The Company enters into various operating leases for office space. The leases expire at various dates, have various options to renew, and may contain escalation provisions.</w:t>
      </w:r>
    </w:p>
    <w:p>
      <w:pPr>
        <w:spacing w:after="0" w:line="185"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Rent expense on 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balance sheets. Landlord improvement allowances and other such lease incentives are recorded as property and equipment and as a reduction of the right-of-use leased assets and are amortized on a straight-line basis as a reduction to operating lease costs. The key estimates for the Company’s leases include the incremental borrowing rate used to determine the present value of lease payments and the lease term. The Company’s leases generally do not include an implicit rate. Management determines the incremental borrowing rate based on the information available at lease commencement.</w:t>
      </w:r>
    </w:p>
    <w:p>
      <w:pPr>
        <w:spacing w:after="0" w:line="187"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Operating lease right-of-use assets are initially measured at cost, which comprises the initial amount of the lease liability adjusted for lease payments made at or before the lease commencement date, plus any initial direct costs incurred less any lease incentives received. Operating lease right-of-use assets are subsequently measured</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40"/>
          </w:cols>
          <w:pgMar w:left="320" w:top="451" w:right="5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spacing w:after="0" w:line="259" w:lineRule="auto"/>
        <w:rPr>
          <w:sz w:val="20"/>
          <w:szCs w:val="20"/>
          <w:color w:val="auto"/>
        </w:rPr>
      </w:pPr>
      <w:r>
        <w:rPr>
          <w:rFonts w:ascii="Times New Roman" w:cs="Times New Roman" w:eastAsia="Times New Roman" w:hAnsi="Times New Roman"/>
          <w:sz w:val="18"/>
          <w:szCs w:val="18"/>
          <w:color w:val="auto"/>
        </w:rPr>
        <w:t>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Operating lease liabilities are initially measured at the present value of the unpaid lease payments at the lease commencement date.</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Collaboration Revenue</w:t>
      </w:r>
    </w:p>
    <w:p>
      <w:pPr>
        <w:spacing w:after="0" w:line="115" w:lineRule="exact"/>
        <w:rPr>
          <w:sz w:val="20"/>
          <w:szCs w:val="20"/>
          <w:color w:val="auto"/>
        </w:rPr>
      </w:pPr>
    </w:p>
    <w:p>
      <w:pPr>
        <w:jc w:val="both"/>
        <w:ind w:left="220" w:firstLine="432"/>
        <w:spacing w:after="0" w:line="304" w:lineRule="auto"/>
        <w:rPr>
          <w:sz w:val="20"/>
          <w:szCs w:val="20"/>
          <w:color w:val="auto"/>
        </w:rPr>
      </w:pPr>
      <w:r>
        <w:rPr>
          <w:rFonts w:ascii="Times New Roman" w:cs="Times New Roman" w:eastAsia="Times New Roman" w:hAnsi="Times New Roman"/>
          <w:sz w:val="17"/>
          <w:szCs w:val="17"/>
          <w:color w:val="auto"/>
        </w:rPr>
        <w:t>The Company entered into development and license agreements with Lepu Biotech Co., Ltd. (Lepu) and Kissei Pharmaceutical Co., Ltd. (Kissei), collectively referred to as the License and Collaboration Agreements. See Note 6 for a description of the License and Collaboration Agreements.</w:t>
      </w:r>
    </w:p>
    <w:p>
      <w:pPr>
        <w:spacing w:after="0" w:line="141" w:lineRule="exact"/>
        <w:rPr>
          <w:sz w:val="20"/>
          <w:szCs w:val="20"/>
          <w:color w:val="auto"/>
        </w:rPr>
      </w:pPr>
    </w:p>
    <w:p>
      <w:pPr>
        <w:jc w:val="both"/>
        <w:ind w:left="220" w:firstLine="432"/>
        <w:spacing w:after="0" w:line="269" w:lineRule="auto"/>
        <w:rPr>
          <w:sz w:val="20"/>
          <w:szCs w:val="20"/>
          <w:color w:val="auto"/>
        </w:rPr>
      </w:pPr>
      <w:r>
        <w:rPr>
          <w:rFonts w:ascii="Times New Roman" w:cs="Times New Roman" w:eastAsia="Times New Roman" w:hAnsi="Times New Roman"/>
          <w:sz w:val="17"/>
          <w:szCs w:val="17"/>
          <w:color w:val="auto"/>
        </w:rPr>
        <w:t xml:space="preserve">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xml:space="preserve"> (ASC 808). This assessment is performed throughout the life of the arrangement based on changes in the responsibilities of all parties in the arrangement. For collaboration arrangements within the scope of ASC 808 that contain multiple units of account, the Company first determines which components of the collaboration are deemed to be within the scope of ASC 808 and which components of the collaboration are more reflective of a vendor-customer relationship and therefore within the scope of ASC 606.</w:t>
      </w:r>
    </w:p>
    <w:p>
      <w:pPr>
        <w:spacing w:after="0" w:line="169"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For units of account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other participants associated with multiple activities in a collaboration arrangement based on the nature of each separate activity.</w:t>
      </w:r>
    </w:p>
    <w:p>
      <w:pPr>
        <w:spacing w:after="0" w:line="180"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For units of account accounted within scope of ASC 606, to determine the appropriate amount of revenue to be recognized for the arrangements,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8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The Company’s performance obligations under the terms of these agreements include a license grant, research and development services or customer options, depending on the terms of the License and Collaboration Agreement. Payments to the Company include a non-refundable upfront payment, payments based upon the achievement of development and commercial milestones, and royalties on product sales under the License and Collaboration agreements.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Development milestones</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The License and Collaboration Agreements include milestone payments that are triggered by the achievement of development milestones. These milestone payments represent variable consideration that are not initially recognized within the transaction price. Revenue from milestones will be recognized at the time the specified milestone events have been achieved.</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Sales milestones and royalty payments</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License and Collaboration Agreements also include certain sales-based milestone and royalty payments upon successful commercialization of a licensed product. In accordance with ASC 606, the Company recognizes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20"/>
          </w:cols>
          <w:pgMar w:left="320" w:top="451" w:right="5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right="20"/>
        <w:spacing w:after="0" w:line="259" w:lineRule="auto"/>
        <w:rPr>
          <w:sz w:val="20"/>
          <w:szCs w:val="20"/>
          <w:color w:val="auto"/>
        </w:rPr>
      </w:pPr>
      <w:r>
        <w:rPr>
          <w:rFonts w:ascii="Times New Roman" w:cs="Times New Roman" w:eastAsia="Times New Roman" w:hAnsi="Times New Roman"/>
          <w:sz w:val="18"/>
          <w:szCs w:val="18"/>
          <w:color w:val="auto"/>
        </w:rPr>
        <w:t>revenue from sales-based milestone and royalty payments at the later of: (i) the occurrence of the subsequent sale; or (ii) the performance obligation to which some or all of the sales-based milestone or royalty payments has been allocated or has been satisfied. The Company anticipates recognizing these milestones and royalty payments if and when subsequent sales are generated.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5"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Research and development (R&amp;D) expenses consist of costs incurred for R&amp;D of its product candidate and are recorded to operating expenses when incurred. The Company’s R&amp;D expenses consist primarily of costs incurred in performing R&amp;D activities, including personnel-related expenses such as salaries, stock-based compensation and benefits, as well as allocated facilities costs, dues and subscriptions and external costs of outside vendors engaged as contract research organization (CRO), contract manufacturers, consultants and other third parties to conduct and support our clinical trials and preclinical studies. The Company accrues expenses related to development activities performed by third parties based on an evaluation of services received and efforts expended pursuant to the terms of the contractual arrangements. Payments under some of these contracts depend on clinical trial milestones. There may be instances in which payments made to the Company’s vendors will exceed the level of services provided and result in a prepayment of expenses. In accruing service fees, the Company estimates the time period over which services will be performed and the level of effort to be expended in each period. If the actual timing of the performance of services or the level of effort varies from the estimate, the Company will adjust the accrual or prepaid expense accordingly. Costs to acquire technologies to be used in R&amp;D that have not reached technological feasibility and have no alternative future use are also expensed as incurred.</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of December 31, 2021 and 2022, the Company had two stock-based compensation plans, the 2015 Equity Incentive Plan (the 2015 Plan) and</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2022 Incentive Award Plan (the 2022 Plan), which are more fully described in Note 9.</w:t>
      </w:r>
    </w:p>
    <w:p>
      <w:pPr>
        <w:spacing w:after="0" w:line="198"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The Company periodically grants equity-based payment awards in the form of stock options to employees, directors and non-employees and records stock-based compensation expenses for awards of stock-based payments based on their estimated fair value at the grant date. The Company recognizes stock-based compensation expense for all equity-based payments, including stock options. Stock-based compensation costs are calculated based on the estimated fair value of the underlying option using the Black-Scholes option pricing model on the date of grant for stock options and are recognized as expense in the accompanying statement of operations and comprehensive loss on a straight-line basis over the requisite service period, which is the vesting period. Determining the appropriate fair value model and related input assumptions requires judgment, including estimating the fair value of the Company’s common stock, stock price volatility, and expected term.</w:t>
      </w:r>
    </w:p>
    <w:p>
      <w:pPr>
        <w:spacing w:after="0" w:line="187" w:lineRule="exact"/>
        <w:rPr>
          <w:sz w:val="20"/>
          <w:szCs w:val="20"/>
          <w:color w:val="auto"/>
        </w:rPr>
      </w:pPr>
    </w:p>
    <w:p>
      <w:pPr>
        <w:jc w:val="both"/>
        <w:ind w:left="220" w:right="20" w:firstLine="432"/>
        <w:spacing w:after="0" w:line="251"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common stock is determined by the Company’s Board of Directors (the Board) at the time of each option grant by considering a number of objective and subjective factors. These factors include the valuation of a select group of public peer companies within the industry that focus on biotechnology that the Board believes is comparable to the Company’s operations; operating and financial performance; the lack of liquidity of the common stock and trends in the broader economy and medical device industry also impact the determination of the fair value of the common stock. In addition, the Company regularly engages a third-party valuation specialist to assist with estimates related to the valuation of the Company’s common stock;</w:t>
      </w:r>
    </w:p>
    <w:p>
      <w:pPr>
        <w:spacing w:after="0" w:line="92" w:lineRule="exact"/>
        <w:rPr>
          <w:sz w:val="20"/>
          <w:szCs w:val="20"/>
          <w:color w:val="auto"/>
        </w:rPr>
      </w:pPr>
    </w:p>
    <w:p>
      <w:pPr>
        <w:ind w:left="1180" w:right="20" w:hanging="538"/>
        <w:spacing w:after="0" w:line="274" w:lineRule="auto"/>
        <w:tabs>
          <w:tab w:leader="none" w:pos="1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used is based on the published U.S. Department of Treasury interest rates in effect at the time of stock option grant for zero coupon U.S. Treasury notes with maturities approximating each grant’s expected term;</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40"/>
          </w:cols>
          <w:pgMar w:left="320" w:top="451" w:right="5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ind w:left="1180" w:hanging="538"/>
        <w:spacing w:after="0"/>
        <w:tabs>
          <w:tab w:leader="none" w:pos="11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yield is zero as the Company has not paid dividends and does not anticipate paying a cash dividend in the foreseeable future;</w:t>
      </w:r>
    </w:p>
    <w:p>
      <w:pPr>
        <w:spacing w:after="0" w:line="135" w:lineRule="exact"/>
        <w:rPr>
          <w:rFonts w:ascii="Times New Roman" w:cs="Times New Roman" w:eastAsia="Times New Roman" w:hAnsi="Times New Roman"/>
          <w:sz w:val="17"/>
          <w:szCs w:val="17"/>
          <w:color w:val="auto"/>
        </w:rPr>
      </w:pPr>
    </w:p>
    <w:p>
      <w:pPr>
        <w:ind w:left="1180" w:right="20" w:hanging="538"/>
        <w:spacing w:after="0" w:line="274" w:lineRule="auto"/>
        <w:tabs>
          <w:tab w:leader="none" w:pos="1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for options granted is calculated using the simplified method and represents the average time that options are expected to be outstanding based on the mid-point between the vesting date and the end of the contractual term of the award;</w:t>
      </w:r>
    </w:p>
    <w:p>
      <w:pPr>
        <w:spacing w:after="0" w:line="70" w:lineRule="exact"/>
        <w:rPr>
          <w:rFonts w:ascii="Times New Roman" w:cs="Times New Roman" w:eastAsia="Times New Roman" w:hAnsi="Times New Roman"/>
          <w:sz w:val="18"/>
          <w:szCs w:val="18"/>
          <w:color w:val="auto"/>
        </w:rPr>
      </w:pPr>
    </w:p>
    <w:p>
      <w:pPr>
        <w:ind w:left="1180" w:right="20" w:hanging="538"/>
        <w:spacing w:after="0" w:line="274" w:lineRule="auto"/>
        <w:tabs>
          <w:tab w:leader="none" w:pos="1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derived from the historical volatilities of a select group of comparable peer companies, for a look-back period commensurate with the expected term of the stock options, as the Company has no trading history of common stock.</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forfeitures related to stock-based compensation awards as they occur.</w:t>
      </w:r>
    </w:p>
    <w:p>
      <w:pPr>
        <w:spacing w:after="0" w:line="217"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The Company classifies stock-based compensation expense in the statement of operations in the same manner in which the award recipients’ payroll costs are classified or in which the award recipients’ service payments are classified.</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3"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ASC 740 requires the use of the asset and liability method of accounting for income taxes. The current or deferred tax consequences of a transaction are measured by applying the provisions of enacted tax laws to determine the amount of taxes payable currently or in future years. Deferred tax assets and liabilities are determined based on the difference between the financial statements and tax basis of assets and liabilities and expected future tax consequences of events that have been included in the financial statements or tax returns using enacted tax rates in effect for the year in which the differences are expected to reverse. Under this method, a valuation allowance is used to offset deferred tax assets if, based upon the available evidence, it is more likely than not that some or all of the deferred tax assets may not be realized. Management annually evaluates the recoverability of deferred taxes and the adequacy of the valuation allowance. See Note 10 for additional information.</w:t>
      </w:r>
    </w:p>
    <w:p>
      <w:pPr>
        <w:spacing w:after="0" w:line="185"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The Company follows the provisions of ASC 740 relative to accounting for uncertain tax positions. These provisions provide guidance on the recognition, de-recognition and measurement of potential tax benefits associated with tax positions. For those benefits to be recognized, a tax position must be more likely than not to be sustained upon examination by taxing authorities. As applicable, the Company recognizes accrued penalties and interest related to unrecognized tax benefits in the provision for income taxes.</w:t>
      </w:r>
    </w:p>
    <w:p>
      <w:pPr>
        <w:spacing w:after="0" w:line="180"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Significant judgment is required in determining the Company’s provision for income taxes, deferred tax assets and liabilities and the valuation allowance recorded against net deferred tax assets. The Company assesses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w:t>
      </w:r>
    </w:p>
    <w:p>
      <w:pPr>
        <w:spacing w:after="0" w:line="185"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The Company is required to file federal and state income tax returns in the U.S. The preparation of state tax returns requires the Company to interpret the applicable tax laws and regulations in effect in such jurisdictions, which could affect the amount of tax paid by the Company.</w:t>
      </w:r>
    </w:p>
    <w:p>
      <w:pPr>
        <w:spacing w:after="0" w:line="163"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The Company’s income tax returns are based on calculations and assumptions that are subject to examination by the Internal Revenue Service and other tax authorities. In addition, the calculation of the</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40"/>
          </w:cols>
          <w:pgMar w:left="320" w:top="451" w:right="5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spacing w:after="0" w:line="249" w:lineRule="auto"/>
        <w:rPr>
          <w:sz w:val="20"/>
          <w:szCs w:val="20"/>
          <w:color w:val="auto"/>
        </w:rPr>
      </w:pPr>
      <w:r>
        <w:rPr>
          <w:rFonts w:ascii="Times New Roman" w:cs="Times New Roman" w:eastAsia="Times New Roman" w:hAnsi="Times New Roman"/>
          <w:sz w:val="18"/>
          <w:szCs w:val="18"/>
          <w:color w:val="auto"/>
        </w:rPr>
        <w:t>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90" w:lineRule="exact"/>
        <w:rPr>
          <w:sz w:val="20"/>
          <w:szCs w:val="20"/>
          <w:color w:val="auto"/>
        </w:rPr>
      </w:pPr>
    </w:p>
    <w:p>
      <w:pPr>
        <w:jc w:val="both"/>
        <w:ind w:left="220" w:right="20" w:firstLine="432"/>
        <w:spacing w:after="0" w:line="304" w:lineRule="auto"/>
        <w:rPr>
          <w:sz w:val="20"/>
          <w:szCs w:val="20"/>
          <w:color w:val="auto"/>
        </w:rPr>
      </w:pPr>
      <w:r>
        <w:rPr>
          <w:rFonts w:ascii="Times New Roman" w:cs="Times New Roman" w:eastAsia="Times New Roman" w:hAnsi="Times New Roman"/>
          <w:sz w:val="17"/>
          <w:szCs w:val="17"/>
          <w:color w:val="auto"/>
        </w:rPr>
        <w:t>The Company follows the accounting guidance on accounting for uncertainty in income taxes. The guidance prescribes a recognition threshold and measurement attribute criteria for the financial statement recognition and measurement of tax positions taken or expected to be taken in a tax return.</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Redeemable Convertible Preferred Stock</w:t>
      </w:r>
    </w:p>
    <w:p>
      <w:pPr>
        <w:spacing w:after="0" w:line="115"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Classification of the Company’s Series A-1, B, C, D and E redeemable convertible preferred stock is being treated as mezzanine equity and not as part of stockholders’ deficit because the holders of such shares have liquidation rights in the event of a deemed liquidation that, in certain situations, are not solely within the control of the Company and would require the redemption of the then-outstanding redeemable convertible preferred stock. In addition, all of the Company’s redeemable convertible preferred stock are redeemable with the passage of time on or after September 30, 2027, by class and if requested by a requisite majority of each class. See Note 7 for additional information.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values of the Series A-1, B, C, D and E redeemable convertible preferred stock are reported at their respective redemption values.</w:t>
      </w:r>
    </w:p>
    <w:p>
      <w:pPr>
        <w:spacing w:after="0" w:line="3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15"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The Company determined all of its redeemable convertible preferred stock qualifies as participating securities, as defined in ASC 260. Under ASC 260, securities are considered participating securities if the securities may participate in undistributed earnings with common stock. In accordance with ASC 260, a company is required to use the two-class method when computing net income (loss) per share when a company has securities that qualify as participating securities. The two-class method is an earnings allocation formula that determines net income (loss) per share for each class of common stock and participating security according to dividends declared (or accumulated) and participation rights in undistributed earnings. Under the two-class method, the net loss attributable to common stockholders is not allocated to the convertible preferred stock as the preferred stockholders do not have a contractual obligation to share in the Company’s losses.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115"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operating decision maker is its Chief Executive Officer. The chief operating decision maker reviews consolidated operating results to make decisions about allocating resources and assessing performance for the entire company. The Company views its operations and manages its business as one operating segment. All of the Company’s assets are located in the United States.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40"/>
          </w:cols>
          <w:pgMar w:left="320" w:top="451" w:right="5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Accounting standards not listed below were assessed and determined not to be applicable or are expected to have minimal impact on the Company’s financial statements.</w:t>
      </w:r>
    </w:p>
    <w:p>
      <w:pPr>
        <w:spacing w:after="0" w:line="161" w:lineRule="exact"/>
        <w:rPr>
          <w:sz w:val="20"/>
          <w:szCs w:val="20"/>
          <w:color w:val="auto"/>
        </w:rPr>
      </w:pPr>
    </w:p>
    <w:p>
      <w:pPr>
        <w:jc w:val="both"/>
        <w:ind w:left="2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The guidance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guidance was effective for fiscal years beginning after December 15, 2021, and interim periods within fiscal years beginning after December 15, 2022. Early adoption was permitted. The adoption of the guidance did not have a material impact on the Company’s financial statements.</w:t>
      </w:r>
    </w:p>
    <w:p>
      <w:pPr>
        <w:spacing w:after="0" w:line="181"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 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 Contracts in Entity’s Own Equity (Subtopic 815-40)</w:t>
      </w:r>
      <w:r>
        <w:rPr>
          <w:rFonts w:ascii="Times New Roman" w:cs="Times New Roman" w:eastAsia="Times New Roman" w:hAnsi="Times New Roman"/>
          <w:sz w:val="18"/>
          <w:szCs w:val="18"/>
          <w:color w:val="auto"/>
        </w:rPr>
        <w:t>. The guidance simplifies the accounting for certain financial instruments, eliminates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models that require separation of beneficial conversion and cash conversion features from convertible instruments, and simplifies the derivative scope exception guidance pertaining to equity classification of contracts in an entity’s own equity. It also introduces additional disclosures for convertible debt and freestanding instruments that are indexed to and settled in an entity’s own equity and amends the diluted earnings per share guidance, including the requirement to use the if-converted method for all convertible instruments. The guidance is effective for public business entities that meet the definition of a Securities and Exchange Commission filer, excluding entities eligible to be smaller reporting companies as defined by the Securities and Exchange Commission, for fiscal years beginning after December 15, 2021, including interim periods within those fiscal years. For all other entities, the guidance is effective for fiscal years beginning after December 15, 2023, including interim periods within those fiscal years. Early adoption is permitted, but no earlier than fiscal years beginning after December 15, 2020, including interim periods within those fiscal years. The Board specified that an entity should adopt the guidance as of the beginning of its annual fiscal year. The Company early-adopted the guidance as of January 1, 2021. The adoption of the guidance did not have a material impact on the Company’s financial statements.</w:t>
      </w: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following tables present the financial instruments carried at fair value on a recurring basis as of December 31, 2021 and 2022 in accordance with the ASC 820 hierarchy (in thousands):</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40" w:type="dxa"/>
            <w:vAlign w:val="bottom"/>
            <w:gridSpan w:val="1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w:t>
            </w:r>
          </w:p>
        </w:tc>
        <w:tc>
          <w:tcPr>
            <w:tcW w:w="0" w:type="dxa"/>
            <w:vAlign w:val="bottom"/>
          </w:tcPr>
          <w:p>
            <w:pPr>
              <w:spacing w:after="0"/>
              <w:rPr>
                <w:sz w:val="1"/>
                <w:szCs w:val="1"/>
                <w:color w:val="auto"/>
              </w:rPr>
            </w:pPr>
          </w:p>
        </w:tc>
      </w:tr>
      <w:tr>
        <w:trPr>
          <w:trHeight w:val="139"/>
        </w:trPr>
        <w:tc>
          <w:tcPr>
            <w:tcW w:w="3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7"/>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Assets</w:t>
            </w:r>
          </w:p>
        </w:tc>
        <w:tc>
          <w:tcPr>
            <w:tcW w:w="3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680" w:type="dxa"/>
            <w:vAlign w:val="bottom"/>
            <w:gridSpan w:val="2"/>
          </w:tcPr>
          <w:p>
            <w:pPr>
              <w:ind w:left="3520"/>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53,047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53,047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Success fee liability</w:t>
            </w:r>
          </w:p>
        </w:tc>
        <w:tc>
          <w:tcPr>
            <w:tcW w:w="3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     351</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gridSpan w:val="1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w:t>
            </w:r>
          </w:p>
        </w:tc>
        <w:tc>
          <w:tcPr>
            <w:tcW w:w="0" w:type="dxa"/>
            <w:vAlign w:val="bottom"/>
          </w:tcPr>
          <w:p>
            <w:pPr>
              <w:spacing w:after="0"/>
              <w:rPr>
                <w:sz w:val="1"/>
                <w:szCs w:val="1"/>
                <w:color w:val="auto"/>
              </w:rPr>
            </w:pPr>
          </w:p>
        </w:tc>
      </w:tr>
      <w:tr>
        <w:trPr>
          <w:trHeight w:val="139"/>
        </w:trPr>
        <w:tc>
          <w:tcPr>
            <w:tcW w:w="3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7"/>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Assets</w:t>
            </w:r>
          </w:p>
        </w:tc>
        <w:tc>
          <w:tcPr>
            <w:tcW w:w="3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680" w:type="dxa"/>
            <w:vAlign w:val="bottom"/>
            <w:gridSpan w:val="2"/>
          </w:tcPr>
          <w:p>
            <w:pPr>
              <w:ind w:left="3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87,143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87,143</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680" w:type="dxa"/>
            <w:vAlign w:val="bottom"/>
            <w:gridSpan w:val="2"/>
            <w:shd w:val="clear" w:color="auto" w:fill="CCEEFF"/>
          </w:tcPr>
          <w:p>
            <w:pPr>
              <w:ind w:left="3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55,338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55,338</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vMerge w:val="continue"/>
          </w:tcPr>
          <w:p>
            <w:pPr>
              <w:spacing w:after="0"/>
              <w:rPr>
                <w:sz w:val="17"/>
                <w:szCs w:val="17"/>
                <w:color w:val="auto"/>
              </w:rPr>
            </w:pPr>
          </w:p>
        </w:tc>
        <w:tc>
          <w:tcPr>
            <w:tcW w:w="3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Success fee liability</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380" w:type="dxa"/>
            <w:vAlign w:val="bottom"/>
          </w:tcPr>
          <w:p>
            <w:pPr>
              <w:spacing w:after="0"/>
              <w:rPr>
                <w:sz w:val="24"/>
                <w:szCs w:val="24"/>
                <w:color w:val="auto"/>
              </w:rPr>
            </w:pPr>
          </w:p>
        </w:tc>
        <w:tc>
          <w:tcPr>
            <w:tcW w:w="36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F-15</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1" w:right="5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w:t>
      </w:r>
    </w:p>
    <w:p>
      <w:pPr>
        <w:spacing w:after="0" w:line="178"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success fee liability associated with the Loan and Security Agreement (the Loan Agreement) the Company entered into in January 2021 was classified as a Level 3 fair value measurement, due to the use of unobservable inputs. See Note 11 for additional information on the Loan Agreement and success fee.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years ended December 31, 2021 and 2022.</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231"/>
        </w:trPr>
        <w:tc>
          <w:tcPr>
            <w:tcW w:w="9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Company’s Level 3 fair value measurement (in thousands):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9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r>
      <w:tr>
        <w:trPr>
          <w:trHeight w:val="212"/>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 of success fee</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12"/>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fair value of success fee recorded in earnings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40" w:type="dxa"/>
            <w:vAlign w:val="bottom"/>
            <w:shd w:val="clear" w:color="auto" w:fill="CCEEFF"/>
          </w:tcPr>
          <w:p>
            <w:pPr>
              <w:spacing w:after="0"/>
              <w:rPr>
                <w:sz w:val="18"/>
                <w:szCs w:val="18"/>
                <w:color w:val="auto"/>
              </w:rPr>
            </w:pPr>
          </w:p>
        </w:tc>
      </w:tr>
      <w:tr>
        <w:trPr>
          <w:trHeight w:val="232"/>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2"/>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fair value of success fee recorded in earnings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r>
      <w:tr>
        <w:trPr>
          <w:trHeight w:val="232"/>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 w:type="dxa"/>
            <w:vAlign w:val="bottom"/>
            <w:tcBorders>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 xml:space="preserve">$     </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352</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9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components of accrued expenses and other current liabilities for the years ended December 31, 2021 and 2022 were as follows (in thousands):</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8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9"/>
        </w:trPr>
        <w:tc>
          <w:tcPr>
            <w:tcW w:w="8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2"/>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218"/>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3,136</w:t>
            </w:r>
          </w:p>
        </w:tc>
        <w:tc>
          <w:tcPr>
            <w:tcW w:w="60" w:type="dxa"/>
            <w:vAlign w:val="bottom"/>
            <w:shd w:val="clear" w:color="auto" w:fill="CCEEFF"/>
          </w:tcPr>
          <w:p>
            <w:pPr>
              <w:spacing w:after="0"/>
              <w:rPr>
                <w:sz w:val="19"/>
                <w:szCs w:val="19"/>
                <w:color w:val="auto"/>
              </w:rPr>
            </w:pPr>
          </w:p>
        </w:tc>
      </w:tr>
      <w:tr>
        <w:trPr>
          <w:trHeight w:val="212"/>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1,833</w:t>
            </w:r>
          </w:p>
        </w:tc>
      </w:tr>
      <w:tr>
        <w:trPr>
          <w:trHeight w:val="212"/>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r>
      <w:tr>
        <w:trPr>
          <w:trHeight w:val="212"/>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r>
      <w:tr>
        <w:trPr>
          <w:trHeight w:val="26"/>
        </w:trPr>
        <w:tc>
          <w:tcPr>
            <w:tcW w:w="8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5"/>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9"/>
                <w:szCs w:val="19"/>
                <w:color w:val="auto"/>
                <w:w w:val="95"/>
              </w:rPr>
              <w:t>   1,957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9"/>
                <w:szCs w:val="19"/>
                <w:color w:val="auto"/>
                <w:w w:val="95"/>
              </w:rPr>
              <w:t>   5,289</w:t>
            </w:r>
          </w:p>
        </w:tc>
      </w:tr>
      <w:tr>
        <w:trPr>
          <w:trHeight w:val="20"/>
        </w:trPr>
        <w:tc>
          <w:tcPr>
            <w:tcW w:w="8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3" w:lineRule="exact"/>
        <w:rPr>
          <w:sz w:val="20"/>
          <w:szCs w:val="20"/>
          <w:color w:val="auto"/>
        </w:rPr>
      </w:pPr>
    </w:p>
    <w:p>
      <w:pPr>
        <w:jc w:val="both"/>
        <w:ind w:left="220" w:firstLine="432"/>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2019, 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of December 31, 2021, the Company had one operating lease, in which the Company was the lessee for office space. As of December 31, 2022, the Company had two operating leases, in which the Company is the lessee for office space. As of December 31, 2022, the lease terms were through 2023 and 2025. The Company had no finance leases as of December 31, 2021 and 2022.</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40"/>
          </w:cols>
          <w:pgMar w:left="320" w:top="451" w:right="5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2021 and 2022 were as follows (in thousands):</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80" w:type="dxa"/>
            <w:vAlign w:val="bottom"/>
            <w:tcBorders>
              <w:bottom w:val="single" w:sz="8" w:color="auto"/>
            </w:tcBorders>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6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ind w:left="140"/>
              <w:spacing w:after="0" w:line="115"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2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80"/>
              </w:rPr>
              <w:t>2021 </w:t>
            </w: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76"/>
              </w:rPr>
              <w:t>2022 </w:t>
            </w:r>
          </w:p>
        </w:tc>
        <w:tc>
          <w:tcPr>
            <w:tcW w:w="4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740" w:type="dxa"/>
            <w:vAlign w:val="bottom"/>
            <w:tcBorders>
              <w:top w:val="single" w:sz="8" w:color="CCEE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Lease cost</w:t>
            </w:r>
          </w:p>
        </w:tc>
        <w:tc>
          <w:tcPr>
            <w:tcW w:w="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9"/>
                <w:szCs w:val="19"/>
                <w:color w:val="auto"/>
              </w:rPr>
              <w:t>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173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7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20" w:type="dxa"/>
            <w:vAlign w:val="bottom"/>
            <w:gridSpan w:val="2"/>
          </w:tcPr>
          <w:p>
            <w:pPr>
              <w:jc w:val="right"/>
              <w:ind w:right="560"/>
              <w:spacing w:after="0" w:line="203" w:lineRule="exact"/>
              <w:rPr>
                <w:sz w:val="20"/>
                <w:szCs w:val="20"/>
                <w:color w:val="auto"/>
              </w:rPr>
            </w:pPr>
            <w:r>
              <w:rPr>
                <w:rFonts w:ascii="Times New Roman" w:cs="Times New Roman" w:eastAsia="Times New Roman" w:hAnsi="Times New Roman"/>
                <w:sz w:val="19"/>
                <w:szCs w:val="19"/>
                <w:color w:val="auto"/>
              </w:rPr>
              <w:t>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420" w:type="dxa"/>
            <w:vAlign w:val="bottom"/>
            <w:gridSpan w:val="4"/>
          </w:tcPr>
          <w:p>
            <w:pPr>
              <w:jc w:val="right"/>
              <w:ind w:right="240"/>
              <w:spacing w:after="0" w:line="203" w:lineRule="exact"/>
              <w:rPr>
                <w:sz w:val="20"/>
                <w:szCs w:val="20"/>
                <w:color w:val="auto"/>
              </w:rPr>
            </w:pPr>
            <w:r>
              <w:rPr>
                <w:rFonts w:ascii="Times New Roman" w:cs="Times New Roman" w:eastAsia="Times New Roman" w:hAnsi="Times New Roman"/>
                <w:sz w:val="19"/>
                <w:szCs w:val="19"/>
                <w:color w:val="auto"/>
              </w:rPr>
              <w:t> </w:t>
            </w:r>
          </w:p>
        </w:tc>
        <w:tc>
          <w:tcPr>
            <w:tcW w:w="0" w:type="dxa"/>
            <w:vAlign w:val="bottom"/>
          </w:tcPr>
          <w:p>
            <w:pPr>
              <w:spacing w:after="0"/>
              <w:rPr>
                <w:sz w:val="1"/>
                <w:szCs w:val="1"/>
                <w:color w:val="auto"/>
              </w:rPr>
            </w:pPr>
          </w:p>
        </w:tc>
      </w:tr>
      <w:tr>
        <w:trPr>
          <w:trHeight w:val="248"/>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new operating lease liabilities</w:t>
            </w:r>
          </w:p>
        </w:tc>
        <w:tc>
          <w:tcPr>
            <w:tcW w:w="22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3"/>
          </w:tcPr>
          <w:p>
            <w:pPr>
              <w:jc w:val="right"/>
              <w:ind w:right="500"/>
              <w:spacing w:after="0"/>
              <w:rPr>
                <w:sz w:val="20"/>
                <w:szCs w:val="20"/>
                <w:color w:val="auto"/>
              </w:rPr>
            </w:pPr>
            <w:r>
              <w:rPr>
                <w:rFonts w:ascii="Times New Roman" w:cs="Times New Roman" w:eastAsia="Times New Roman" w:hAnsi="Times New Roman"/>
                <w:sz w:val="19"/>
                <w:szCs w:val="19"/>
                <w:color w:val="auto"/>
              </w:rPr>
              <w:t>140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included in operating cash flows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9"/>
                <w:szCs w:val="19"/>
                <w:color w:val="auto"/>
              </w:rPr>
              <w:t>67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20" w:type="dxa"/>
            <w:vAlign w:val="bottom"/>
          </w:tcPr>
          <w:p>
            <w:pPr>
              <w:spacing w:after="0"/>
              <w:rPr>
                <w:sz w:val="18"/>
                <w:szCs w:val="18"/>
                <w:color w:val="auto"/>
              </w:rPr>
            </w:pPr>
          </w:p>
        </w:tc>
        <w:tc>
          <w:tcPr>
            <w:tcW w:w="8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1.63%</w:t>
            </w:r>
          </w:p>
        </w:tc>
        <w:tc>
          <w:tcPr>
            <w:tcW w:w="0" w:type="dxa"/>
            <w:vAlign w:val="bottom"/>
          </w:tcPr>
          <w:p>
            <w:pPr>
              <w:spacing w:after="0"/>
              <w:rPr>
                <w:sz w:val="1"/>
                <w:szCs w:val="1"/>
                <w:color w:val="auto"/>
              </w:rPr>
            </w:pPr>
          </w:p>
        </w:tc>
      </w:tr>
      <w:tr>
        <w:trPr>
          <w:trHeight w:val="425"/>
        </w:trPr>
        <w:tc>
          <w:tcPr>
            <w:tcW w:w="8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Maturities of lease liabilities as of December 31, 2022 were as follows (in thousands):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8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7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9"/>
                <w:szCs w:val="19"/>
                <w:color w:val="auto"/>
              </w:rPr>
              <w:t>195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7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amount representing imputed interest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minimum lease obligations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446</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A liability for loss contingencies arising from claims, assessments, litigation, fines, penalties, and other sources is recorded in the financial statements if it is determined that it is probable that a loss has been incurred, and that the amount (or range) of the loss can be reasonably estimated. There are no matters currently outstanding for which any liabilities have been accrued or require disclosure.</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15"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the Board that will require the Company, among other things, to indemnify them against certain liabilities that may arise by reason of their status or service as directors or officers. As of December 31, 2021 and 2022, the Company had not experienced any losses related to these indemnification obligations, and no claims with respect thereto were outstanding.</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20"/>
          </w:cols>
          <w:pgMar w:left="320" w:top="451" w:right="5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6. License and Collaboration Agreements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w:t>
      </w:r>
    </w:p>
    <w:p>
      <w:pPr>
        <w:spacing w:after="0" w:line="115"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In March 2019, the Company entered into a development and license agreement with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w:t>
      </w:r>
    </w:p>
    <w:p>
      <w:pPr>
        <w:spacing w:after="0" w:line="187"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Lepu paid to the Company a one-time upfront payment of $4.5 million, and Lepu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spacing w:after="0" w:line="180"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The Company assessed the Lepu License Agreement in accordance with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w:t>
      </w:r>
    </w:p>
    <w:p>
      <w:pPr>
        <w:spacing w:after="0" w:line="185"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Future milestone payments are fully contingent as the risk of significant revenue reversal will only be resolved depending on future regulatory approval and sales level outcomes. The Company will re-evaluate the likelihood of achieving future milestones at the end of each reporting period.</w:t>
      </w:r>
    </w:p>
    <w:p>
      <w:pPr>
        <w:spacing w:after="0" w:line="163"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The sales-based royalty fee is considered variable consideration and will be recognized as revenue as such sales occur. The sales-based royalty fee qualifies for the royalty constraint exception and does not require an estimate of the future transaction price.</w:t>
      </w:r>
    </w:p>
    <w:p>
      <w:pPr>
        <w:spacing w:after="0" w:line="163"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2021 and 2022, no development or commercial milestones were met and, as a result, no revenue was recorded related to the Lepu License Agreement.</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15"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In March 2020, and amended as of September 2022, the Company entered into a license and collaboration agreement with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40"/>
          </w:cols>
          <w:pgMar w:left="320" w:top="451" w:right="5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right="20"/>
        <w:spacing w:after="0" w:line="249" w:lineRule="auto"/>
        <w:rPr>
          <w:sz w:val="20"/>
          <w:szCs w:val="20"/>
          <w:color w:val="auto"/>
        </w:rPr>
      </w:pPr>
      <w:r>
        <w:rPr>
          <w:rFonts w:ascii="Times New Roman" w:cs="Times New Roman" w:eastAsia="Times New Roman" w:hAnsi="Times New Roman"/>
          <w:sz w:val="18"/>
          <w:szCs w:val="18"/>
          <w:color w:val="auto"/>
        </w:rPr>
        <w:t>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w:t>
      </w:r>
    </w:p>
    <w:p>
      <w:pPr>
        <w:spacing w:after="0" w:line="187" w:lineRule="exact"/>
        <w:rPr>
          <w:sz w:val="20"/>
          <w:szCs w:val="20"/>
          <w:color w:val="auto"/>
        </w:rPr>
      </w:pPr>
    </w:p>
    <w:p>
      <w:pPr>
        <w:jc w:val="both"/>
        <w:ind w:left="220" w:right="20" w:firstLine="432"/>
        <w:spacing w:after="0" w:line="247" w:lineRule="auto"/>
        <w:rPr>
          <w:sz w:val="20"/>
          <w:szCs w:val="20"/>
          <w:color w:val="auto"/>
        </w:rPr>
      </w:pPr>
      <w:r>
        <w:rPr>
          <w:rFonts w:ascii="Times New Roman" w:cs="Times New Roman" w:eastAsia="Times New Roman" w:hAnsi="Times New Roman"/>
          <w:sz w:val="18"/>
          <w:szCs w:val="18"/>
          <w:color w:val="auto"/>
        </w:rPr>
        <w:t>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We are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197"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the Company granted to Kissei will become non-exclusive, fully-paid royalty-free and irrevocable and Kissei will have the right to negotiate directly with our product suppliers for the direct supply of Licensed Product to Kissei. The Kissei Agreement may be terminated either by Kissei or by the Company in the event of an uncured material breach by the other party or in the event the other party becomes subject to specified bankruptcy, insolvency or similar circumstances. In addition, the Company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our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our contract manufacturing organizations for the supply of Licensed Product. Upon termination of the Kissei Agreement for any other reason all rights and licenses granted to Kissei to develop and commercialize the product under the Kissei Agreement will terminate,</w:t>
      </w:r>
    </w:p>
    <w:p>
      <w:pPr>
        <w:spacing w:after="0" w:line="1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40"/>
          </w:cols>
          <w:pgMar w:left="320" w:top="451" w:right="5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spacing w:after="0" w:line="274" w:lineRule="auto"/>
        <w:rPr>
          <w:sz w:val="20"/>
          <w:szCs w:val="20"/>
          <w:color w:val="auto"/>
        </w:rPr>
      </w:pPr>
      <w:r>
        <w:rPr>
          <w:rFonts w:ascii="Times New Roman" w:cs="Times New Roman" w:eastAsia="Times New Roman" w:hAnsi="Times New Roman"/>
          <w:sz w:val="18"/>
          <w:szCs w:val="18"/>
          <w:color w:val="auto"/>
        </w:rPr>
        <w:t>subject to certain rights to sell existing inventory of Licensed Products by Kissei and its sublicensees. Upon termination of the Kissei Agreement for Kissei’s breach, any sublicenses granted by Kissei may, upon the Company’s discretion, continue.</w:t>
      </w:r>
    </w:p>
    <w:p>
      <w:pPr>
        <w:spacing w:after="0" w:line="161" w:lineRule="exact"/>
        <w:rPr>
          <w:sz w:val="20"/>
          <w:szCs w:val="20"/>
          <w:color w:val="auto"/>
        </w:rPr>
      </w:pPr>
    </w:p>
    <w:p>
      <w:pPr>
        <w:jc w:val="both"/>
        <w:ind w:left="220" w:right="20"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evaluated the Kissei Agreement to determine whether it is a collaborative arrangement in the scope of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(ASC 808). The Company concluded the Kissei Agreement is a collaborative agreement under ASC 808, as the Kissei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involves a joint operating activity, each party is an active participant in the activities related to the Kissei Agreement, and both parties are exposed to significant risks and rewards dependent upon the commercial success of the activities related to the Kissei Agreement.</w:t>
      </w:r>
    </w:p>
    <w:p>
      <w:pPr>
        <w:spacing w:after="0" w:line="179"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The Company determined the Kissei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w:t>
      </w:r>
    </w:p>
    <w:p>
      <w:pPr>
        <w:spacing w:after="0" w:line="187" w:lineRule="exact"/>
        <w:rPr>
          <w:sz w:val="20"/>
          <w:szCs w:val="20"/>
          <w:color w:val="auto"/>
        </w:rPr>
      </w:pPr>
    </w:p>
    <w:p>
      <w:pPr>
        <w:jc w:val="both"/>
        <w:ind w:left="220" w:right="20" w:firstLine="432"/>
        <w:spacing w:after="0" w:line="265" w:lineRule="auto"/>
        <w:rPr>
          <w:sz w:val="20"/>
          <w:szCs w:val="20"/>
          <w:color w:val="auto"/>
        </w:rPr>
      </w:pPr>
      <w:r>
        <w:rPr>
          <w:rFonts w:ascii="Times New Roman" w:cs="Times New Roman" w:eastAsia="Times New Roman" w:hAnsi="Times New Roman"/>
          <w:sz w:val="17"/>
          <w:szCs w:val="17"/>
          <w:color w:val="auto"/>
        </w:rPr>
        <w:t>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w:t>
      </w:r>
    </w:p>
    <w:p>
      <w:pPr>
        <w:spacing w:after="0" w:line="174"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w:t>
      </w:r>
    </w:p>
    <w:p>
      <w:pPr>
        <w:spacing w:after="0" w:line="187"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As the sale of $30.0 million of the Company’s Series D redeemable convertible preferred stock and the Kissei License Agreement were entered into concurrently and negotiated as a package with a single commercial</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40"/>
          </w:cols>
          <w:pgMar w:left="320" w:top="451" w:right="5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spacing w:after="0" w:line="252" w:lineRule="auto"/>
        <w:rPr>
          <w:sz w:val="20"/>
          <w:szCs w:val="20"/>
          <w:color w:val="auto"/>
        </w:rPr>
      </w:pPr>
      <w:r>
        <w:rPr>
          <w:rFonts w:ascii="Times New Roman" w:cs="Times New Roman" w:eastAsia="Times New Roman" w:hAnsi="Times New Roman"/>
          <w:sz w:val="18"/>
          <w:szCs w:val="18"/>
          <w:color w:val="auto"/>
        </w:rPr>
        <w:t>objective, the Company accounted for the two agreements as a single arrangement for accounting purposes. The total upfront payments of $40.0 million were comprised of $30.0 million attributed to the Series D redeemable convertible preferred stock sold to Kissei and $10.0 million attributed to the functional intellectual property license granted to Kissei. The Company determined that the sale of the Series D redeemable convertible preferred stock of $30.0 million was at fair value and did not include a premium or discount. As a result, $10.0 million of the total upfront payments was allocated to the transaction price of the exclusive license.</w:t>
      </w:r>
    </w:p>
    <w:p>
      <w:pPr>
        <w:spacing w:after="0" w:line="185" w:lineRule="exact"/>
        <w:rPr>
          <w:sz w:val="20"/>
          <w:szCs w:val="20"/>
          <w:color w:val="auto"/>
        </w:rPr>
      </w:pPr>
    </w:p>
    <w:p>
      <w:pPr>
        <w:jc w:val="both"/>
        <w:ind w:left="220" w:firstLine="432"/>
        <w:spacing w:after="0" w:line="252" w:lineRule="auto"/>
        <w:rPr>
          <w:sz w:val="20"/>
          <w:szCs w:val="20"/>
          <w:color w:val="auto"/>
        </w:rPr>
      </w:pPr>
      <w:r>
        <w:rPr>
          <w:rFonts w:ascii="Times New Roman" w:cs="Times New Roman" w:eastAsia="Times New Roman" w:hAnsi="Times New Roman"/>
          <w:sz w:val="18"/>
          <w:szCs w:val="18"/>
          <w:color w:val="auto"/>
        </w:rPr>
        <w:t>For the purposes of ASC 606, the transaction price of the Kissei Agreement as of the outset of the arrangement was determined to be $10.0 million, which consisted of the one-time upfront payment. The other potential milestone payments the Company is eligible to receive were excluded from the transaction price, as all milestone amounts were fully constrained based on the probability of achievement. The Company satisfied the performance obligation upon delivery of the license and recognized the upfront payment of $10.0 million as revenue during the year ended December 31, 2020.</w:t>
      </w:r>
    </w:p>
    <w:p>
      <w:pPr>
        <w:spacing w:after="0" w:line="185"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milestone revenue of $10 million for cash consideration received associated with an achieved development milestone and $0.4 million in development income related to the Kissei License Agreement.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During the year ended December 31, 2022, the Company recorded $0.2 million in development income related to the Kissei License Agreement.</w:t>
      </w:r>
    </w:p>
    <w:p>
      <w:pPr>
        <w:spacing w:after="0" w:line="3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7. Redeemable Convertible Preferred Stock</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Redeemable convertible preferred stock consisted of the following as of December 31, 2022 (in thousands, except share amounts):</w:t>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Liquidation &amp;</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0" w:type="dxa"/>
            <w:vAlign w:val="bottom"/>
          </w:tcPr>
          <w:p>
            <w:pPr>
              <w:spacing w:after="0"/>
              <w:rPr>
                <w:sz w:val="1"/>
                <w:szCs w:val="1"/>
                <w:color w:val="auto"/>
              </w:rPr>
            </w:pPr>
          </w:p>
        </w:tc>
      </w:tr>
      <w:tr>
        <w:trPr>
          <w:trHeight w:val="146"/>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46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Issued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20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Upon</w:t>
            </w:r>
          </w:p>
        </w:tc>
        <w:tc>
          <w:tcPr>
            <w:tcW w:w="0" w:type="dxa"/>
            <w:vAlign w:val="bottom"/>
          </w:tcPr>
          <w:p>
            <w:pPr>
              <w:spacing w:after="0"/>
              <w:rPr>
                <w:sz w:val="1"/>
                <w:szCs w:val="1"/>
                <w:color w:val="auto"/>
              </w:rPr>
            </w:pPr>
          </w:p>
        </w:tc>
      </w:tr>
      <w:tr>
        <w:trPr>
          <w:trHeight w:val="177"/>
        </w:trPr>
        <w:tc>
          <w:tcPr>
            <w:tcW w:w="1140" w:type="dxa"/>
            <w:vAlign w:val="bottom"/>
            <w:tcBorders>
              <w:bottom w:val="single" w:sz="8" w:color="auto"/>
            </w:tcBorders>
            <w:vMerge w:val="continue"/>
          </w:tcPr>
          <w:p>
            <w:pPr>
              <w:spacing w:after="0"/>
              <w:rPr>
                <w:sz w:val="15"/>
                <w:szCs w:val="15"/>
                <w:color w:val="auto"/>
              </w:rPr>
            </w:pPr>
          </w:p>
        </w:tc>
        <w:tc>
          <w:tcPr>
            <w:tcW w:w="4680" w:type="dxa"/>
            <w:vAlign w:val="bottom"/>
          </w:tcPr>
          <w:p>
            <w:pPr>
              <w:spacing w:after="0"/>
              <w:rPr>
                <w:sz w:val="15"/>
                <w:szCs w:val="15"/>
                <w:color w:val="auto"/>
              </w:rPr>
            </w:pPr>
          </w:p>
        </w:tc>
        <w:tc>
          <w:tcPr>
            <w:tcW w:w="126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20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199"/>
        </w:trPr>
        <w:tc>
          <w:tcPr>
            <w:tcW w:w="1140" w:type="dxa"/>
            <w:vAlign w:val="bottom"/>
            <w:tcBorders>
              <w:top w:val="single" w:sz="8" w:color="CCEEFF"/>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Series A-1</w:t>
            </w:r>
          </w:p>
        </w:tc>
        <w:tc>
          <w:tcPr>
            <w:tcW w:w="46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5,075,000</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5,075,000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3,570</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11,942,004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5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11,973,000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11,973,000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33,454,454</w:t>
            </w: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5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73,598,283</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73,598,283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73,598,283</w:t>
            </w:r>
          </w:p>
        </w:tc>
        <w:tc>
          <w:tcPr>
            <w:tcW w:w="0" w:type="dxa"/>
            <w:vAlign w:val="bottom"/>
          </w:tcPr>
          <w:p>
            <w:pPr>
              <w:spacing w:after="0"/>
              <w:rPr>
                <w:sz w:val="1"/>
                <w:szCs w:val="1"/>
                <w:color w:val="auto"/>
              </w:rPr>
            </w:pPr>
          </w:p>
        </w:tc>
      </w:tr>
      <w:tr>
        <w:trPr>
          <w:trHeight w:val="2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5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53,271,754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53,271,754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47,300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53,271,754</w:t>
            </w: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5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112,422,700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112,422,700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120,000</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112,422,700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Series E Redeemable Convertible Preferred Stock</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In 2022, the Company entered into a securities purchase agreement (the Series E Agreement) with certain investors to sell shares of Series E redeemable convertible preferred stock (Series E) at $1.0674 per share. From September through October 2022, the Company issued 112,422,700 shares of Series E redeemable convertible preferred stock to existing and new investors at a price of $1.0674 per share for gross cash proceeds of $120.0 million, less issuance costs of $0.5 million, resulting in net proceeds of $119.5 million.</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Rights, Preferences and Privileges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Each preferred stockholder is entitled to cast the number of votes equal to the number of whole shares of common stock into which the shares of preferred stock held by such holder are convertible at the time of such vote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preferred stockholders are entitled to vote on all matters upon which holders of common stock have the right to vote, other than matters that must by law be voted by class or series vote.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20"/>
          </w:cols>
          <w:pgMar w:left="320" w:top="451" w:right="5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3"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Each share of redeemable convertible preferred stock is convertible at the option of the holder at any time into a share of common stock. Each share of convertible preferred stock is convertible into that number of common shares as is determined by dividing the applicable Initial Purchase Price (the Initial Purchase Price) of such share by the applicable conversion price. The conversion rate is subject to adjustment upon the occurrence of certain events, including diluting issues of shares, stock splits, stock combinations, certain dividends and distributions, a merger and a reorganization. The conversion rates for each series of redeemable convertible preferred stock as of December 31, 2022 were as follows: Series A-1 2.3531:1, Series B 2.7942:1, and Series C, D and E 1:1.</w:t>
      </w:r>
    </w:p>
    <w:p>
      <w:pPr>
        <w:spacing w:after="0" w:line="185"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All shares of the redeemable convertible preferred stock shall automatically be converted into shares of common stock, based on the then-effective applicable conversion rate (i) upon the closing of the sale of shares of common stock to the public at a price of at least $1.33 per share (subject to the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covering the offer and sale of common stock for the account of the Company (1) which results in at least $75.0 million of gross proceeds to the Company and (2) in which the pre-money valuation of the Company immediately prior to such public offering is at least $400.0 million or (ii) upon the written consent of the holders of at least 75% of the then-outstanding shares of redeemable convertible preferred stock voting together as a single class and not as separate series, and on an as-converted to common stock basis.</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3"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Holders of Series E Preferred Stock shall be entitled to receive, prior and in preference to any other class or series of capital stock, cumulative cash dividends, when, as and if declared by the Board, out of any funds that are legally available, at the rate of 8% of the Series E Initial Purchase Price of $1.0674 per annum on each outstanding share of Series E Preferred Stock, subject to adjustment for any stock dividends, combinations, splits, recapitalizations and the like with respect to such shares.</w:t>
      </w:r>
    </w:p>
    <w:p>
      <w:pPr>
        <w:spacing w:after="0" w:line="180"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Following the issuance and distribution of dividends to holders of Series E Preferred Stock, holders of Series D Preferred Stock and Series C Preferred Stock (together, the Senior Preferred Stock) shall be entitled to receive, on a pari passu basis and prior and in preference to the holders of Series B Preferred Stock, Series A-1 Preferred Stock and common stock, cumulative cash dividends, when, as and if declared by the Board, out of any funds that are legally available, at the rate of (i) with respect to the Series D Preferred Stock, 8% of the Series D Initial Purchase Price per annum on each outstanding share of Series D Preferred Stock, subject to adjustment for any stock dividends, combinations, splits, recapitalizations and the like with respect to such shares and (ii) with respect to the Series C Preferred Stock, 8% of the Series C Initial Purchase Price per annum on each outstanding share of Series C Preferred Stock, subject to adjustment for any stock dividends, combinations, splits, recapitalizations and the like with respect to such shares.</w:t>
      </w:r>
    </w:p>
    <w:p>
      <w:pPr>
        <w:spacing w:after="0" w:line="190"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Following the issuance and distribution of dividends to holders of Series E Preferred Stock and Senior Preferred Stock, holders of Series B Preferred Stock and Series A-1 Preferred Stock shall be entitled to receive, on a pari passu basis and prior and in preference to the holders of common stock, noncumulative cash dividends, when, as and if declared by the Board, out of any funds that are legally available, at the rate of (i) with respect to the Series B Preferred Stock, 8% of the Series B Initial Purchase Price per annum on each outstanding share of Series B Preferred Stock, subject to adjustment for any stock dividends, combinations, splits, recapitalizations and the like with respect to such shares and (ii) with respect to the Series A-1 Preferred Stock, 8% of the Series A-1 Initial Purchase Price per annum on each outstanding share of Series A-1 Preferred Stock, subject to adjustment for any stock dividends, combinations, splits, recapitalizations and the like with respect to such shares.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40"/>
          </w:cols>
          <w:pgMar w:left="320" w:top="451" w:right="5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right="20" w:firstLine="432"/>
        <w:spacing w:after="0" w:line="269" w:lineRule="auto"/>
        <w:rPr>
          <w:sz w:val="20"/>
          <w:szCs w:val="20"/>
          <w:color w:val="auto"/>
        </w:rPr>
      </w:pPr>
      <w:r>
        <w:rPr>
          <w:rFonts w:ascii="Times New Roman" w:cs="Times New Roman" w:eastAsia="Times New Roman" w:hAnsi="Times New Roman"/>
          <w:sz w:val="17"/>
          <w:szCs w:val="17"/>
          <w:color w:val="auto"/>
        </w:rPr>
        <w:t>No distributions shall be made with respect to the common stock unless dividends on the redeemable convertible preferred stock have been declared and all declared dividends on the redeemable convertible preferred stock have been paid or set aside for payment to the redeemable convertible preferred stockholders. The right to receive dividends on shares of Series B Preferred Stock and Series A-1 Preferred Stock shall not be cumulative, and no right to dividends shall accrue to holders of Series B Preferred Stock and Series A-1 Preferred Stock by reason of the fact that dividends on said shares are not declared or paid. Payment of any dividends to the holders of Series B Preferred Stock and Series A-1 Preferred Stock shall be on a pro rata, pari passu basis in proportion to the dividend rate for the Series B Preferred Stock and Series A-1 Preferred Stock, as applicable.</w:t>
      </w:r>
    </w:p>
    <w:p>
      <w:pPr>
        <w:spacing w:after="0" w:line="169"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7"/>
          <w:szCs w:val="17"/>
          <w:color w:val="auto"/>
        </w:rPr>
        <w:t>After payment of the full amount of any dividends to holders of redeemable convertible preferred stock, any additional dividends shall be distributed among all holders of common stock and all holders of redeemable convertible preferred stock in proportion to the number of shares of common stock which would be held by each such holder if all such shares of redeemable convertible preferred stock were converted to common stock at the then-effective applicable conversion rate. The Company has not declared or paid any dividends for the years ended December 31, 2021 and 2022.</w:t>
      </w:r>
    </w:p>
    <w:p>
      <w:pPr>
        <w:spacing w:after="0" w:line="2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3" w:lineRule="exact"/>
        <w:rPr>
          <w:sz w:val="20"/>
          <w:szCs w:val="20"/>
          <w:color w:val="auto"/>
        </w:rPr>
      </w:pPr>
    </w:p>
    <w:p>
      <w:pPr>
        <w:jc w:val="both"/>
        <w:ind w:left="220" w:right="20" w:firstLine="432"/>
        <w:spacing w:after="0" w:line="304"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winding-up of the Company, or a deemed liquidation event of the Company (which includes certain mergers, acquisitions, and asset transfers), before any distribution or payment shall be made to the holders of common stock:</w:t>
      </w:r>
    </w:p>
    <w:p>
      <w:pPr>
        <w:spacing w:after="0" w:line="48" w:lineRule="exact"/>
        <w:rPr>
          <w:sz w:val="20"/>
          <w:szCs w:val="20"/>
          <w:color w:val="auto"/>
        </w:rPr>
      </w:pPr>
    </w:p>
    <w:p>
      <w:pPr>
        <w:jc w:val="both"/>
        <w:ind w:left="1280" w:right="20" w:hanging="638"/>
        <w:spacing w:after="0" w:line="252" w:lineRule="auto"/>
        <w:tabs>
          <w:tab w:leader="none" w:pos="12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Series E Preferred Stock shall be entitled to be paid out of the assets of the Company, prior and in preference to any distribution of the proceeds of such liquidation, dissolution or winding up to the holders of Senior Preferred Stock, Series B Preferred Stock, Series A-1 Preferred Stock or common stock, an amount per share of Series E Preferred Stock equal to the Series E Initial Purchase Price, plus all declared but unpaid dividends on the Series E Preferred Stock, for each share of Series E Preferred Stock then held.</w:t>
      </w:r>
    </w:p>
    <w:p>
      <w:pPr>
        <w:spacing w:after="0" w:line="92" w:lineRule="exact"/>
        <w:rPr>
          <w:rFonts w:ascii="Times New Roman" w:cs="Times New Roman" w:eastAsia="Times New Roman" w:hAnsi="Times New Roman"/>
          <w:sz w:val="18"/>
          <w:szCs w:val="18"/>
          <w:color w:val="auto"/>
        </w:rPr>
      </w:pPr>
    </w:p>
    <w:p>
      <w:pPr>
        <w:jc w:val="both"/>
        <w:ind w:left="1280" w:right="20" w:hanging="638"/>
        <w:spacing w:after="0" w:line="268" w:lineRule="auto"/>
        <w:tabs>
          <w:tab w:leader="none" w:pos="12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distribution pursuant to holders of Series E Preferred Stock, the holders of each series of Senior Preferred Stock shall be entitled to be paid out of the assets of the Company, on a pari passu basis and prior and in preference to any distribution of the proceeds of such liquidation, dissolution or winding up to the holders of Series B Preferred Stock, Series A-1 Preferred Stock or common stock,</w:t>
      </w:r>
    </w:p>
    <w:p>
      <w:pPr>
        <w:jc w:val="both"/>
        <w:ind w:left="1280" w:right="20" w:hanging="2"/>
        <w:spacing w:after="0" w:line="245" w:lineRule="auto"/>
        <w:tabs>
          <w:tab w:leader="none" w:pos="150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Series D Preferred Stock, an amount per share of Series D Preferred Stock equal to the Series D Initial Purchase Price, plus all declared but unpaid dividends on the Series D Preferred Stock, for each share of Series D Preferred Stock then held and</w:t>
      </w:r>
    </w:p>
    <w:p>
      <w:pPr>
        <w:spacing w:after="0" w:line="1" w:lineRule="exact"/>
        <w:rPr>
          <w:rFonts w:ascii="Times New Roman" w:cs="Times New Roman" w:eastAsia="Times New Roman" w:hAnsi="Times New Roman"/>
          <w:sz w:val="18"/>
          <w:szCs w:val="18"/>
          <w:color w:val="auto"/>
        </w:rPr>
      </w:pPr>
    </w:p>
    <w:p>
      <w:pPr>
        <w:ind w:left="1280" w:right="20" w:hanging="2"/>
        <w:spacing w:after="0" w:line="251" w:lineRule="auto"/>
        <w:tabs>
          <w:tab w:leader="none" w:pos="155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Series C Preferred Stock, an amount per share of Series C Preferred Stock equal to the Series C Initial Purchase Price, plus all declared but unpaid dividends on the Series C Preferred Stock, for each share of Series C Preferred Stock then held.</w:t>
      </w:r>
    </w:p>
    <w:p>
      <w:pPr>
        <w:spacing w:after="0" w:line="90" w:lineRule="exact"/>
        <w:rPr>
          <w:rFonts w:ascii="Times New Roman" w:cs="Times New Roman" w:eastAsia="Times New Roman" w:hAnsi="Times New Roman"/>
          <w:sz w:val="18"/>
          <w:szCs w:val="18"/>
          <w:color w:val="auto"/>
        </w:rPr>
      </w:pPr>
    </w:p>
    <w:p>
      <w:pPr>
        <w:jc w:val="both"/>
        <w:ind w:left="1280" w:hanging="638"/>
        <w:spacing w:after="0" w:line="250" w:lineRule="auto"/>
        <w:tabs>
          <w:tab w:leader="none" w:pos="12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distributions pursuant to holders of Series E Preferred Stock and Senior Preferred Stock, the holders of Series B Preferred Stock and Series A-1 Preferred Stock shall be entitled to be paid out of the assets of this Corporation, on a pari passu basis (i) with respect to the Series B Preferred Stock, an amount per share of Series B Preferred Stock equal to the Series B Initial Purchase Price, plus all declared but unpaid dividends on the Series B Preferred Stock, for each share of Series B Preferred Stock then held; and (ii) with respect to the Series A-1 Preferred Stock, an amount per share of Series A-1 Preferred Stock equal to the Series A-1 Initial Purchase Price, plus all declared but unpaid dividends on the Series A-1 Preferred Stock, for each share of Series A-1 Preferred Stock then held by them.</w:t>
      </w:r>
    </w:p>
    <w:p>
      <w:pPr>
        <w:spacing w:after="0" w:line="93" w:lineRule="exact"/>
        <w:rPr>
          <w:rFonts w:ascii="Times New Roman" w:cs="Times New Roman" w:eastAsia="Times New Roman" w:hAnsi="Times New Roman"/>
          <w:sz w:val="18"/>
          <w:szCs w:val="18"/>
          <w:color w:val="auto"/>
        </w:rPr>
      </w:pPr>
    </w:p>
    <w:p>
      <w:pPr>
        <w:ind w:left="1280" w:right="20" w:hanging="638"/>
        <w:spacing w:after="0" w:line="274" w:lineRule="auto"/>
        <w:tabs>
          <w:tab w:leader="none" w:pos="12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any such liquidation, dissolution or winding up, the assets of the Company shall be insufficient to make payment in full of the liquidation preferences described in (i), (ii), and (iii) above,</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40"/>
          </w:cols>
          <w:pgMar w:left="320" w:top="451" w:right="5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then such assets shall be distributed in the following order of priority: (a) to the holders of Series E Preferred Stock in preference and ratably in proportion to the full amounts to which they would otherwise be respectively entitled pursuant to in (i) above, (b) any remaining assets then to the holders of each series of Senior Preferred Stock in preference and ratably in proportion to the full amounts to which they would otherwise be respectively entitled pursuant to (ii) above, and (c) any remaining assets then to the holders of Series B Preferred Stock and Series A-1 Preferred Stock ratably in proportion to the full amounts to which they would otherwise be respectively entitled pursuant to (iii) above.</w:t>
      </w:r>
    </w:p>
    <w:p>
      <w:pPr>
        <w:spacing w:after="0" w:line="185"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After the payment of the full liquidation preferences as set out above, the remaining assets of the Company legally available for distribution, if any, shall be distributed ratably to the holders of the common stock, Series E Preferred Stock on an as-converted to common stock basis, Senior Preferred Stock on an as-converted to common stock basis and Series A-1 Preferred Stock on an as-converted to common stock basis; provided, however, that if the aggregate amount which a holder of a share of Series A-1 Preferred Stock is entitled to receive exceeds the sum of three times the Series A-1 Initial Purchase Price plus declared but unpaid dividends thereon, such holder of Series A-1 Preferred Stock shall cease participating in such distribution as to such Series A-1 Preferred Stock, and the balance shall be distributed ratably to the holders of common stock, Series E Preferred Stock on an as-converted to common stock basis and Senior Preferred Stock on an as-converted to common stock basis.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time, following September 30, 2027, all shares of convertible preferred shares are redeemable as follows:</w:t>
      </w:r>
    </w:p>
    <w:p>
      <w:pPr>
        <w:spacing w:after="0" w:line="124" w:lineRule="exact"/>
        <w:rPr>
          <w:sz w:val="20"/>
          <w:szCs w:val="20"/>
          <w:color w:val="auto"/>
        </w:rPr>
      </w:pPr>
    </w:p>
    <w:p>
      <w:pPr>
        <w:jc w:val="both"/>
        <w:ind w:left="1280" w:right="20" w:hanging="638"/>
        <w:spacing w:after="0" w:line="251" w:lineRule="auto"/>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holders of a majority of the then-outstanding shares of Series A-1 redeemable convertible preferred stock, all of the outstanding Series A-1 redeemable convertible preferred stock shall be redeemed by paying in cash in exchange for the shares of Series A-1 redeemable convertible preferred stock to be redeemed an amount equal to the Series A-1 Initial Purchase Price per share of Series A-1 redeemable convertible preferred stock (as adjusted for any stock dividends, combinations, splits, recapitalizations and the like with respect to such shares), plus any and all declared but unpaid dividends with respect to such shares of Series A-1 redeemable convertible preferred stock.</w:t>
      </w:r>
    </w:p>
    <w:p>
      <w:pPr>
        <w:spacing w:after="0" w:line="92" w:lineRule="exact"/>
        <w:rPr>
          <w:rFonts w:ascii="Times New Roman" w:cs="Times New Roman" w:eastAsia="Times New Roman" w:hAnsi="Times New Roman"/>
          <w:sz w:val="18"/>
          <w:szCs w:val="18"/>
          <w:color w:val="auto"/>
        </w:rPr>
      </w:pPr>
    </w:p>
    <w:p>
      <w:pPr>
        <w:jc w:val="both"/>
        <w:ind w:left="1280" w:right="20" w:hanging="638"/>
        <w:spacing w:after="0" w:line="252" w:lineRule="auto"/>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holders of a majority of the then-outstanding shares of Series B redeemable convertible preferred stock, all of the outstanding Series B Preferred Stock shall be redeemed by paying in cash in exchange for the shares of Series B redeemable convertible preferred stock to be redeemed an amount equal to the Series B Initial Purchase Price per share of Series B redeemable convertible preferred stock (as adjusted for any stock dividends, combinations, splits, recapitalizations and the like with respect to such shares), plus any and all declared but unpaid dividends with respect to such shares of Series B redeemable convertible preferred stock.</w:t>
      </w:r>
    </w:p>
    <w:p>
      <w:pPr>
        <w:spacing w:after="0" w:line="92" w:lineRule="exact"/>
        <w:rPr>
          <w:rFonts w:ascii="Times New Roman" w:cs="Times New Roman" w:eastAsia="Times New Roman" w:hAnsi="Times New Roman"/>
          <w:sz w:val="18"/>
          <w:szCs w:val="18"/>
          <w:color w:val="auto"/>
        </w:rPr>
      </w:pPr>
    </w:p>
    <w:p>
      <w:pPr>
        <w:jc w:val="both"/>
        <w:ind w:left="1280" w:right="20" w:hanging="638"/>
        <w:spacing w:after="0" w:line="251" w:lineRule="auto"/>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holders of 66.67% of the then-outstanding shares of Series C redeemable convertible preferred stock and to the extent affirmatively elected by a holder not to redeem, shares of the outstanding Series C redeemable convertible preferred stock shall be redeemed by paying in cash in exchange for the shares of Series C redeemable convertible preferred stock to be redeemed an amount equal to the Series C Initial Purchase Price per share of Series C redeemable convertible preferred stock (as adjusted for any stock dividends, combinations, splits, recapitalizations and the like with respect to such shares), plus any and all declared but unpaid dividends with respect to such shares of Series C redeemable convertible preferred stock.</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40"/>
          </w:cols>
          <w:pgMar w:left="320" w:top="451" w:right="5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1280" w:hanging="638"/>
        <w:spacing w:after="0" w:line="251" w:lineRule="auto"/>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holders of a majority of the then-outstanding shares of Series D redeemable convertible preferred stock and to the extent affirmatively elected by a holder not to redeem, shares of the outstanding Series D redeemable convertible preferred stock shall be redeemed by paying in cash in exchange for the shares of Series D redeemable convertible preferred stock to be redeemed an amount equal to the Series D Initial Purchase Price per share of Series D redeemable convertible preferred stock (as adjusted for any stock dividends, combinations, splits, recapitalizations and the like with respect to such shares), plus any and all declared but unpaid dividends with respect to such shares of Series D redeemable convertible preferred stock.</w:t>
      </w:r>
    </w:p>
    <w:p>
      <w:pPr>
        <w:spacing w:after="0" w:line="92" w:lineRule="exact"/>
        <w:rPr>
          <w:rFonts w:ascii="Times New Roman" w:cs="Times New Roman" w:eastAsia="Times New Roman" w:hAnsi="Times New Roman"/>
          <w:sz w:val="18"/>
          <w:szCs w:val="18"/>
          <w:color w:val="auto"/>
        </w:rPr>
      </w:pPr>
    </w:p>
    <w:p>
      <w:pPr>
        <w:jc w:val="both"/>
        <w:ind w:left="1280" w:hanging="638"/>
        <w:spacing w:after="0" w:line="251" w:lineRule="auto"/>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holders of a majority of the then-outstanding shares of Series E redeemable convertible preferred stock and to the extent affirmatively elected by a holder not to redeem, all of the outstanding Series E Preferred Stock shall be redeemed by paying in cash in exchange for the shares of Series E Preferred Stock to be redeemed (other than those holders of Series E Preferred Stock that affirmatively choose to not participate in such redemption) an amount equal to: the Series E Initial Purchase Price per share of Series E Preferred Stock (as adjusted for any stock dividends, combinations, splits, recapitalizations and the like with respect to such shares), plus any and all declared but unpaid dividends with respect to such shares of Series E Preferred Stock.</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11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The Company is authorized to issue up to 263,000,000 and 393,500,000 shares of common stock as of December 31, 2021 and 2022, respectively, of which 35,408,988 and 36,640,092 shares were issued and outstanding as of December 31, 2021 and 2022, respectively.</w:t>
      </w:r>
    </w:p>
    <w:p>
      <w:pPr>
        <w:spacing w:after="0" w:line="163"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Voting, dividend and liquidation rights of the holders of the common stock are subject to and qualified by the rights, preferences and privileges of the holders of the redeemable convertible preferred stock.</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Each holder of outstanding shares of common stock shall be entitled to one vote in respect of each share. The holders of outstanding shares of common stock, voting together as a single class, shall be entitled to elect one director. The number of authorized shares of common stock may be increased or decreased by the affirmative vote of a majority of the outstanding shares of common stock and preferred stock voting together as a single class.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5"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Subject to the payment in full of all preferential dividends to which the holders of the preferred stock are entitled, the holders of common stock shall be entitled to receive dividends out of funds legally available therefor at such times and in such amounts as the Board may determine in its sole discretion, with holders of preferred stock and common stock sharing pari passu in such dividends.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15"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After payment in full of all preferential amounts to which the holders of preferred stock are entitled upon any voluntary or involuntary liquidation, dissolution or winding-up of the Company or deemed liquidation event of the Company, all of the remaining assets of the Company available for distribution to the stockholders shall be distributed among the holders of the preferred stock and common stock, pro rata based on the number of shares held by each such holder on an as converted to common stock basis.</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20"/>
          </w:cols>
          <w:pgMar w:left="320" w:top="451" w:right="5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p>
      <w:pPr>
        <w:spacing w:after="0" w:line="115"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As of December 31, 2022, the Company reserved the following shares of common stock for issuance upon conversion of the outstanding redeemable convertible preferred stock and exercise of stock options:</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96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5"/>
        </w:trPr>
        <w:tc>
          <w:tcPr>
            <w:tcW w:w="96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1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284,689,195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2"/>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available for issuance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17,505,315</w:t>
            </w:r>
          </w:p>
        </w:tc>
        <w:tc>
          <w:tcPr>
            <w:tcW w:w="40" w:type="dxa"/>
            <w:vAlign w:val="bottom"/>
          </w:tcPr>
          <w:p>
            <w:pPr>
              <w:spacing w:after="0"/>
              <w:rPr>
                <w:sz w:val="18"/>
                <w:szCs w:val="18"/>
                <w:color w:val="auto"/>
              </w:rPr>
            </w:pPr>
          </w:p>
        </w:tc>
      </w:tr>
      <w:tr>
        <w:trPr>
          <w:trHeight w:val="212"/>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35,900,921</w:t>
            </w:r>
          </w:p>
        </w:tc>
        <w:tc>
          <w:tcPr>
            <w:tcW w:w="40" w:type="dxa"/>
            <w:vAlign w:val="bottom"/>
            <w:shd w:val="clear" w:color="auto" w:fill="CCEEFF"/>
          </w:tcPr>
          <w:p>
            <w:pPr>
              <w:spacing w:after="0"/>
              <w:rPr>
                <w:sz w:val="18"/>
                <w:szCs w:val="18"/>
                <w:color w:val="auto"/>
              </w:rPr>
            </w:pPr>
          </w:p>
        </w:tc>
      </w:tr>
      <w:tr>
        <w:trPr>
          <w:trHeight w:val="218"/>
        </w:trPr>
        <w:tc>
          <w:tcPr>
            <w:tcW w:w="9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338,095,431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3" w:lineRule="exact"/>
        <w:rPr>
          <w:sz w:val="20"/>
          <w:szCs w:val="20"/>
          <w:color w:val="auto"/>
        </w:rPr>
      </w:pPr>
    </w:p>
    <w:p>
      <w:pPr>
        <w:jc w:val="both"/>
        <w:ind w:left="220" w:firstLine="432"/>
        <w:spacing w:after="0" w:line="248" w:lineRule="auto"/>
        <w:rPr>
          <w:sz w:val="20"/>
          <w:szCs w:val="20"/>
          <w:color w:val="auto"/>
        </w:rPr>
      </w:pPr>
      <w:r>
        <w:rPr>
          <w:rFonts w:ascii="Times New Roman" w:cs="Times New Roman" w:eastAsia="Times New Roman" w:hAnsi="Times New Roman"/>
          <w:sz w:val="18"/>
          <w:szCs w:val="18"/>
          <w:color w:val="auto"/>
        </w:rPr>
        <w:t>In 2015, the Company established the 2015 Plan, under which the Company was able to grant options and restricted stock to its employees and certain non-employees. As of December 31, 2021 and 2022, the maximum number of shares of common stock reserved for issuance under the 2015 Plan were 32,808,386 and 30,093,877 shares, respectively. Following the establishment of the 2022 Plan, the maximum number of shares reserved for issuance under the 2015 Plan will be equal to the number of shares subject to issued and outstanding stock options and shares of restricted stock granted under the 2015 Plan. As of December 31, 2021, there were 28,971,871 shares of common stock subject to outstanding awards and 13,583,907 shares of common stock available for future issuance under the 2015 Plan. As of December 31, 2022, there were 30,093,877 shares of common stock subject to outstanding awards and 0 shares of common stock available for future issuance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December 31, 2022, the maximum number of shares of common stock reserved for issuance under the 2022 Plan was 23,501,942 shares. As of December 31, 2022, there were 5,807,044 shares of common stock subject to outstanding awards and 17,505,315 shares of common stock available for future issuance under the 2022 Plan.</w:t>
      </w:r>
    </w:p>
    <w:p>
      <w:pPr>
        <w:spacing w:after="0" w:line="191"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Company may grant options to purchase authorized but unissued shares of the Company’s common stock. Options granted under the 2015 Plan and 2022 Plan include incentive stock options that can be granted only to the Company’s employees and non-statutory stock options that can be granted to the Company’s employees, consultants, advisors and directors.</w:t>
      </w:r>
    </w:p>
    <w:p>
      <w:pPr>
        <w:spacing w:after="0" w:line="178"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exercise prices, vesting and other restrictions of the awards to be granted under the 2015 Plan and 2022 Plan are determined by the Board, except that no stock option may be issued with an exercise price less than the fair market value of the common stock at the date of the grant or have a term in excess of ten years. Options granted under the 2015 Plan and 2022 Plan are exercisable in whole or in part at any time subsequent to vesting.</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assumptions used in determining the fair value of option awards for the years ended December 31, 2021 and</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2022:</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9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2"/>
        </w:trPr>
        <w:tc>
          <w:tcPr>
            <w:tcW w:w="3480" w:type="dxa"/>
            <w:vAlign w:val="bottom"/>
            <w:tcBorders>
              <w:bottom w:val="single" w:sz="8" w:color="CCEEFF"/>
            </w:tcBorders>
          </w:tcPr>
          <w:p>
            <w:pPr>
              <w:spacing w:after="0"/>
              <w:rPr>
                <w:sz w:val="13"/>
                <w:szCs w:val="13"/>
                <w:color w:val="auto"/>
              </w:rPr>
            </w:pPr>
          </w:p>
        </w:tc>
        <w:tc>
          <w:tcPr>
            <w:tcW w:w="442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5"/>
        </w:trPr>
        <w:tc>
          <w:tcPr>
            <w:tcW w:w="34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Expected volatility</w:t>
            </w:r>
          </w:p>
        </w:tc>
        <w:tc>
          <w:tcPr>
            <w:tcW w:w="44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70.0%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81.8%</w:t>
            </w:r>
          </w:p>
        </w:tc>
      </w:tr>
      <w:tr>
        <w:trPr>
          <w:trHeight w:val="21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820" w:type="dxa"/>
            <w:vAlign w:val="bottom"/>
            <w:gridSpan w:val="2"/>
          </w:tcPr>
          <w:p>
            <w:pPr>
              <w:jc w:val="center"/>
              <w:ind w:left="4312"/>
              <w:spacing w:after="0"/>
              <w:rPr>
                <w:sz w:val="20"/>
                <w:szCs w:val="20"/>
                <w:color w:val="auto"/>
              </w:rPr>
            </w:pPr>
            <w:r>
              <w:rPr>
                <w:rFonts w:ascii="Times New Roman" w:cs="Times New Roman" w:eastAsia="Times New Roman" w:hAnsi="Times New Roman"/>
                <w:sz w:val="18"/>
                <w:szCs w:val="18"/>
                <w:color w:val="auto"/>
                <w:w w:val="98"/>
              </w:rPr>
              <w:t>0.60% - 1.10%</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1.60% - 4.35%</w:t>
            </w:r>
          </w:p>
        </w:tc>
      </w:tr>
      <w:tr>
        <w:trPr>
          <w:trHeight w:val="21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820" w:type="dxa"/>
            <w:vAlign w:val="bottom"/>
            <w:gridSpan w:val="2"/>
            <w:shd w:val="clear" w:color="auto" w:fill="CCEEFF"/>
          </w:tcPr>
          <w:p>
            <w:pPr>
              <w:jc w:val="center"/>
              <w:ind w:left="4332"/>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0%</w:t>
            </w:r>
          </w:p>
        </w:tc>
      </w:tr>
      <w:tr>
        <w:trPr>
          <w:trHeight w:val="231"/>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820" w:type="dxa"/>
            <w:vAlign w:val="bottom"/>
            <w:gridSpan w:val="2"/>
          </w:tcPr>
          <w:p>
            <w:pPr>
              <w:jc w:val="center"/>
              <w:ind w:left="4332"/>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5.95</w:t>
            </w:r>
          </w:p>
        </w:tc>
      </w:tr>
      <w:tr>
        <w:trPr>
          <w:trHeight w:val="339"/>
        </w:trPr>
        <w:tc>
          <w:tcPr>
            <w:tcW w:w="3480" w:type="dxa"/>
            <w:vAlign w:val="bottom"/>
          </w:tcPr>
          <w:p>
            <w:pPr>
              <w:spacing w:after="0"/>
              <w:rPr>
                <w:sz w:val="24"/>
                <w:szCs w:val="24"/>
                <w:color w:val="auto"/>
              </w:rPr>
            </w:pPr>
          </w:p>
        </w:tc>
        <w:tc>
          <w:tcPr>
            <w:tcW w:w="592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F-26</w:t>
            </w:r>
          </w:p>
        </w:tc>
        <w:tc>
          <w:tcPr>
            <w:tcW w:w="1400" w:type="dxa"/>
            <w:vAlign w:val="bottom"/>
          </w:tcPr>
          <w:p>
            <w:pPr>
              <w:spacing w:after="0"/>
              <w:rPr>
                <w:sz w:val="24"/>
                <w:szCs w:val="24"/>
                <w:color w:val="auto"/>
              </w:rPr>
            </w:pPr>
          </w:p>
        </w:tc>
      </w:tr>
    </w:tbl>
    <w:p>
      <w:pPr>
        <w:sectPr>
          <w:pgSz w:w="11900" w:h="16838" w:orient="portrait"/>
          <w:cols w:equalWidth="0" w:num="1">
            <w:col w:w="11040"/>
          </w:cols>
          <w:pgMar w:left="320" w:top="451" w:right="5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weighted-average grant-date fair value of the options granted was $0.12 and $0.16 per share for the years ended December 31, 2021 and 2022, respectively. The fair value of shares vested during the years ended December 31, 2021 and 2022 was $0.18 and $0.18 per share, respectively. The fair value of shares exercised during the years ended December 31, 2021 and 2022 was $0.12 and $0.17 per share, respectively.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stock option activity for the year ended December 31, 2022 (in thousands, except share and per share amounts):</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6"/>
        </w:trPr>
        <w:tc>
          <w:tcPr>
            <w:tcW w:w="6480" w:type="dxa"/>
            <w:vAlign w:val="bottom"/>
          </w:tcPr>
          <w:p>
            <w:pPr>
              <w:spacing w:after="0"/>
              <w:rPr>
                <w:sz w:val="12"/>
                <w:szCs w:val="12"/>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100" w:type="dxa"/>
            <w:vAlign w:val="bottom"/>
            <w:gridSpan w:val="3"/>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120" w:type="dxa"/>
            <w:vAlign w:val="bottom"/>
            <w:gridSpan w:val="2"/>
          </w:tcPr>
          <w:p>
            <w:pPr>
              <w:jc w:val="right"/>
              <w:ind w:right="3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0"/>
        </w:trPr>
        <w:tc>
          <w:tcPr>
            <w:tcW w:w="64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5"/>
        </w:trPr>
        <w:tc>
          <w:tcPr>
            <w:tcW w:w="64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8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28,971,870</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1"/>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0.15</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6.92</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1,295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8,411,487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0.23</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(1,231,104)</w:t>
            </w:r>
          </w:p>
        </w:tc>
        <w:tc>
          <w:tcPr>
            <w:tcW w:w="6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0.17</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2"/>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Forfeited/expired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(251,333)</w:t>
            </w:r>
          </w:p>
        </w:tc>
        <w:tc>
          <w:tcPr>
            <w:tcW w:w="6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0.19</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35,900,920</w:t>
            </w:r>
          </w:p>
        </w:tc>
        <w:tc>
          <w:tcPr>
            <w:tcW w:w="6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0.17</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80" w:type="dxa"/>
            <w:vAlign w:val="bottom"/>
            <w:vMerge w:val="continue"/>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35,900,920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ind w:right="241"/>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0.17</w:t>
            </w:r>
          </w:p>
        </w:tc>
        <w:tc>
          <w:tcPr>
            <w:tcW w:w="360" w:type="dxa"/>
            <w:vAlign w:val="bottom"/>
          </w:tcPr>
          <w:p>
            <w:pPr>
              <w:spacing w:after="0"/>
              <w:rPr>
                <w:sz w:val="17"/>
                <w:szCs w:val="17"/>
                <w:color w:val="auto"/>
              </w:rPr>
            </w:pPr>
          </w:p>
        </w:tc>
        <w:tc>
          <w:tcPr>
            <w:tcW w:w="7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7.66</w:t>
            </w:r>
          </w:p>
        </w:tc>
        <w:tc>
          <w:tcPr>
            <w:tcW w:w="360" w:type="dxa"/>
            <w:vAlign w:val="bottom"/>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2,685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Exercisable at December 31, 2022</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4"/>
                <w:szCs w:val="4"/>
                <w:color w:val="auto"/>
                <w:w w:val="98"/>
              </w:rPr>
              <w:t> </w:t>
            </w: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23,641,064</w:t>
            </w:r>
          </w:p>
        </w:tc>
        <w:tc>
          <w:tcPr>
            <w:tcW w:w="6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0.15</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Company has recorded stock-based compensation expense related to stock options of $1.1 million and $0.7 million for December 31, 2021 and 2022, respectively. The Company had an aggregate $1.7 million of gross unrecognized stock-based compensation expense as of December 31, 2022 remaining to be amortized over a weighted-average period of 3.0 years.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related to stock options recorded in the accompanying statements of operations for the years ended</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December 31, 2021 and 2022 was as follows (in thousands):</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8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9"/>
        </w:trPr>
        <w:tc>
          <w:tcPr>
            <w:tcW w:w="86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75"/>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2"/>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21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334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542</w:t>
            </w:r>
          </w:p>
        </w:tc>
        <w:tc>
          <w:tcPr>
            <w:tcW w:w="60" w:type="dxa"/>
            <w:vAlign w:val="bottom"/>
            <w:shd w:val="clear" w:color="auto" w:fill="CCEEFF"/>
          </w:tcPr>
          <w:p>
            <w:pPr>
              <w:spacing w:after="0"/>
              <w:rPr>
                <w:sz w:val="19"/>
                <w:szCs w:val="19"/>
                <w:color w:val="auto"/>
              </w:rPr>
            </w:pPr>
          </w:p>
        </w:tc>
      </w:tr>
      <w:tr>
        <w:trPr>
          <w:trHeight w:val="212"/>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8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5"/>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 xml:space="preserve">$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   1,112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9"/>
                <w:szCs w:val="19"/>
                <w:color w:val="auto"/>
              </w:rPr>
              <w:t>   676</w:t>
            </w:r>
          </w:p>
        </w:tc>
      </w:tr>
      <w:tr>
        <w:trPr>
          <w:trHeight w:val="20"/>
        </w:trPr>
        <w:tc>
          <w:tcPr>
            <w:tcW w:w="8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The Company has not recognized and does not expect to recognize in the near future, any tax benefit related to employee stock-based compensation expense as a result of the full valuation allowance related to its net deferred tax assets.</w:t>
      </w: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13"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A reconciliation of the expected income tax benefit computed using the federal statutory income tax rate to the Company’s effective income tax rate was as follows for the years ended December 31, 2021 and 2022:</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14"/>
        </w:trPr>
        <w:tc>
          <w:tcPr>
            <w:tcW w:w="42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360" w:type="dxa"/>
            <w:vAlign w:val="bottom"/>
            <w:tcBorders>
              <w:top w:val="single" w:sz="8" w:color="auto"/>
            </w:tcBorders>
            <w:gridSpan w:val="2"/>
          </w:tcPr>
          <w:p>
            <w:pPr>
              <w:jc w:val="center"/>
              <w:ind w:right="860"/>
              <w:spacing w:after="0" w:line="114"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52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220" w:type="dxa"/>
            <w:vAlign w:val="bottom"/>
            <w:tcBorders>
              <w:bottom w:val="single" w:sz="8" w:color="CCEEFF"/>
            </w:tcBorders>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2021    </w:t>
            </w:r>
          </w:p>
        </w:tc>
        <w:tc>
          <w:tcPr>
            <w:tcW w:w="8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2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Income tax computed at federal statutory rate</w:t>
            </w:r>
          </w:p>
        </w:tc>
        <w:tc>
          <w:tcPr>
            <w:tcW w:w="44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700"/>
              <w:spacing w:after="0" w:line="205" w:lineRule="exact"/>
              <w:rPr>
                <w:sz w:val="20"/>
                <w:szCs w:val="20"/>
                <w:color w:val="auto"/>
              </w:rPr>
            </w:pPr>
            <w:r>
              <w:rPr>
                <w:rFonts w:ascii="Times New Roman" w:cs="Times New Roman" w:eastAsia="Times New Roman" w:hAnsi="Times New Roman"/>
                <w:sz w:val="18"/>
                <w:szCs w:val="18"/>
                <w:color w:val="auto"/>
              </w:rPr>
              <w:t>21.00%</w:t>
            </w:r>
          </w:p>
        </w:tc>
        <w:tc>
          <w:tcPr>
            <w:tcW w:w="76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2"/>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8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(0.01)</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58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(0.19)</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2"/>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8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5.31</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(26.11)</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20" w:type="dxa"/>
            <w:vAlign w:val="bottom"/>
            <w:vMerge w:val="continue"/>
          </w:tcPr>
          <w:p>
            <w:pPr>
              <w:spacing w:after="0"/>
              <w:rPr>
                <w:sz w:val="19"/>
                <w:szCs w:val="19"/>
                <w:color w:val="auto"/>
              </w:rPr>
            </w:pPr>
          </w:p>
        </w:tc>
        <w:tc>
          <w:tcPr>
            <w:tcW w:w="4460" w:type="dxa"/>
            <w:vAlign w:val="bottom"/>
            <w:vMerge w:val="continue"/>
          </w:tcPr>
          <w:p>
            <w:pPr>
              <w:spacing w:after="0"/>
              <w:rPr>
                <w:sz w:val="19"/>
                <w:szCs w:val="19"/>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220" w:type="dxa"/>
            <w:vAlign w:val="bottom"/>
          </w:tcPr>
          <w:p>
            <w:pPr>
              <w:spacing w:after="0"/>
              <w:rPr>
                <w:sz w:val="24"/>
                <w:szCs w:val="24"/>
                <w:color w:val="auto"/>
              </w:rPr>
            </w:pPr>
          </w:p>
        </w:tc>
        <w:tc>
          <w:tcPr>
            <w:tcW w:w="5820" w:type="dxa"/>
            <w:vAlign w:val="bottom"/>
            <w:gridSpan w:val="3"/>
          </w:tcPr>
          <w:p>
            <w:pPr>
              <w:jc w:val="right"/>
              <w:ind w:right="4460"/>
              <w:spacing w:after="0"/>
              <w:rPr>
                <w:sz w:val="20"/>
                <w:szCs w:val="20"/>
                <w:color w:val="auto"/>
              </w:rPr>
            </w:pPr>
            <w:r>
              <w:rPr>
                <w:rFonts w:ascii="Times New Roman" w:cs="Times New Roman" w:eastAsia="Times New Roman" w:hAnsi="Times New Roman"/>
                <w:sz w:val="18"/>
                <w:szCs w:val="18"/>
                <w:color w:val="auto"/>
              </w:rPr>
              <w:t>F-27</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1" w:right="5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deferred tax assets as of December 31, 2021 and 2022, consisted of the following (in thousands):</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8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14"/>
        </w:trPr>
        <w:tc>
          <w:tcPr>
            <w:tcW w:w="88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center"/>
              <w:ind w:right="420"/>
              <w:spacing w:after="0" w:line="114"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center"/>
              <w:ind w:right="52"/>
              <w:spacing w:after="0" w:line="114"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00" w:type="dxa"/>
            <w:vAlign w:val="bottom"/>
          </w:tcPr>
          <w:p>
            <w:pPr>
              <w:spacing w:after="0"/>
              <w:rPr>
                <w:sz w:val="9"/>
                <w:szCs w:val="9"/>
                <w:color w:val="auto"/>
              </w:rPr>
            </w:pPr>
          </w:p>
        </w:tc>
      </w:tr>
      <w:tr>
        <w:trPr>
          <w:trHeight w:val="170"/>
        </w:trPr>
        <w:tc>
          <w:tcPr>
            <w:tcW w:w="884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2021    </w:t>
            </w:r>
          </w:p>
        </w:tc>
        <w:tc>
          <w:tcPr>
            <w:tcW w:w="24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r>
      <w:tr>
        <w:trPr>
          <w:trHeight w:val="192"/>
        </w:trPr>
        <w:tc>
          <w:tcPr>
            <w:tcW w:w="884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5"/>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7,791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12,663</w:t>
            </w:r>
          </w:p>
        </w:tc>
      </w:tr>
      <w:tr>
        <w:trPr>
          <w:trHeight w:val="212"/>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R&amp;D credit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w:t>
            </w:r>
          </w:p>
        </w:tc>
      </w:tr>
      <w:tr>
        <w:trPr>
          <w:trHeight w:val="212"/>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tax credit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2"/>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12"/>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174</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2,194</w:t>
            </w:r>
          </w:p>
        </w:tc>
      </w:tr>
      <w:tr>
        <w:trPr>
          <w:trHeight w:val="212"/>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218"/>
        </w:trPr>
        <w:tc>
          <w:tcPr>
            <w:tcW w:w="8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19,027</w:t>
            </w:r>
          </w:p>
        </w:tc>
        <w:tc>
          <w:tcPr>
            <w:tcW w:w="100" w:type="dxa"/>
            <w:vAlign w:val="bottom"/>
          </w:tcPr>
          <w:p>
            <w:pPr>
              <w:spacing w:after="0"/>
              <w:rPr>
                <w:sz w:val="19"/>
                <w:szCs w:val="19"/>
                <w:color w:val="auto"/>
              </w:rPr>
            </w:pPr>
          </w:p>
        </w:tc>
      </w:tr>
      <w:tr>
        <w:trPr>
          <w:trHeight w:val="212"/>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8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2"/>
        </w:trPr>
        <w:tc>
          <w:tcPr>
            <w:tcW w:w="8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8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r>
        <w:trPr>
          <w:trHeight w:val="212"/>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18,927</w:t>
            </w:r>
          </w:p>
        </w:tc>
      </w:tr>
      <w:tr>
        <w:trPr>
          <w:trHeight w:val="225"/>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(10,961)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(18,927)</w:t>
            </w:r>
          </w:p>
        </w:tc>
        <w:tc>
          <w:tcPr>
            <w:tcW w:w="100" w:type="dxa"/>
            <w:vAlign w:val="bottom"/>
          </w:tcPr>
          <w:p>
            <w:pPr>
              <w:spacing w:after="0"/>
              <w:rPr>
                <w:sz w:val="19"/>
                <w:szCs w:val="19"/>
                <w:color w:val="auto"/>
              </w:rPr>
            </w:pPr>
          </w:p>
        </w:tc>
      </w:tr>
      <w:tr>
        <w:trPr>
          <w:trHeight w:val="225"/>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0"/>
        </w:trPr>
        <w:tc>
          <w:tcPr>
            <w:tcW w:w="8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Deferred tax assets are reduced by a valuation allowance if, based on the weight of available positive and negative evidence, it is more likely than not that some portion or all of the deferred tax assets will not be realized. For the year ended December 31, 2022, the valuation allowance for deferred tax assets increased by $8.0 million. This increase was primarily related to the establishment of a valuation allowance against additional net operating loss, Section 174 capitalized research and experimental (R&amp;E) costs and research credits generated in the current year.</w:t>
      </w:r>
    </w:p>
    <w:p>
      <w:pPr>
        <w:spacing w:after="0" w:line="180"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As of December 31, 2022, the Company calculated $62.5 million and $0.2 million of federal and state net operating loss carryforwards (NOL), respectively. These amounts are subject to certain return-to-provision adjustments. Of the $62.5 million in federal NOL carryforwards, $50.3 million is not subject to expiration and the other $12.2 million begin to expire in 2030. The state NOL carryforwards begin to expire in 2040. In addition, as of December 31, 2022, the Company had $3.7 million of federal R&amp;D credit carryovers which begin to expire in 2032 and $0.9 million of state credit carryovers, which can be carried forward indefinitely, and $0.4 million of foreign tax credit carryover which will expire in 2029. These loss and credit carryforwards are subject to review and possible adjustment by the appropriate taxing authorities.</w:t>
      </w:r>
    </w:p>
    <w:p>
      <w:pPr>
        <w:spacing w:after="0" w:line="185"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Utilization of the Company’s NOL carryforwards and R&amp;D credit carryforwards may be subject to a substantial annual limitation due to ownership change limitations that have occurred previously or that could occur in the future in accordance with Section 382 of the Internal Revenue Code of 1986 (Section 382) as well as similar state provisions. These ownership changes may limit the amount of NOL and R&amp;D credit carryforwards that can be utilized annually to offset future taxable income and taxes, respectively. In general, an ownership change as defined by Section 382 results from transactions increasing the ownership of certain shareholders or public companies in the stock of a corporation by more than 50% over a three-year period. Since its formation, the Company has raised capital through the issuance of capital stock on several occasions. The Company believes one or more of these financings resulted in an ownership change as defined by Section 382, and consequently the Company’s ability to fully utilize its NOL carryforwards will likely be limited. As a current analysis has not been performed, the amount of such limitations, if any, cannot be accurately estimated at this time.</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20"/>
          </w:cols>
          <w:pgMar w:left="320" w:top="451" w:right="5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right="20" w:firstLine="432"/>
        <w:spacing w:after="0" w:line="282" w:lineRule="auto"/>
        <w:rPr>
          <w:sz w:val="20"/>
          <w:szCs w:val="20"/>
          <w:color w:val="auto"/>
        </w:rPr>
      </w:pPr>
      <w:r>
        <w:rPr>
          <w:rFonts w:ascii="Times New Roman" w:cs="Times New Roman" w:eastAsia="Times New Roman" w:hAnsi="Times New Roman"/>
          <w:sz w:val="17"/>
          <w:szCs w:val="17"/>
          <w:color w:val="auto"/>
        </w:rPr>
        <w:t>As of December 31, 2021 and 2022, the Company recorded $0.6 million and $0.7 million unrecognized tax benefits on R&amp;D credits. The Company’s policy is to recognize interest and penalties accrued on any uncertain tax positions as a component of income tax expense, if any, in its statements of income. For the years ended December 31, 2021 and 2022, no estimated interest or penalties were recognized on uncertain tax positions.</w:t>
      </w:r>
    </w:p>
    <w:p>
      <w:pPr>
        <w:spacing w:after="0" w:line="159"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The following reconciliation of the beginning and ending amount of gross unrecognized tax benefits, excluding interest and penalties, is as follows (in thousands):</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9"/>
        </w:trPr>
        <w:tc>
          <w:tcPr>
            <w:tcW w:w="896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00" w:type="dxa"/>
            <w:vAlign w:val="bottom"/>
            <w:tcBorders>
              <w:top w:val="single" w:sz="8" w:color="auto"/>
            </w:tcBorders>
            <w:gridSpan w:val="2"/>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  2021    </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  2022    </w:t>
            </w:r>
          </w:p>
        </w:tc>
        <w:tc>
          <w:tcPr>
            <w:tcW w:w="40" w:type="dxa"/>
            <w:vAlign w:val="bottom"/>
          </w:tcPr>
          <w:p>
            <w:pPr>
              <w:spacing w:after="0"/>
              <w:rPr>
                <w:sz w:val="12"/>
                <w:szCs w:val="12"/>
                <w:color w:val="auto"/>
              </w:rPr>
            </w:pPr>
          </w:p>
        </w:tc>
      </w:tr>
      <w:tr>
        <w:trPr>
          <w:trHeight w:val="218"/>
        </w:trPr>
        <w:tc>
          <w:tcPr>
            <w:tcW w:w="8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of unrecognized tax benefits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9"/>
                <w:szCs w:val="19"/>
                <w:color w:val="auto"/>
                <w:w w:val="8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463</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580</w:t>
            </w:r>
          </w:p>
        </w:tc>
        <w:tc>
          <w:tcPr>
            <w:tcW w:w="40" w:type="dxa"/>
            <w:vAlign w:val="bottom"/>
            <w:tcBorders>
              <w:top w:val="single" w:sz="8" w:color="CCEEFF"/>
            </w:tcBorders>
            <w:shd w:val="clear" w:color="auto" w:fill="CCEEFF"/>
          </w:tcPr>
          <w:p>
            <w:pPr>
              <w:spacing w:after="0"/>
              <w:rPr>
                <w:sz w:val="19"/>
                <w:szCs w:val="19"/>
                <w:color w:val="auto"/>
              </w:rPr>
            </w:pPr>
          </w:p>
        </w:tc>
      </w:tr>
      <w:tr>
        <w:trPr>
          <w:trHeight w:val="219"/>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9"/>
                <w:szCs w:val="19"/>
                <w:color w:val="auto"/>
              </w:rPr>
            </w:pPr>
          </w:p>
        </w:tc>
      </w:tr>
      <w:tr>
        <w:trPr>
          <w:trHeight w:val="225"/>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of unrecognized tax benefits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9"/>
                <w:szCs w:val="19"/>
                <w:color w:val="auto"/>
                <w:w w:val="90"/>
              </w:rPr>
              <w:t>     580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9"/>
                <w:szCs w:val="19"/>
                <w:color w:val="auto"/>
                <w:w w:val="87"/>
              </w:rPr>
              <w:t>     691</w:t>
            </w:r>
          </w:p>
        </w:tc>
      </w:tr>
      <w:tr>
        <w:trPr>
          <w:trHeight w:val="20"/>
        </w:trPr>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None of the unrecognized tax benefits, if recognized, would impact the annual effective tax rate, due to the valuation allowance. The Company’s unrecognized tax benefits are recorded as a reduction in deferred tax assets. The Company does not expect any significant increases or decreases to the Company’s unrecognized tax benefits within the next 12 months. Due to the valuation allowance, future changes in the Company’s unrecognized tax benefits will not impact the Company’s effective tax rate. The Company has not incurred any material interest or penalties as of the current reporting date with respect to income tax matters.</w:t>
      </w:r>
    </w:p>
    <w:p>
      <w:pPr>
        <w:spacing w:after="0" w:line="185" w:lineRule="exact"/>
        <w:rPr>
          <w:sz w:val="20"/>
          <w:szCs w:val="20"/>
          <w:color w:val="auto"/>
        </w:rPr>
      </w:pPr>
    </w:p>
    <w:p>
      <w:pPr>
        <w:jc w:val="both"/>
        <w:ind w:left="220" w:right="20" w:firstLine="432"/>
        <w:spacing w:after="0" w:line="255" w:lineRule="auto"/>
        <w:rPr>
          <w:sz w:val="20"/>
          <w:szCs w:val="20"/>
          <w:color w:val="auto"/>
        </w:rPr>
      </w:pPr>
      <w:r>
        <w:rPr>
          <w:rFonts w:ascii="Times New Roman" w:cs="Times New Roman" w:eastAsia="Times New Roman" w:hAnsi="Times New Roman"/>
          <w:sz w:val="18"/>
          <w:szCs w:val="18"/>
          <w:color w:val="auto"/>
        </w:rPr>
        <w:t>Tax Cuts and Jobs Act’s (TCJA) amendment to Section 174 required Research and Experimental (R&amp;E) expenditures to be capitalized in the year the amounts are incurred for amounts paid in tax years starting after December 31, 2021. The capitalized amounts are then amortized over a period of five years, if the research is performed within the U.S., or 15 years, with respect to non-U.S. based research. The amended statute specifies that amortization will begin with the midpoint of the taxable year in which expenses are paid or incurred.</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PPP Loan</w:t>
      </w:r>
    </w:p>
    <w:p>
      <w:pPr>
        <w:spacing w:after="0" w:line="115" w:lineRule="exact"/>
        <w:rPr>
          <w:sz w:val="20"/>
          <w:szCs w:val="20"/>
          <w:color w:val="auto"/>
        </w:rPr>
      </w:pPr>
    </w:p>
    <w:p>
      <w:pPr>
        <w:jc w:val="both"/>
        <w:ind w:left="220" w:firstLine="432"/>
        <w:spacing w:after="0" w:line="247" w:lineRule="auto"/>
        <w:rPr>
          <w:sz w:val="20"/>
          <w:szCs w:val="20"/>
          <w:color w:val="auto"/>
        </w:rPr>
      </w:pPr>
      <w:r>
        <w:rPr>
          <w:rFonts w:ascii="Times New Roman" w:cs="Times New Roman" w:eastAsia="Times New Roman" w:hAnsi="Times New Roman"/>
          <w:sz w:val="18"/>
          <w:szCs w:val="18"/>
          <w:color w:val="auto"/>
        </w:rPr>
        <w:t>In April 2020, the Company entered into the PPP Loan with SVB under the PPP, which is part of the CARES Act administered by the SBA. As part of the application for these funds, the Company in good faith, certified that the current economic uncertainty made the loan request necessary to support the ongoing operations of the Company. This certification further required the Company to take into account its current business activity and its ability to access other sources of liquidity sufficient to support ongoing operations in a manner that is not significantly detrimental to the business. Under the PPP, the Company received proceeds of $0.2 million from the PPP Loan. In accordance with the requirements of the PPP, the Company used the proceeds from the PPP Loan primarily for payroll costs. The PPP Loan had a 1.00% interest rate per annum, was scheduled to mature in April 2022, and was subject to the terms and conditions applicable to loans administered by the SBA under the PPP. Under the terms of PPP, all or certain amounts of the PPP Loan may have been forgiven if they were used for qualifying expenses, as described in the CARES Act. Further, if, despite the good-faith belief that, given the Company’s circumstances all eligibility requirements for the PPP Loan were satisfied, it was later determined the Company had violated any applicable laws or regulations or it was otherwise determined the Company was ineligible to receive the PPP Loan, it may have been required to repay the PPP Loan in its entirety and/or be subject to additional penalties. The Company recorded the entire amount of the PPP Loan as debt. Under the terms of the PPP Loan, monthly payments of principal and interest were due to commence in November 2020, however, the SBA deferred loan payments for borrowers who applied for loan forgiveness until the SBA remitted the borrower’s loan forgiveness amount to the lender. No payments were made in 2020. In January 2021, the Company completed an application for forgiveness of the PPP Loan. In January 2021, the SBA approved the forgiveness of the PPP Loan, plus accrued interest.</w:t>
      </w:r>
    </w:p>
    <w:p>
      <w:pPr>
        <w:spacing w:after="0" w:line="1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40"/>
          </w:cols>
          <w:pgMar w:left="320" w:top="451" w:right="5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In January 2021, the Company entered into a second loan agreement (the Second PPP Loan) with SVB under the PPP and received proceeds of $0.2 million from the Second PPP Loan. The Second PPP Loan had a 1.00% interest rate per annum, was scheduled to mature in January 2026, and was subject to similar certifications, terms and conditions as applicable to the PPP Loan. The Company recorded the entire amount of the Second PPP Loan as debt. Under the terms of the Second PPP Loan, monthly payments of principal and interest were due to commence in June 2022, however, the SBA deferred loan payments for borrowers who applied for loan forgiveness until the SBA remitted the borrower’s loan forgiveness amount to the lender. No payments were made in 2021. In June 2021, the SBA approved the forgiveness of the Second PPP Loan, plus accrued interest.</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SVB Term Loan</w:t>
      </w:r>
    </w:p>
    <w:p>
      <w:pPr>
        <w:spacing w:after="0" w:line="113" w:lineRule="exact"/>
        <w:rPr>
          <w:sz w:val="20"/>
          <w:szCs w:val="20"/>
          <w:color w:val="auto"/>
        </w:rPr>
      </w:pPr>
    </w:p>
    <w:p>
      <w:pPr>
        <w:jc w:val="both"/>
        <w:ind w:left="220" w:right="20" w:firstLine="432"/>
        <w:spacing w:after="0" w:line="250" w:lineRule="auto"/>
        <w:rPr>
          <w:sz w:val="20"/>
          <w:szCs w:val="20"/>
          <w:color w:val="auto"/>
        </w:rPr>
      </w:pPr>
      <w:r>
        <w:rPr>
          <w:rFonts w:ascii="Times New Roman" w:cs="Times New Roman" w:eastAsia="Times New Roman" w:hAnsi="Times New Roman"/>
          <w:sz w:val="18"/>
          <w:szCs w:val="18"/>
          <w:color w:val="auto"/>
        </w:rPr>
        <w:t>In January 2021, the Company entered into the Loan Agreement with SVB for a term loan in three tranches. The Company drew down Tranche A funds in January 2021 for an original principal amount of $5.0 million, in increments of $2.5 million each. The Company drew down Tranche B funds in December 2021 for an original principal amount of $10.0 million, in increments of $5.0 million each, following the achievement of certain milestones. The Tranche C funds, for which the original principal amounts are not to exceed $5.0 million, in increments of $2.5 million each, were not drawn upon in 2021 or in 2022 and are only available on the achievement of certain milestones. In addition, at any time during the term of the Loan Agreement, the Company may request that SVB make one additional term loan available to the Company in an original principal amount equal to $10.0 million. SVB, in its sole and absolute discretion, may grant or deny any such request from the Company for this term loan.</w:t>
      </w:r>
    </w:p>
    <w:p>
      <w:pPr>
        <w:spacing w:after="0" w:line="187"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Funds received under the Loan Agreement (the Term Loan Advances) shall be interest-only during an interest-only period (the Interest-Only Period), with interest due and payable monthly on the first calendar day of each month. The Interest-Only Period, which was from January 8, 2021 through January 31, 2022, was able to be extended through July 31, 2022 if the Company achieved certain milestones (the Interest-Only Extension Milestones). The Interest-Only Period was extended to July 31, 2022 upon the draw down of Tranche B funds in December 2021. In August and September 2022, the Company entered into amendments to the Loan Agreement (the Loan Agreement Amendments). Per the Loan Agreement Amendments, the Interest-Only Period was extended from July 31, 2022 until October 31, 2022 and the net cash proceeds related to one of the Interest-Only Extension Milestones (Interest-Only Extension Milestone 1) were increased from $50 million to $80 million. In addition, if Interest-Only Extension Milestone 1 was achieved, the Interest-Only Period would be extended until January 31, 2023. Interest-Only Extension Milestone 1 was achieved in September 2022 as a result of the sale of Series E. Thereafter, the Term Loan Advances are payable in thirty, twenty-four, or eighteen equal monthly installments (dependent on the achievement of the Interest-Only Extension Milestones) of principal plus accrued and unpaid interest (each a Term Loan Payment) beginning on the first day of the next month following the end of the Interest-Only Period and continuing on the first day of each month thereafter.</w:t>
      </w:r>
    </w:p>
    <w:p>
      <w:pPr>
        <w:spacing w:after="0" w:line="189"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Term Loan Advances accrue interest at a floating per annum rate equal to the greater of 3.25% above the Prime Rate or 6.50%, provided however, the interest rate shall not exceed 7.50% at any time. Immediately upon the occurrence and during the continuance of an event of default, obligations bear interest at a rate per annum which is 5.0% above the rate that is otherwise applicable.</w:t>
      </w:r>
    </w:p>
    <w:p>
      <w:pPr>
        <w:spacing w:after="0" w:line="178"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The Company’s final Term Loan Payment, due on July 1, 2024, shall include all outstanding principal and accrued and unpaid interest on the Term Loan Advances, a final payment (the Final Payment), and all other outstanding obligations with respect to the Term Loan Advances. The Final Payment shall equal the aggregate original amount of all Term Loan Advances made by SVB to the Company multiplied by 8.50%. The Final Payment is in addition to, and not a substitution for, the regular monthly payments of principal plus accrued interest. After repayment, no Term Loan Advance (or any portion thereof) may be reborrowed.</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40"/>
          </w:cols>
          <w:pgMar w:left="320" w:top="451" w:right="5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The Company has the option to prepay all, but not less than all, of the Term Loan Advances advanced by SVB under the Loan Agreement, provided the Company delivers written notice to SVB of its election to prepay such Term Loan Advances at least thirty days prior to such prepayment and pays, on the date of such prepayment, all outstanding principal due in connection with the Term Loan Advances, plus accrued and unpaid interest thereon, a prepayment fee (the Prepayment Fee), the Final Payment, and all other sums, if any, that have become due and payable in connection with the Term Loan Advances.</w:t>
      </w:r>
    </w:p>
    <w:p>
      <w:pPr>
        <w:spacing w:after="0" w:line="185"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If the Term Loan Advances are accelerated following the occurrence of an event of default, the Company shall immediately pay to SVB an amount equal to the sum of all outstanding principal, due in connection with the Term Loan Advances, plus accrued and unpaid interest thereon, a prepayment fee, the Final Payment, and all other sums, if any, that have become due and payable hereunder in connection with the Term Loan Advances. The prepayment fee equals 2.00% of the outstanding principal balance of the Term Loan Advances, if such prepayment occurs prior to January 8, 2022, or 1.00% of the outstanding principal balance of the Term Loan Advances if such prepayment occurs on or after January 8, 2022, but prior to January 8, 2023. The following situations constitutes an event of default; payment default, covenant default, material adverse change, attachment, levy, insolvency, judgements, penalties, misrepresentations, subordinated debt, guaranty, lien priority and governmental approvals.</w:t>
      </w:r>
    </w:p>
    <w:p>
      <w:pPr>
        <w:spacing w:after="0" w:line="187" w:lineRule="exact"/>
        <w:rPr>
          <w:sz w:val="20"/>
          <w:szCs w:val="20"/>
          <w:color w:val="auto"/>
        </w:rPr>
      </w:pPr>
    </w:p>
    <w:p>
      <w:pPr>
        <w:jc w:val="both"/>
        <w:ind w:left="220" w:right="20" w:firstLine="432"/>
        <w:spacing w:after="0" w:line="248" w:lineRule="auto"/>
        <w:rPr>
          <w:sz w:val="20"/>
          <w:szCs w:val="20"/>
          <w:color w:val="auto"/>
        </w:rPr>
      </w:pPr>
      <w:r>
        <w:rPr>
          <w:rFonts w:ascii="Times New Roman" w:cs="Times New Roman" w:eastAsia="Times New Roman" w:hAnsi="Times New Roman"/>
          <w:sz w:val="18"/>
          <w:szCs w:val="18"/>
          <w:color w:val="auto"/>
        </w:rPr>
        <w:t>In connection with the Loan Agreement, the Company entered into a Success Fee Agreement (the Success Fee Agreement) with SVB in January 2021. In accordance with the Success Fee Agreement, the Company agreed to pay to SVB an amount equal to (a) the quotient of (i) the aggregate original principal amount of all Term Loan Advances made by SVB to the Company divided by (ii) $5 million, multiplied by (b) $125,000 (the Success Fee), upon the closing of a success fee event (the Success Fee Event) and, in the event of an initial public offering (an IPO), within five business days of closing such IPO. The Success Fee Event means the earliest to occur of any one of the following after January 8, 2021: (a) any sale, license, transfer or other disposition of all or substantially all of the assets of the Company or any of its subsidiaries; or (b) any reorganization, consolidation, or merger of the Company (or a subsidiary, but only if such subsidiary is a successor-in-interest to the Company’s business) where the holders of the Company’s securities (or such subsidiary’s securities) before the transaction beneficially own less than 50% of the outstanding voting securities of the surviving entity after the transaction, or (c) an IPO by the Company or such subsidiary of its capital stock. The Company’s obligation to pay SVB the Success Fee terminates on January 8, 2031.</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the principal amounts of long-term debt maturities for each of the following fiscal years were as follows:</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46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15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2023</w:t>
            </w:r>
          </w:p>
        </w:tc>
        <w:tc>
          <w:tcPr>
            <w:tcW w:w="308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512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8,966</w:t>
            </w:r>
          </w:p>
        </w:tc>
      </w:tr>
      <w:tr>
        <w:trPr>
          <w:trHeight w:val="232"/>
        </w:trPr>
        <w:tc>
          <w:tcPr>
            <w:tcW w:w="15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2024</w:t>
            </w:r>
          </w:p>
        </w:tc>
        <w:tc>
          <w:tcPr>
            <w:tcW w:w="30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100" w:type="dxa"/>
            <w:vAlign w:val="bottom"/>
          </w:tcPr>
          <w:p>
            <w:pPr>
              <w:spacing w:after="0"/>
              <w:rPr>
                <w:sz w:val="20"/>
                <w:szCs w:val="20"/>
                <w:color w:val="auto"/>
              </w:rPr>
            </w:pPr>
          </w:p>
        </w:tc>
      </w:tr>
      <w:tr>
        <w:trPr>
          <w:trHeight w:val="225"/>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5380" w:type="dxa"/>
            <w:vAlign w:val="bottom"/>
            <w:gridSpan w:val="2"/>
            <w:shd w:val="clear" w:color="auto" w:fill="CCEEFF"/>
          </w:tcPr>
          <w:p>
            <w:pPr>
              <w:ind w:left="5120"/>
              <w:spacing w:after="0"/>
              <w:rPr>
                <w:sz w:val="20"/>
                <w:szCs w:val="20"/>
                <w:color w:val="auto"/>
              </w:rPr>
            </w:pPr>
            <w:r>
              <w:rPr>
                <w:rFonts w:ascii="Times New Roman" w:cs="Times New Roman" w:eastAsia="Times New Roman" w:hAnsi="Times New Roman"/>
                <w:sz w:val="19"/>
                <w:szCs w:val="19"/>
                <w:color w:val="auto"/>
              </w:rPr>
              <w:t xml:space="preserve">$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  16,275</w:t>
            </w:r>
          </w:p>
        </w:tc>
      </w:tr>
      <w:tr>
        <w:trPr>
          <w:trHeight w:val="218"/>
        </w:trPr>
        <w:tc>
          <w:tcPr>
            <w:tcW w:w="46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5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(777)</w:t>
            </w:r>
          </w:p>
        </w:tc>
      </w:tr>
      <w:tr>
        <w:trPr>
          <w:trHeight w:val="212"/>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5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w:t>
            </w:r>
          </w:p>
        </w:tc>
        <w:tc>
          <w:tcPr>
            <w:tcW w:w="100" w:type="dxa"/>
            <w:vAlign w:val="bottom"/>
            <w:shd w:val="clear" w:color="auto" w:fill="CCEEFF"/>
          </w:tcPr>
          <w:p>
            <w:pPr>
              <w:spacing w:after="0"/>
              <w:rPr>
                <w:sz w:val="18"/>
                <w:szCs w:val="18"/>
                <w:color w:val="auto"/>
              </w:rPr>
            </w:pPr>
          </w:p>
        </w:tc>
      </w:tr>
      <w:tr>
        <w:trPr>
          <w:trHeight w:val="212"/>
        </w:trPr>
        <w:tc>
          <w:tcPr>
            <w:tcW w:w="46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(8,966)</w:t>
            </w:r>
          </w:p>
        </w:tc>
      </w:tr>
      <w:tr>
        <w:trPr>
          <w:trHeight w:val="26"/>
        </w:trPr>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5380" w:type="dxa"/>
            <w:vAlign w:val="bottom"/>
            <w:gridSpan w:val="2"/>
            <w:shd w:val="clear" w:color="auto" w:fill="CCEEFF"/>
          </w:tcPr>
          <w:p>
            <w:pPr>
              <w:ind w:left="512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6,532</w:t>
            </w:r>
          </w:p>
        </w:tc>
      </w:tr>
      <w:tr>
        <w:trPr>
          <w:trHeight w:val="20"/>
        </w:trPr>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F-31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40"/>
          </w:cols>
          <w:pgMar w:left="320" w:top="451" w:right="5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12. Net Loss Per Share Attributable to Common Stockholders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8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39"/>
        </w:trPr>
        <w:tc>
          <w:tcPr>
            <w:tcW w:w="8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(12,839)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(35,443)</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Deemed dividend on redeemable convertible preferred stock issuances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2"/>
        </w:trPr>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Cumulative redeemable convertible preferred stock dividends</w:t>
            </w: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(5,544)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(18,383)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(43,788)</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34,807,996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35,669,546</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3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(0.53)</w:t>
            </w:r>
          </w:p>
        </w:tc>
        <w:tc>
          <w:tcPr>
            <w:tcW w:w="2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220" w:firstLine="432"/>
        <w:spacing w:after="0" w:line="251"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stock have the right to receive dividends on a pari passu basis in the event that a dividend is paid on common stock. Under the two-class method, the net loss attributable to common stockholders is not allocated to the convertible preferred stock as the preferred stockholders do not have a contractual obligation to share in the Company’s losses.</w:t>
      </w:r>
    </w:p>
    <w:p>
      <w:pPr>
        <w:spacing w:after="0" w:line="185" w:lineRule="exact"/>
        <w:rPr>
          <w:sz w:val="20"/>
          <w:szCs w:val="20"/>
          <w:color w:val="auto"/>
        </w:rPr>
      </w:pPr>
    </w:p>
    <w:p>
      <w:pPr>
        <w:ind w:left="220" w:firstLine="432"/>
        <w:spacing w:after="0" w:line="274" w:lineRule="auto"/>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as of December 31, 2021 and 2022 because including them would have had an anti-dilutive effect:</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8320" w:type="dxa"/>
            <w:vAlign w:val="bottom"/>
          </w:tcPr>
          <w:p>
            <w:pPr>
              <w:spacing w:after="0"/>
              <w:rPr>
                <w:sz w:val="14"/>
                <w:szCs w:val="14"/>
                <w:color w:val="auto"/>
              </w:rPr>
            </w:pPr>
          </w:p>
        </w:tc>
        <w:tc>
          <w:tcPr>
            <w:tcW w:w="24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9"/>
        </w:trPr>
        <w:tc>
          <w:tcPr>
            <w:tcW w:w="83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6"/>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205"/>
        </w:trPr>
        <w:tc>
          <w:tcPr>
            <w:tcW w:w="8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1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172,266,495</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284,689,195</w:t>
            </w:r>
          </w:p>
        </w:tc>
        <w:tc>
          <w:tcPr>
            <w:tcW w:w="60" w:type="dxa"/>
            <w:vAlign w:val="bottom"/>
            <w:shd w:val="clear" w:color="auto" w:fill="CCEEFF"/>
          </w:tcPr>
          <w:p>
            <w:pPr>
              <w:spacing w:after="0"/>
              <w:rPr>
                <w:sz w:val="17"/>
                <w:szCs w:val="17"/>
                <w:color w:val="auto"/>
              </w:rPr>
            </w:pPr>
          </w:p>
        </w:tc>
      </w:tr>
      <w:tr>
        <w:trPr>
          <w:trHeight w:val="21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28,971,871</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35,900,920</w:t>
            </w:r>
          </w:p>
        </w:tc>
      </w:tr>
      <w:tr>
        <w:trPr>
          <w:trHeight w:val="26"/>
        </w:trPr>
        <w:tc>
          <w:tcPr>
            <w:tcW w:w="83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201,238,366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320,590,115</w:t>
            </w:r>
          </w:p>
        </w:tc>
      </w:tr>
      <w:tr>
        <w:trPr>
          <w:trHeight w:val="20"/>
        </w:trPr>
        <w:tc>
          <w:tcPr>
            <w:tcW w:w="8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In 2022, the Company entered into an agreement with an outside consulting firm for the provision of interim Chief Financial Officer (CFO) services. The Company paid the consulting firm for the provision of the interim CFO services rendered less than $0.1 million for services rendered for the year ended December 31, 2022.</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evaluated subsequent events through October 27, 2023, the date on which the December 31, 2022 financial statements were issued.</w:t>
      </w:r>
    </w:p>
    <w:p>
      <w:pPr>
        <w:spacing w:after="0" w:line="229"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On May 12, 2023, the Company repaid all outstanding principal and accrued and unpaid interest on the Term Loan Advances under the Loan Agreement and all other outstanding obligations with respect to the Term Loan Advances under the Loan Agreement and made the Final Payment. The Company’s obligation to pay SVB the Success Fee remains outstanding.</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20"/>
          </w:cols>
          <w:pgMar w:left="320" w:top="451" w:right="5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4"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On July 28, 2023, the Company entered into a securities purchase agreement (the Series F Agreement) with certain investors to sell shares of Series F redeemable convertible preferred stock (Series F) at a price of $1.2872 per share. In July 2023, the Company issued 81,587,937 shares of Series F redeemable convertible preferred stock to existing and new investors at a price of $1.2872 per share for gross cash proceeds of $105.0 million, less issuance costs of $0.4 million, resulting in net proceeds of $104.6 million.</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20"/>
          </w:cols>
          <w:pgMar w:left="320" w:top="451" w:right="5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234315</wp:posOffset>
            </wp:positionV>
            <wp:extent cx="6865620" cy="336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65620" cy="336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310515</wp:posOffset>
            </wp:positionV>
            <wp:extent cx="68656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tabs>
          <w:tab w:leader="none" w:pos="300" w:val="left"/>
        </w:tabs>
        <w:rPr>
          <w:sz w:val="20"/>
          <w:szCs w:val="20"/>
          <w:color w:val="auto"/>
        </w:rPr>
      </w:pPr>
      <w:r>
        <w:rPr>
          <w:rFonts w:ascii="Times New Roman" w:cs="Times New Roman" w:eastAsia="Times New Roman" w:hAnsi="Times New Roman"/>
          <w:sz w:val="32"/>
          <w:szCs w:val="32"/>
          <w:b w:val="1"/>
          <w:bCs w:val="1"/>
          <w:color w:val="auto"/>
        </w:rPr>
        <w:t xml:space="preserve">                </w:t>
      </w:r>
      <w:r>
        <w:rPr>
          <w:sz w:val="20"/>
          <w:szCs w:val="20"/>
          <w:color w:val="auto"/>
        </w:rPr>
        <w:tab/>
      </w:r>
      <w:r>
        <w:rPr>
          <w:rFonts w:ascii="Times New Roman" w:cs="Times New Roman" w:eastAsia="Times New Roman" w:hAnsi="Times New Roman"/>
          <w:sz w:val="31"/>
          <w:szCs w:val="3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957580</wp:posOffset>
            </wp:positionV>
            <wp:extent cx="2684145" cy="5219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84145" cy="52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tabs>
          <w:tab w:leader="none" w:pos="4100" w:val="left"/>
          <w:tab w:leader="none" w:pos="10140" w:val="left"/>
        </w:tabs>
        <w:rPr>
          <w:sz w:val="20"/>
          <w:szCs w:val="20"/>
          <w:color w:val="auto"/>
        </w:rPr>
      </w:pPr>
      <w:r>
        <w:rPr>
          <w:rFonts w:ascii="Times New Roman" w:cs="Times New Roman" w:eastAsia="Times New Roman" w:hAnsi="Times New Roman"/>
          <w:sz w:val="28"/>
          <w:szCs w:val="28"/>
          <w:b w:val="1"/>
          <w:bCs w:val="1"/>
          <w:color w:val="auto"/>
        </w:rPr>
        <w:t>Morgan Stanley</w:t>
      </w:r>
      <w:r>
        <w:rPr>
          <w:sz w:val="20"/>
          <w:szCs w:val="20"/>
          <w:color w:val="auto"/>
        </w:rPr>
        <w:tab/>
      </w:r>
      <w:r>
        <w:rPr>
          <w:rFonts w:ascii="Times New Roman" w:cs="Times New Roman" w:eastAsia="Times New Roman" w:hAnsi="Times New Roman"/>
          <w:sz w:val="28"/>
          <w:szCs w:val="28"/>
          <w:b w:val="1"/>
          <w:bCs w:val="1"/>
          <w:color w:val="auto"/>
        </w:rPr>
        <w:t>Goldman Sachs &amp; Co. LLC</w:t>
      </w:r>
      <w:r>
        <w:rPr>
          <w:sz w:val="20"/>
          <w:szCs w:val="20"/>
          <w:color w:val="auto"/>
        </w:rPr>
        <w:tab/>
      </w:r>
      <w:r>
        <w:rPr>
          <w:rFonts w:ascii="Times New Roman" w:cs="Times New Roman" w:eastAsia="Times New Roman" w:hAnsi="Times New Roman"/>
          <w:sz w:val="28"/>
          <w:szCs w:val="28"/>
          <w:b w:val="1"/>
          <w:bCs w:val="1"/>
          <w:color w:val="auto"/>
        </w:rPr>
        <w:t>Cantor</w:t>
      </w: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LifeSci Capital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            , 2023</w:t>
      </w:r>
    </w:p>
    <w:p>
      <w:pPr>
        <w:spacing w:after="0" w:line="217" w:lineRule="exact"/>
        <w:rPr>
          <w:sz w:val="20"/>
          <w:szCs w:val="20"/>
          <w:color w:val="auto"/>
        </w:rPr>
      </w:pPr>
    </w:p>
    <w:p>
      <w:pPr>
        <w:jc w:val="both"/>
        <w:ind w:left="220" w:right="20"/>
        <w:spacing w:after="0" w:line="261" w:lineRule="auto"/>
        <w:rPr>
          <w:sz w:val="20"/>
          <w:szCs w:val="20"/>
          <w:color w:val="auto"/>
        </w:rPr>
      </w:pPr>
      <w:r>
        <w:rPr>
          <w:rFonts w:ascii="Times New Roman" w:cs="Times New Roman" w:eastAsia="Times New Roman" w:hAnsi="Times New Roman"/>
          <w:sz w:val="18"/>
          <w:szCs w:val="18"/>
          <w:b w:val="1"/>
          <w:bCs w:val="1"/>
          <w:color w:val="auto"/>
        </w:rPr>
        <w:t>Through and including        ,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156210</wp:posOffset>
            </wp:positionV>
            <wp:extent cx="68656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65620"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223520</wp:posOffset>
            </wp:positionV>
            <wp:extent cx="6865620" cy="336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65620" cy="33655"/>
                    </a:xfrm>
                    <a:prstGeom prst="rect">
                      <a:avLst/>
                    </a:prstGeom>
                    <a:noFill/>
                  </pic:spPr>
                </pic:pic>
              </a:graphicData>
            </a:graphic>
          </wp:anchor>
        </w:drawing>
      </w:r>
    </w:p>
    <w:p>
      <w:pPr>
        <w:sectPr>
          <w:pgSz w:w="11900" w:h="16838" w:orient="portrait"/>
          <w:cols w:equalWidth="0" w:num="1">
            <w:col w:w="11040"/>
          </w:cols>
          <w:pgMar w:left="320" w:top="451" w:right="5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87"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(FINRA) filing fee and the Nasdaq Global Market listing fee.</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 Paid or</w:t>
            </w:r>
          </w:p>
        </w:tc>
      </w:tr>
      <w:tr>
        <w:trPr>
          <w:trHeight w:val="170"/>
        </w:trPr>
        <w:tc>
          <w:tcPr>
            <w:tcW w:w="6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05"/>
        </w:trPr>
        <w:tc>
          <w:tcPr>
            <w:tcW w:w="61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SEC registration fee</w:t>
            </w:r>
          </w:p>
        </w:tc>
        <w:tc>
          <w:tcPr>
            <w:tcW w:w="3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Market listing fee</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Agent’s fees and expenses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92710</wp:posOffset>
            </wp:positionV>
            <wp:extent cx="7569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56" w:lineRule="exact"/>
        <w:rPr>
          <w:sz w:val="20"/>
          <w:szCs w:val="20"/>
          <w:color w:val="auto"/>
        </w:rPr>
      </w:pPr>
    </w:p>
    <w:p>
      <w:pPr>
        <w:ind w:left="640" w:hanging="422"/>
        <w:spacing w:after="0"/>
        <w:tabs>
          <w:tab w:leader="none" w:pos="6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provided by amendment.</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13" w:lineRule="exact"/>
        <w:rPr>
          <w:sz w:val="20"/>
          <w:szCs w:val="20"/>
          <w:color w:val="auto"/>
        </w:rPr>
      </w:pPr>
    </w:p>
    <w:p>
      <w:pPr>
        <w:jc w:val="both"/>
        <w:ind w:left="220" w:firstLine="432"/>
        <w:spacing w:after="0" w:line="250" w:lineRule="auto"/>
        <w:rPr>
          <w:sz w:val="20"/>
          <w:szCs w:val="20"/>
          <w:color w:val="auto"/>
        </w:rPr>
      </w:pPr>
      <w:r>
        <w:rPr>
          <w:rFonts w:ascii="Times New Roman" w:cs="Times New Roman" w:eastAsia="Times New Roman" w:hAnsi="Times New Roman"/>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87" w:lineRule="exact"/>
        <w:rPr>
          <w:sz w:val="20"/>
          <w:szCs w:val="20"/>
          <w:color w:val="auto"/>
        </w:rPr>
      </w:pPr>
    </w:p>
    <w:p>
      <w:pPr>
        <w:jc w:val="both"/>
        <w:ind w:left="220" w:firstLine="432"/>
        <w:spacing w:after="0" w:line="265" w:lineRule="auto"/>
        <w:rPr>
          <w:sz w:val="20"/>
          <w:szCs w:val="20"/>
          <w:color w:val="auto"/>
        </w:rPr>
      </w:pPr>
      <w:r>
        <w:rPr>
          <w:rFonts w:ascii="Times New Roman" w:cs="Times New Roman" w:eastAsia="Times New Roman" w:hAnsi="Times New Roman"/>
          <w:sz w:val="17"/>
          <w:szCs w:val="17"/>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74"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each of which will become effective immediately prior to the closing of this offering, will provide that we will indemnify each</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40"/>
          </w:cols>
          <w:pgMar w:left="320" w:top="451" w:right="5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47" w:lineRule="auto"/>
        <w:rPr>
          <w:sz w:val="20"/>
          <w:szCs w:val="20"/>
          <w:color w:val="auto"/>
        </w:rPr>
      </w:pPr>
      <w:r>
        <w:rPr>
          <w:rFonts w:ascii="Times New Roman" w:cs="Times New Roman" w:eastAsia="Times New Roman" w:hAnsi="Times New Roman"/>
          <w:sz w:val="18"/>
          <w:szCs w:val="18"/>
          <w:color w:val="auto"/>
        </w:rPr>
        <w:t>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our amended and restated bylaws, each as currently in effect,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93" w:lineRule="exact"/>
        <w:rPr>
          <w:sz w:val="20"/>
          <w:szCs w:val="20"/>
          <w:color w:val="auto"/>
        </w:rPr>
      </w:pPr>
    </w:p>
    <w:p>
      <w:pPr>
        <w:jc w:val="both"/>
        <w:ind w:left="220" w:firstLine="432"/>
        <w:spacing w:after="0" w:line="255"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jc w:val="both"/>
        <w:ind w:left="220" w:firstLine="432"/>
        <w:spacing w:after="0" w:line="274"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6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3" w:lineRule="exact"/>
        <w:rPr>
          <w:sz w:val="20"/>
          <w:szCs w:val="20"/>
          <w:color w:val="auto"/>
        </w:rPr>
      </w:pPr>
    </w:p>
    <w:p>
      <w:pPr>
        <w:jc w:val="both"/>
        <w:ind w:left="220" w:firstLine="432"/>
        <w:spacing w:after="0" w:line="259" w:lineRule="auto"/>
        <w:rPr>
          <w:sz w:val="20"/>
          <w:szCs w:val="20"/>
          <w:color w:val="auto"/>
        </w:rPr>
      </w:pPr>
      <w:r>
        <w:rPr>
          <w:rFonts w:ascii="Times New Roman" w:cs="Times New Roman" w:eastAsia="Times New Roman" w:hAnsi="Times New Roman"/>
          <w:sz w:val="18"/>
          <w:szCs w:val="18"/>
          <w:color w:val="auto"/>
        </w:rPr>
        <w:t>Set forth below is information regarding unregistered securities issued by us since October 1, 2020 to the date of this registration statement. Also included is the consideration received by us for such securities and information relating to the section of the Securities Act, or rule of the SEC, under which exemption from registration was claimed.</w:t>
      </w:r>
    </w:p>
    <w:p>
      <w:pPr>
        <w:spacing w:after="0" w:line="85" w:lineRule="exact"/>
        <w:rPr>
          <w:sz w:val="20"/>
          <w:szCs w:val="20"/>
          <w:color w:val="auto"/>
        </w:rPr>
      </w:pPr>
    </w:p>
    <w:p>
      <w:pPr>
        <w:ind w:left="1180" w:hanging="416"/>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Securities</w:t>
      </w:r>
    </w:p>
    <w:p>
      <w:pPr>
        <w:spacing w:after="0" w:line="124" w:lineRule="exact"/>
        <w:rPr>
          <w:rFonts w:ascii="Times New Roman" w:cs="Times New Roman" w:eastAsia="Times New Roman" w:hAnsi="Times New Roman"/>
          <w:sz w:val="18"/>
          <w:szCs w:val="18"/>
          <w:color w:val="auto"/>
        </w:rPr>
      </w:pPr>
    </w:p>
    <w:p>
      <w:pPr>
        <w:ind w:left="1600" w:hanging="415"/>
        <w:spacing w:after="0" w:line="274" w:lineRule="auto"/>
        <w:tabs>
          <w:tab w:leader="none" w:pos="16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we issued to investors an aggregate of 3,040,881 shares of Series D redeemable convertible preferred stock at a purchase price of $0.8879 per share, for aggregate consideration of approximately $2.7 million</w:t>
      </w:r>
    </w:p>
    <w:p>
      <w:pPr>
        <w:spacing w:after="0" w:line="70" w:lineRule="exact"/>
        <w:rPr>
          <w:rFonts w:ascii="Times New Roman" w:cs="Times New Roman" w:eastAsia="Times New Roman" w:hAnsi="Times New Roman"/>
          <w:sz w:val="18"/>
          <w:szCs w:val="18"/>
          <w:color w:val="auto"/>
        </w:rPr>
      </w:pPr>
    </w:p>
    <w:p>
      <w:pPr>
        <w:ind w:left="1600" w:hanging="415"/>
        <w:spacing w:after="0" w:line="274" w:lineRule="auto"/>
        <w:tabs>
          <w:tab w:leader="none" w:pos="16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and October 2022, we issued to investors an aggregate of 112,422,700 shares of Series E redeemable convertible preferred stock at a purchase price of $1.0674 per share, for aggregate consideration of approximately $120 million.</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20"/>
          </w:cols>
          <w:pgMar w:left="320" w:top="451" w:right="5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ind w:left="1600" w:hanging="415"/>
        <w:spacing w:after="0" w:line="274" w:lineRule="auto"/>
        <w:tabs>
          <w:tab w:leader="none" w:pos="16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we issued to investors an aggregate of 81,587,937 shares of Series F redeemable convertible preferred stock at a purchase price of $1.2872 per share, for aggregate consideration of approximately $105 million.</w:t>
      </w:r>
    </w:p>
    <w:p>
      <w:pPr>
        <w:spacing w:after="0" w:line="163" w:lineRule="exact"/>
        <w:rPr>
          <w:sz w:val="20"/>
          <w:szCs w:val="20"/>
          <w:color w:val="auto"/>
        </w:rPr>
      </w:pPr>
    </w:p>
    <w:p>
      <w:pPr>
        <w:jc w:val="both"/>
        <w:ind w:left="220" w:right="20" w:firstLine="432"/>
        <w:spacing w:after="0" w:line="249" w:lineRule="auto"/>
        <w:rPr>
          <w:sz w:val="20"/>
          <w:szCs w:val="20"/>
          <w:color w:val="auto"/>
        </w:rPr>
      </w:pPr>
      <w:r>
        <w:rPr>
          <w:rFonts w:ascii="Times New Roman" w:cs="Times New Roman" w:eastAsia="Times New Roman" w:hAnsi="Times New Roman"/>
          <w:sz w:val="18"/>
          <w:szCs w:val="18"/>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for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97" w:lineRule="exact"/>
        <w:rPr>
          <w:sz w:val="20"/>
          <w:szCs w:val="20"/>
          <w:color w:val="auto"/>
        </w:rPr>
      </w:pPr>
    </w:p>
    <w:p>
      <w:pPr>
        <w:ind w:left="1180" w:hanging="426"/>
        <w:spacing w:after="0"/>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Stock Options</w:t>
      </w:r>
    </w:p>
    <w:p>
      <w:pPr>
        <w:spacing w:after="0" w:line="124" w:lineRule="exact"/>
        <w:rPr>
          <w:rFonts w:ascii="Times New Roman" w:cs="Times New Roman" w:eastAsia="Times New Roman" w:hAnsi="Times New Roman"/>
          <w:sz w:val="18"/>
          <w:szCs w:val="18"/>
          <w:color w:val="auto"/>
        </w:rPr>
      </w:pPr>
    </w:p>
    <w:p>
      <w:pPr>
        <w:jc w:val="both"/>
        <w:ind w:left="1600" w:right="20" w:hanging="415"/>
        <w:spacing w:after="0" w:line="255" w:lineRule="auto"/>
        <w:tabs>
          <w:tab w:leader="none" w:pos="16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October 1, 2020 through the date of this registration statement, we granted stock options to purchase an aggregate of 52,741,148 shares of our common stock at a weighted-average exercise price of $0.367 per share, to certain of our employees, consultants and directors in connection with services provided to us by such persons. 13,987,828 of these options have been exercised and 3,050,968 have been cancelled through the date of this registration statement.</w:t>
      </w:r>
    </w:p>
    <w:p>
      <w:pPr>
        <w:spacing w:after="0" w:line="180" w:lineRule="exact"/>
        <w:rPr>
          <w:sz w:val="20"/>
          <w:szCs w:val="20"/>
          <w:color w:val="auto"/>
        </w:rPr>
      </w:pPr>
    </w:p>
    <w:p>
      <w:pPr>
        <w:jc w:val="both"/>
        <w:ind w:left="220" w:right="20" w:firstLine="432"/>
        <w:spacing w:after="0" w:line="252" w:lineRule="auto"/>
        <w:rPr>
          <w:sz w:val="20"/>
          <w:szCs w:val="20"/>
          <w:color w:val="auto"/>
        </w:rPr>
      </w:pPr>
      <w:r>
        <w:rPr>
          <w:rFonts w:ascii="Times New Roman" w:cs="Times New Roman" w:eastAsia="Times New Roman" w:hAnsi="Times New Roman"/>
          <w:sz w:val="18"/>
          <w:szCs w:val="18"/>
          <w:color w:val="auto"/>
        </w:rPr>
        <w:t>The stock options and common stock issuable upon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185"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4" w:lineRule="exact"/>
        <w:rPr>
          <w:sz w:val="20"/>
          <w:szCs w:val="20"/>
          <w:color w:val="auto"/>
        </w:rPr>
      </w:pPr>
    </w:p>
    <w:p>
      <w:pPr>
        <w:ind w:left="1180" w:hanging="416"/>
        <w:spacing w:after="0"/>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attached to this registration statement, which is incorporated by reference herein.</w:t>
      </w:r>
    </w:p>
    <w:p>
      <w:pPr>
        <w:spacing w:after="0" w:line="124" w:lineRule="exact"/>
        <w:rPr>
          <w:rFonts w:ascii="Times New Roman" w:cs="Times New Roman" w:eastAsia="Times New Roman" w:hAnsi="Times New Roman"/>
          <w:sz w:val="18"/>
          <w:szCs w:val="18"/>
          <w:color w:val="auto"/>
        </w:rPr>
      </w:pPr>
    </w:p>
    <w:p>
      <w:pPr>
        <w:ind w:left="1180" w:right="20" w:hanging="426"/>
        <w:spacing w:after="0" w:line="276" w:lineRule="auto"/>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Statement Schedules. </w:t>
      </w:r>
      <w:r>
        <w:rPr>
          <w:rFonts w:ascii="Times New Roman" w:cs="Times New Roman" w:eastAsia="Times New Roman" w:hAnsi="Times New Roman"/>
          <w:sz w:val="18"/>
          <w:szCs w:val="18"/>
          <w:color w:val="auto"/>
        </w:rPr>
        <w:t>Schedules not listed above have been omitted because the information required to be set forth therein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 or is shown in the financial statements or notes thereto.</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3"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3" w:lineRule="exact"/>
        <w:rPr>
          <w:sz w:val="20"/>
          <w:szCs w:val="20"/>
          <w:color w:val="auto"/>
        </w:rPr>
      </w:pPr>
    </w:p>
    <w:p>
      <w:pPr>
        <w:jc w:val="both"/>
        <w:ind w:left="220" w:right="20" w:firstLine="432"/>
        <w:spacing w:after="0" w:line="259"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40"/>
          </w:cols>
          <w:pgMar w:left="320" w:top="451" w:right="5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220"/>
        <w:spacing w:after="0" w:line="252" w:lineRule="auto"/>
        <w:rPr>
          <w:sz w:val="20"/>
          <w:szCs w:val="20"/>
          <w:color w:val="auto"/>
        </w:rPr>
      </w:pPr>
      <w:r>
        <w:rPr>
          <w:rFonts w:ascii="Times New Roman" w:cs="Times New Roman" w:eastAsia="Times New Roman" w:hAnsi="Times New Roman"/>
          <w:sz w:val="18"/>
          <w:szCs w:val="18"/>
          <w:color w:val="auto"/>
        </w:rPr>
        <w:t>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undertakes that:</w:t>
      </w:r>
    </w:p>
    <w:p>
      <w:pPr>
        <w:spacing w:after="0" w:line="124" w:lineRule="exact"/>
        <w:rPr>
          <w:sz w:val="20"/>
          <w:szCs w:val="20"/>
          <w:color w:val="auto"/>
        </w:rPr>
      </w:pPr>
    </w:p>
    <w:p>
      <w:pPr>
        <w:jc w:val="both"/>
        <w:ind w:left="1920" w:hanging="523"/>
        <w:spacing w:after="0" w:line="255" w:lineRule="auto"/>
        <w:tabs>
          <w:tab w:leader="none" w:pos="19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7" w:lineRule="exact"/>
        <w:rPr>
          <w:rFonts w:ascii="Times New Roman" w:cs="Times New Roman" w:eastAsia="Times New Roman" w:hAnsi="Times New Roman"/>
          <w:sz w:val="18"/>
          <w:szCs w:val="18"/>
          <w:color w:val="auto"/>
        </w:rPr>
      </w:pPr>
    </w:p>
    <w:p>
      <w:pPr>
        <w:jc w:val="both"/>
        <w:ind w:left="1920" w:hanging="523"/>
        <w:spacing w:after="0" w:line="259" w:lineRule="auto"/>
        <w:tabs>
          <w:tab w:leader="none" w:pos="19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20"/>
          </w:cols>
          <w:pgMar w:left="320" w:top="451" w:right="5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220" w:type="dxa"/>
        <w:tblCellMar>
          <w:top w:w="0" w:type="dxa"/>
          <w:left w:w="0" w:type="dxa"/>
          <w:bottom w:w="0" w:type="dxa"/>
          <w:right w:w="0" w:type="dxa"/>
        </w:tblCellMar>
      </w:tblPr>
      <w:tr>
        <w:trPr>
          <w:trHeight w:val="233"/>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80" w:type="dxa"/>
            <w:vAlign w:val="bottom"/>
            <w:gridSpan w:val="3"/>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9"/>
        </w:trPr>
        <w:tc>
          <w:tcPr>
            <w:tcW w:w="2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980" w:type="dxa"/>
            <w:vAlign w:val="bottom"/>
            <w:gridSpan w:val="3"/>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00"/>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 and Restated Certificate of Incorporation, as amended (currently in effect)</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Bylaws (currently in effect)</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(to be effective immediately prior to the closing of this offering)</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3.4*</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Amended and Restated Bylaws (to be effective immediately prior to the closing of this offering)</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Specimen stock certificate evidencing the shares of common stock</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7"/>
              </w:rPr>
              <w:t>Amended and Restated Investors’ Rights Agreement, dated July 28, 2023, by and among the Registrant and certain of its stockholders</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Opinion of Latham &amp; Watkins LLP</w:t>
            </w:r>
          </w:p>
        </w:tc>
        <w:tc>
          <w:tcPr>
            <w:tcW w:w="0" w:type="dxa"/>
            <w:vAlign w:val="bottom"/>
          </w:tcPr>
          <w:p>
            <w:pPr>
              <w:spacing w:after="0"/>
              <w:rPr>
                <w:sz w:val="1"/>
                <w:szCs w:val="1"/>
                <w:color w:val="auto"/>
              </w:rPr>
            </w:pPr>
          </w:p>
        </w:tc>
      </w:tr>
      <w:tr>
        <w:trPr>
          <w:trHeight w:val="299"/>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CG Oncology, Inc. 2015 Equity Incentive Plan, as amended, and form of stock grant agreement and form of stock option agreement</w:t>
            </w: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thereunder</w:t>
            </w:r>
          </w:p>
        </w:tc>
        <w:tc>
          <w:tcPr>
            <w:tcW w:w="0" w:type="dxa"/>
            <w:vAlign w:val="bottom"/>
          </w:tcPr>
          <w:p>
            <w:pPr>
              <w:spacing w:after="0"/>
              <w:rPr>
                <w:sz w:val="1"/>
                <w:szCs w:val="1"/>
                <w:color w:val="auto"/>
              </w:rPr>
            </w:pPr>
          </w:p>
        </w:tc>
      </w:tr>
      <w:tr>
        <w:trPr>
          <w:trHeight w:val="299"/>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CG Oncology, Inc. 2022 Incentive Award Plan and form of stock option agreement, form of stock option agreement (early exercise)</w:t>
            </w: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and restricted stock unit agreement thereunder</w:t>
            </w:r>
          </w:p>
        </w:tc>
        <w:tc>
          <w:tcPr>
            <w:tcW w:w="0" w:type="dxa"/>
            <w:vAlign w:val="bottom"/>
          </w:tcPr>
          <w:p>
            <w:pPr>
              <w:spacing w:after="0"/>
              <w:rPr>
                <w:sz w:val="1"/>
                <w:szCs w:val="1"/>
                <w:color w:val="auto"/>
              </w:rPr>
            </w:pPr>
          </w:p>
        </w:tc>
      </w:tr>
      <w:tr>
        <w:trPr>
          <w:trHeight w:val="299"/>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CG Oncology, Inc. 2024 Incentive Award Plan and form of stock option agreement and form of restricted stock unit agreement</w:t>
            </w: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thereunder</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CG Oncology, Inc. 2024 Employee Stock Purchase Plan</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Non-Employee Director Compensation Policy</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Development and License Agreement, dated March 11, 2019, between the Lepu Biotech Co., Ltd. and the Registrant</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License and Collaboration Agreement, dated March 26, 2020, between Kissei Pharmaceutical Co., Ltd. and the Registrant</w:t>
            </w:r>
          </w:p>
        </w:tc>
        <w:tc>
          <w:tcPr>
            <w:tcW w:w="0" w:type="dxa"/>
            <w:vAlign w:val="bottom"/>
          </w:tcPr>
          <w:p>
            <w:pPr>
              <w:spacing w:after="0"/>
              <w:rPr>
                <w:sz w:val="1"/>
                <w:szCs w:val="1"/>
                <w:color w:val="auto"/>
              </w:rPr>
            </w:pPr>
          </w:p>
        </w:tc>
      </w:tr>
      <w:tr>
        <w:trPr>
          <w:trHeight w:val="299"/>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First Amendment to the License and Collaboration Agreement, dated September 15, 2022, between Kissei Pharmaceutical Co., Ltd.</w:t>
            </w: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and the Registrant</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 and Restated Employment Agreement, effective March 15, 2023 between Arthur Kuan and the Registrant</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Employment Agreement, effective July 9, 2023, between Ambaw Bellete and the Registrant</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Employment Agreement, effective August 14, 2023, between Vijay Kasturi and the Registrant</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Indemnification Agreement for Directors and Officers</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Policy for the Recovery of Erroneously Awarded Compensation</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Consent of Latham &amp; Watkins LLP (included in Exhibit 5.1)</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9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7569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55" w:lineRule="exact"/>
        <w:rPr>
          <w:sz w:val="20"/>
          <w:szCs w:val="20"/>
          <w:color w:val="auto"/>
        </w:rPr>
      </w:pPr>
    </w:p>
    <w:p>
      <w:pPr>
        <w:ind w:left="640" w:hanging="422"/>
        <w:spacing w:after="0"/>
        <w:tabs>
          <w:tab w:leader="none" w:pos="6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ind w:left="640" w:hanging="422"/>
        <w:spacing w:after="0" w:line="218"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ind w:left="640" w:hanging="422"/>
        <w:spacing w:after="0" w:line="233" w:lineRule="auto"/>
        <w:tabs>
          <w:tab w:leader="none" w:pos="6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pursuant to Item 601 of Regulation S-K because it is both not material and is the type that the registrant treats as private or confidential.</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20"/>
          </w:cols>
          <w:pgMar w:left="320" w:top="451" w:right="5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Irvine, State of California, on this        day of         , 2023.</w:t>
      </w:r>
    </w:p>
    <w:p>
      <w:pPr>
        <w:spacing w:after="0" w:line="19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CG ONCOLOGY, INC.</w:t>
      </w:r>
    </w:p>
    <w:p>
      <w:pPr>
        <w:spacing w:after="0" w:line="11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14605</wp:posOffset>
            </wp:positionV>
            <wp:extent cx="25323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32380" cy="8255"/>
                    </a:xfrm>
                    <a:prstGeom prst="rect">
                      <a:avLst/>
                    </a:prstGeom>
                    <a:noFill/>
                  </pic:spPr>
                </pic:pic>
              </a:graphicData>
            </a:graphic>
          </wp:anchor>
        </w:drawing>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Arthur Kuan</w:t>
      </w:r>
    </w:p>
    <w:p>
      <w:pPr>
        <w:spacing w:after="0" w:line="24"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19" w:lineRule="exact"/>
        <w:rPr>
          <w:sz w:val="20"/>
          <w:szCs w:val="20"/>
          <w:color w:val="auto"/>
        </w:rPr>
      </w:pPr>
    </w:p>
    <w:p>
      <w:pPr>
        <w:jc w:val="both"/>
        <w:ind w:left="220" w:firstLine="432"/>
        <w:spacing w:after="0" w:line="249" w:lineRule="auto"/>
        <w:rPr>
          <w:sz w:val="20"/>
          <w:szCs w:val="20"/>
          <w:color w:val="auto"/>
        </w:rPr>
      </w:pPr>
      <w:r>
        <w:rPr>
          <w:rFonts w:ascii="Times New Roman" w:cs="Times New Roman" w:eastAsia="Times New Roman" w:hAnsi="Times New Roman"/>
          <w:sz w:val="18"/>
          <w:szCs w:val="18"/>
          <w:color w:val="auto"/>
        </w:rPr>
        <w:t>We, the undersigned officers and directors of CG Oncology, Inc., hereby severally constitute and appoint Arthur Kuan and Stephen DiPalma,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7" w:lineRule="exact"/>
        <w:rPr>
          <w:sz w:val="20"/>
          <w:szCs w:val="20"/>
          <w:color w:val="auto"/>
        </w:rPr>
      </w:pPr>
    </w:p>
    <w:p>
      <w:pPr>
        <w:jc w:val="both"/>
        <w:ind w:left="220" w:right="20" w:firstLine="432"/>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20" w:type="dxa"/>
            <w:vAlign w:val="bottom"/>
          </w:tcPr>
          <w:p>
            <w:pPr>
              <w:spacing w:after="0"/>
              <w:rPr>
                <w:sz w:val="14"/>
                <w:szCs w:val="14"/>
                <w:color w:val="auto"/>
              </w:rPr>
            </w:pPr>
          </w:p>
        </w:tc>
      </w:tr>
      <w:tr>
        <w:trPr>
          <w:trHeight w:val="311"/>
        </w:trPr>
        <w:tc>
          <w:tcPr>
            <w:tcW w:w="1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80" w:type="dxa"/>
            <w:vAlign w:val="bottom"/>
          </w:tcPr>
          <w:p>
            <w:pPr>
              <w:ind w:left="9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5"/>
        </w:trPr>
        <w:tc>
          <w:tcPr>
            <w:tcW w:w="4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Arthur Kuan</w:t>
            </w: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18"/>
        </w:trPr>
        <w:tc>
          <w:tcPr>
            <w:tcW w:w="1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80" w:type="dxa"/>
            <w:vAlign w:val="bottom"/>
          </w:tcPr>
          <w:p>
            <w:pPr>
              <w:ind w:left="9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5"/>
        </w:trPr>
        <w:tc>
          <w:tcPr>
            <w:tcW w:w="4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Stephen DiPalma</w:t>
            </w: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18"/>
        </w:trPr>
        <w:tc>
          <w:tcPr>
            <w:tcW w:w="1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tcPr>
          <w:p>
            <w:pPr>
              <w:ind w:left="9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5"/>
        </w:trPr>
        <w:tc>
          <w:tcPr>
            <w:tcW w:w="4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Brian Liu, M.D.</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18"/>
        </w:trPr>
        <w:tc>
          <w:tcPr>
            <w:tcW w:w="1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tcPr>
          <w:p>
            <w:pPr>
              <w:ind w:left="9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5"/>
        </w:trPr>
        <w:tc>
          <w:tcPr>
            <w:tcW w:w="4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James J. Mulé, IPh.D.</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18"/>
        </w:trPr>
        <w:tc>
          <w:tcPr>
            <w:tcW w:w="1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tcPr>
          <w:p>
            <w:pPr>
              <w:ind w:left="9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5"/>
        </w:trPr>
        <w:tc>
          <w:tcPr>
            <w:tcW w:w="4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Leonard Post, Ph.D.</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18"/>
        </w:trPr>
        <w:tc>
          <w:tcPr>
            <w:tcW w:w="1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tcPr>
          <w:p>
            <w:pPr>
              <w:ind w:left="9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5"/>
        </w:trPr>
        <w:tc>
          <w:tcPr>
            <w:tcW w:w="4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Simone Song</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18"/>
        </w:trPr>
        <w:tc>
          <w:tcPr>
            <w:tcW w:w="1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tcPr>
          <w:p>
            <w:pPr>
              <w:ind w:left="9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5"/>
        </w:trPr>
        <w:tc>
          <w:tcPr>
            <w:tcW w:w="4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Victor Tong, Jr.</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ectPr>
          <w:pgSz w:w="11900" w:h="16838" w:orient="portrait"/>
          <w:cols w:equalWidth="0" w:num="1">
            <w:col w:w="11040"/>
          </w:cols>
          <w:pgMar w:left="320" w:top="451" w:right="5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1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(Pursuant to Sections 242 and 245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Corporation Law of the State of Delaware)</w:t>
      </w:r>
    </w:p>
    <w:p>
      <w:pPr>
        <w:spacing w:after="0" w:line="198" w:lineRule="exact"/>
        <w:rPr>
          <w:sz w:val="20"/>
          <w:szCs w:val="20"/>
          <w:color w:val="auto"/>
        </w:rPr>
      </w:pPr>
    </w:p>
    <w:p>
      <w:pPr>
        <w:ind w:right="400" w:firstLine="432"/>
        <w:spacing w:after="0" w:line="274" w:lineRule="auto"/>
        <w:rPr>
          <w:sz w:val="20"/>
          <w:szCs w:val="20"/>
          <w:color w:val="auto"/>
        </w:rPr>
      </w:pPr>
      <w:r>
        <w:rPr>
          <w:rFonts w:ascii="Times New Roman" w:cs="Times New Roman" w:eastAsia="Times New Roman" w:hAnsi="Times New Roman"/>
          <w:sz w:val="18"/>
          <w:szCs w:val="18"/>
          <w:color w:val="auto"/>
        </w:rPr>
        <w:t>CG Oncology, Inc., a corporation organized and existing under and by virtue of the provisions of the General Corporation Law of the State of Delaware (the “</w:t>
      </w:r>
      <w:r>
        <w:rPr>
          <w:rFonts w:ascii="Times New Roman" w:cs="Times New Roman" w:eastAsia="Times New Roman" w:hAnsi="Times New Roman"/>
          <w:sz w:val="18"/>
          <w:szCs w:val="18"/>
          <w:u w:val="single" w:color="auto"/>
          <w:color w:val="auto"/>
        </w:rPr>
        <w:t>General Corporation Law</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right="44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That the name of this corporation is CG Oncology, Inc. and that this corporation was originally incorporated pursuant to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Law on November 30, 2017 under the name Cold Genesys, Inc.</w:t>
      </w:r>
    </w:p>
    <w:p>
      <w:pPr>
        <w:spacing w:after="0" w:line="160"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That the Board of Directors of this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duly adopted resolutions proposing to amend and restate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Certificate of Incorporation of this corporation be amended and restated in its entirety as follows:</w:t>
      </w:r>
    </w:p>
    <w:p>
      <w:pPr>
        <w:spacing w:after="0" w:line="200" w:lineRule="exact"/>
        <w:rPr>
          <w:sz w:val="20"/>
          <w:szCs w:val="20"/>
          <w:color w:val="auto"/>
        </w:rPr>
      </w:pPr>
    </w:p>
    <w:p>
      <w:pPr>
        <w:spacing w:after="0" w:line="2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name of this corporation is </w:t>
      </w:r>
      <w:r>
        <w:rPr>
          <w:rFonts w:ascii="Times New Roman" w:cs="Times New Roman" w:eastAsia="Times New Roman" w:hAnsi="Times New Roman"/>
          <w:sz w:val="18"/>
          <w:szCs w:val="18"/>
          <w:b w:val="1"/>
          <w:bCs w:val="1"/>
          <w:color w:val="auto"/>
        </w:rPr>
        <w:t>CG Oncology,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19" w:lineRule="exact"/>
        <w:rPr>
          <w:sz w:val="20"/>
          <w:szCs w:val="20"/>
          <w:color w:val="auto"/>
        </w:rPr>
      </w:pPr>
    </w:p>
    <w:p>
      <w:pPr>
        <w:ind w:right="180" w:firstLine="432"/>
        <w:spacing w:after="0" w:line="274" w:lineRule="auto"/>
        <w:rPr>
          <w:sz w:val="20"/>
          <w:szCs w:val="20"/>
          <w:color w:val="auto"/>
        </w:rPr>
      </w:pPr>
      <w:r>
        <w:rPr>
          <w:rFonts w:ascii="Times New Roman" w:cs="Times New Roman" w:eastAsia="Times New Roman" w:hAnsi="Times New Roman"/>
          <w:sz w:val="18"/>
          <w:szCs w:val="18"/>
          <w:color w:val="auto"/>
        </w:rPr>
        <w:t>The address of the registered office of this Corporation in the State of Delaware is 3500 South DuPont Highway, in the City of Dover, County of Kent, 19901. The name of its registered agent at such address is Incorporating Services, Ltd.</w:t>
      </w: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19" w:lineRule="exact"/>
        <w:rPr>
          <w:sz w:val="20"/>
          <w:szCs w:val="20"/>
          <w:color w:val="auto"/>
        </w:rPr>
      </w:pPr>
    </w:p>
    <w:p>
      <w:pPr>
        <w:ind w:right="500" w:firstLine="432"/>
        <w:spacing w:after="0" w:line="274"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General Corporation Law.</w:t>
      </w:r>
    </w:p>
    <w:p>
      <w:pPr>
        <w:sectPr>
          <w:pgSz w:w="11900" w:h="16838" w:orient="portrait"/>
          <w:cols w:equalWidth="0" w:num="1">
            <w:col w:w="10820"/>
          </w:cols>
          <w:pgMar w:left="540" w:top="119" w:right="539" w:bottom="1440" w:gutter="0" w:footer="0" w:header="0"/>
        </w:sectPr>
      </w:pPr>
    </w:p>
    <w:bookmarkStart w:id="228" w:name="page229"/>
    <w:bookmarkEnd w:id="2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ARTICLE IV.</w:t>
      </w:r>
    </w:p>
    <w:p>
      <w:pPr>
        <w:spacing w:after="0" w:line="219"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Classes of Stock</w:t>
      </w:r>
      <w:r>
        <w:rPr>
          <w:rFonts w:ascii="Times New Roman" w:cs="Times New Roman" w:eastAsia="Times New Roman" w:hAnsi="Times New Roman"/>
          <w:sz w:val="17"/>
          <w:szCs w:val="17"/>
          <w:color w:val="auto"/>
        </w:rPr>
        <w:t>. This Corporation is authorized to issue two classes of stock to be designated, respectively, Common Stock and Preferred Stock. The total number of shares which this Corporation is authorized to issue is 831,458,674 shares. 493,530,000 shares shall be Common Stock, par value $0.0001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 337,928,674 shares shall be Preferred Stock, par value $0.0001 per share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Of the Preferred Stock, 81,587,937 shares shall be designated Series F Preferred Stock (the “</w:t>
      </w:r>
      <w:r>
        <w:rPr>
          <w:rFonts w:ascii="Times New Roman" w:cs="Times New Roman" w:eastAsia="Times New Roman" w:hAnsi="Times New Roman"/>
          <w:sz w:val="17"/>
          <w:szCs w:val="17"/>
          <w:u w:val="single" w:color="auto"/>
          <w:color w:val="auto"/>
        </w:rPr>
        <w:t>Series F Preferred Stock</w:t>
      </w:r>
      <w:r>
        <w:rPr>
          <w:rFonts w:ascii="Times New Roman" w:cs="Times New Roman" w:eastAsia="Times New Roman" w:hAnsi="Times New Roman"/>
          <w:sz w:val="17"/>
          <w:szCs w:val="17"/>
          <w:color w:val="auto"/>
        </w:rPr>
        <w:t>”), 112,422,700 shares shall be designated Series E Preferred Stock (the “</w:t>
      </w:r>
      <w:r>
        <w:rPr>
          <w:rFonts w:ascii="Times New Roman" w:cs="Times New Roman" w:eastAsia="Times New Roman" w:hAnsi="Times New Roman"/>
          <w:sz w:val="17"/>
          <w:szCs w:val="17"/>
          <w:u w:val="single" w:color="auto"/>
          <w:color w:val="auto"/>
        </w:rPr>
        <w:t>Series E Preferred Stock</w:t>
      </w:r>
      <w:r>
        <w:rPr>
          <w:rFonts w:ascii="Times New Roman" w:cs="Times New Roman" w:eastAsia="Times New Roman" w:hAnsi="Times New Roman"/>
          <w:sz w:val="17"/>
          <w:szCs w:val="17"/>
          <w:color w:val="auto"/>
        </w:rPr>
        <w:t>”), 53,271,754 shares shall be designated Series D Preferred Stock (the “</w:t>
      </w:r>
      <w:r>
        <w:rPr>
          <w:rFonts w:ascii="Times New Roman" w:cs="Times New Roman" w:eastAsia="Times New Roman" w:hAnsi="Times New Roman"/>
          <w:sz w:val="17"/>
          <w:szCs w:val="17"/>
          <w:u w:val="single" w:color="auto"/>
          <w:color w:val="auto"/>
        </w:rPr>
        <w:t>Series 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73,598,283 shares shall be designated Series C Preferred Stock (the “</w:t>
      </w:r>
      <w:r>
        <w:rPr>
          <w:rFonts w:ascii="Times New Roman" w:cs="Times New Roman" w:eastAsia="Times New Roman" w:hAnsi="Times New Roman"/>
          <w:sz w:val="17"/>
          <w:szCs w:val="17"/>
          <w:u w:val="single" w:color="auto"/>
          <w:color w:val="auto"/>
        </w:rPr>
        <w:t>Series C Preferred Stock</w:t>
      </w:r>
      <w:r>
        <w:rPr>
          <w:rFonts w:ascii="Times New Roman" w:cs="Times New Roman" w:eastAsia="Times New Roman" w:hAnsi="Times New Roman"/>
          <w:sz w:val="17"/>
          <w:szCs w:val="17"/>
          <w:color w:val="auto"/>
        </w:rPr>
        <w:t>”), 11,973,000 shares shall be designated Series B Preferred Stock (the “</w:t>
      </w:r>
      <w:r>
        <w:rPr>
          <w:rFonts w:ascii="Times New Roman" w:cs="Times New Roman" w:eastAsia="Times New Roman" w:hAnsi="Times New Roman"/>
          <w:sz w:val="17"/>
          <w:szCs w:val="17"/>
          <w:u w:val="single" w:color="auto"/>
          <w:color w:val="auto"/>
        </w:rPr>
        <w:t>Series B Preferred Stock</w:t>
      </w:r>
      <w:r>
        <w:rPr>
          <w:rFonts w:ascii="Times New Roman" w:cs="Times New Roman" w:eastAsia="Times New Roman" w:hAnsi="Times New Roman"/>
          <w:sz w:val="17"/>
          <w:szCs w:val="17"/>
          <w:color w:val="auto"/>
        </w:rPr>
        <w:t>”) and 5,075,000 shares shall be designated Series A-1 Preferred Stock (the “</w:t>
      </w:r>
      <w:r>
        <w:rPr>
          <w:rFonts w:ascii="Times New Roman" w:cs="Times New Roman" w:eastAsia="Times New Roman" w:hAnsi="Times New Roman"/>
          <w:sz w:val="17"/>
          <w:szCs w:val="17"/>
          <w:u w:val="single" w:color="auto"/>
          <w:color w:val="auto"/>
        </w:rPr>
        <w:t>Series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A-1 Preferred Stock</w:t>
      </w:r>
      <w:r>
        <w:rPr>
          <w:rFonts w:ascii="Times New Roman" w:cs="Times New Roman" w:eastAsia="Times New Roman" w:hAnsi="Times New Roman"/>
          <w:sz w:val="17"/>
          <w:szCs w:val="17"/>
          <w:color w:val="auto"/>
        </w:rPr>
        <w:t>”). The Series A-1 Preferred Stock, the Series B Preferred Stock, the Series C Preferred Stock, the Series D Preferred Stock, the Series E Preferred Stock and the Series F Preferred Stock shall be collectively referred to herein as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right="420" w:firstLine="432"/>
        <w:spacing w:after="0" w:line="27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Rights, Preferences and Restrictions of Preferred Stock</w:t>
      </w:r>
      <w:r>
        <w:rPr>
          <w:rFonts w:ascii="Times New Roman" w:cs="Times New Roman" w:eastAsia="Times New Roman" w:hAnsi="Times New Roman"/>
          <w:sz w:val="18"/>
          <w:szCs w:val="18"/>
          <w:color w:val="auto"/>
        </w:rPr>
        <w:t>. The rights, preferences, privileges, and restrictions granted to and imposed on the Preferred Stock are as set forth below in this Article IV.B.</w:t>
      </w:r>
    </w:p>
    <w:p>
      <w:pPr>
        <w:spacing w:after="0" w:line="163" w:lineRule="exact"/>
        <w:rPr>
          <w:sz w:val="20"/>
          <w:szCs w:val="20"/>
          <w:color w:val="auto"/>
        </w:rPr>
      </w:pPr>
    </w:p>
    <w:p>
      <w:pPr>
        <w:ind w:left="1140" w:hanging="169"/>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Provisions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firstLine="1404"/>
        <w:spacing w:after="0" w:line="255" w:lineRule="auto"/>
        <w:tabs>
          <w:tab w:leader="none" w:pos="164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Series F Preferred Stock shall be entitled to receive, prior and in preference to any other class or series of capital stock of this corporation, cumulative cash dividends, when, as and if declared by the Board of Directors, out of any funds that are legally available therefor, at the rate of eight percent (8%) of the Series F Initial Purchase Price (as defined below) per annum on each outstanding share of Series F Preferred Stock (as adjusted for any stock dividends, combinations, splits, recapitalizations and the like with respect to such shares).</w:t>
      </w:r>
    </w:p>
    <w:p>
      <w:pPr>
        <w:spacing w:after="0" w:line="180" w:lineRule="exact"/>
        <w:rPr>
          <w:rFonts w:ascii="Times New Roman" w:cs="Times New Roman" w:eastAsia="Times New Roman" w:hAnsi="Times New Roman"/>
          <w:sz w:val="18"/>
          <w:szCs w:val="18"/>
          <w:color w:val="auto"/>
        </w:rPr>
      </w:pPr>
    </w:p>
    <w:p>
      <w:pPr>
        <w:ind w:right="60" w:firstLine="1404"/>
        <w:spacing w:after="0" w:line="252" w:lineRule="auto"/>
        <w:tabs>
          <w:tab w:leader="none" w:pos="16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issuance and distribution of dividends pursuant to subsection 1(a) above, holders of Series E Preferred Stock shall be entitled to receive, prior and in preference to any other class or series of capital stock of this corporation, cumulative cash dividends, when, as and if declared by the Board of Directors, out of any funds that are legally available therefor, at the rate of eight percent (8%) of the Series E Initial Purchase Price (as defined below) per annum on each outstanding share of Series E Preferred Stock (as adjusted for any stock dividends, combinations, splits, recapitalizations and the like with respect to such shares).</w:t>
      </w:r>
    </w:p>
    <w:p>
      <w:pPr>
        <w:spacing w:after="0" w:line="185" w:lineRule="exact"/>
        <w:rPr>
          <w:rFonts w:ascii="Times New Roman" w:cs="Times New Roman" w:eastAsia="Times New Roman" w:hAnsi="Times New Roman"/>
          <w:sz w:val="18"/>
          <w:szCs w:val="18"/>
          <w:color w:val="auto"/>
        </w:rPr>
      </w:pPr>
    </w:p>
    <w:p>
      <w:pPr>
        <w:ind w:right="80" w:firstLine="1404"/>
        <w:spacing w:after="0" w:line="249" w:lineRule="auto"/>
        <w:tabs>
          <w:tab w:leader="none" w:pos="164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issuance and distribution of dividends pursuant to subsections 1(a) and 1(b) above, holders of Series D Preferred Stock and Series C Preferred Stock (together, the “</w:t>
      </w:r>
      <w:r>
        <w:rPr>
          <w:rFonts w:ascii="Times New Roman" w:cs="Times New Roman" w:eastAsia="Times New Roman" w:hAnsi="Times New Roman"/>
          <w:sz w:val="18"/>
          <w:szCs w:val="18"/>
          <w:u w:val="single" w:color="auto"/>
          <w:color w:val="auto"/>
        </w:rPr>
        <w:t>Senior Preferred Stock</w:t>
      </w:r>
      <w:r>
        <w:rPr>
          <w:rFonts w:ascii="Times New Roman" w:cs="Times New Roman" w:eastAsia="Times New Roman" w:hAnsi="Times New Roman"/>
          <w:sz w:val="18"/>
          <w:szCs w:val="18"/>
          <w:color w:val="auto"/>
        </w:rPr>
        <w:t>”) shall be entitled to receive, on a pari passu basis and prior and in preference to the holders of Series B Preferred Stock, Series A-1 Preferred Stock and Common Stock, cumulative cash dividends, when, as and if declared by the Board of Directors, out of any funds that are legally available therefor, at the rate of (i) with respect to the Series D Preferred Stock, eight percent (8%) of the Series D Initial Purchase Price (as defined below) per annum on each outstanding share of Series D Preferred Stock (as adjusted for any stock dividends, combinations, splits, recapitalizations and the like with respect to such shares) and (ii) with respect to the Series C Preferred Stock, eight percent (8%) of the Series C Initial Purchase Price (as defined below) per annum on each outstanding share of Series C Preferred Stock (as adjusted for any stock dividends, combinations, splits, recapitalizations and the like with respect to such shares).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0"/>
          </w:cols>
          <w:pgMar w:left="540" w:top="265" w:right="559" w:bottom="1440" w:gutter="0" w:footer="0" w:header="0"/>
        </w:sectPr>
      </w:pPr>
    </w:p>
    <w:bookmarkStart w:id="229" w:name="page230"/>
    <w:bookmarkEnd w:id="229"/>
    <w:p>
      <w:pPr>
        <w:ind w:right="120" w:firstLine="1404"/>
        <w:spacing w:after="0" w:line="249" w:lineRule="auto"/>
        <w:tabs>
          <w:tab w:leader="none" w:pos="165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Following the issuance and distribution of dividends pursuant to subsections 1(a), 1(b) and 1(c) above, holders of Series B Preferred Stock and Series A-1 Preferred Stock shall be entitled to receive, on a pari passu basis and prior and in preference to the holders of Common Stock, noncumulative cash dividends, when, as and if declared by the Board of Directors, out of any funds that are legally available therefor, at the rate of (i) with respect to the Series B Preferred Stock, eight percent (8%) of the Series B Initial Purchase Price (as defined below) per annum on each outstanding share of Series B Preferred Stock (as adjusted for any stock dividends, combinations, splits, recapitalizations and the like with respect to such shares) and (ii) with respect to the Series A-1 Preferred Stock, eight percent (8%) of the Series A-1 Initial Purchase Price (as defined below) per annum on each outstanding share of Series A-1 Preferred Stock (as adjusted for any stock dividends, combinations, splits, recapitalizations and the like with respect to such shares).</w:t>
      </w:r>
    </w:p>
    <w:p>
      <w:pPr>
        <w:spacing w:after="0" w:line="190" w:lineRule="exact"/>
        <w:rPr>
          <w:sz w:val="20"/>
          <w:szCs w:val="20"/>
          <w:color w:val="auto"/>
        </w:rPr>
      </w:pPr>
    </w:p>
    <w:p>
      <w:pPr>
        <w:ind w:firstLine="1406"/>
        <w:spacing w:after="0" w:line="264" w:lineRule="auto"/>
        <w:rPr>
          <w:sz w:val="20"/>
          <w:szCs w:val="20"/>
          <w:color w:val="auto"/>
        </w:rPr>
      </w:pPr>
      <w:r>
        <w:rPr>
          <w:rFonts w:ascii="Times New Roman" w:cs="Times New Roman" w:eastAsia="Times New Roman" w:hAnsi="Times New Roman"/>
          <w:sz w:val="17"/>
          <w:szCs w:val="17"/>
          <w:color w:val="auto"/>
        </w:rPr>
        <w:t>As used herein, the “</w:t>
      </w:r>
      <w:r>
        <w:rPr>
          <w:rFonts w:ascii="Times New Roman" w:cs="Times New Roman" w:eastAsia="Times New Roman" w:hAnsi="Times New Roman"/>
          <w:sz w:val="17"/>
          <w:szCs w:val="17"/>
          <w:u w:val="single" w:color="auto"/>
          <w:color w:val="auto"/>
        </w:rPr>
        <w:t>Series F Initial Purchase Price</w:t>
      </w:r>
      <w:r>
        <w:rPr>
          <w:rFonts w:ascii="Times New Roman" w:cs="Times New Roman" w:eastAsia="Times New Roman" w:hAnsi="Times New Roman"/>
          <w:sz w:val="17"/>
          <w:szCs w:val="17"/>
          <w:color w:val="auto"/>
        </w:rPr>
        <w:t>” shall be $1.2872 per share of Series F Preferred Stock (as adjusted for any stock dividends, combinations, splits, recapitalizations and the like, as described herein). As used herein, the “</w:t>
      </w:r>
      <w:r>
        <w:rPr>
          <w:rFonts w:ascii="Times New Roman" w:cs="Times New Roman" w:eastAsia="Times New Roman" w:hAnsi="Times New Roman"/>
          <w:sz w:val="17"/>
          <w:szCs w:val="17"/>
          <w:u w:val="single" w:color="auto"/>
          <w:color w:val="auto"/>
        </w:rPr>
        <w:t>Series E Initial Purchase Price</w:t>
      </w:r>
      <w:r>
        <w:rPr>
          <w:rFonts w:ascii="Times New Roman" w:cs="Times New Roman" w:eastAsia="Times New Roman" w:hAnsi="Times New Roman"/>
          <w:sz w:val="17"/>
          <w:szCs w:val="17"/>
          <w:color w:val="auto"/>
        </w:rPr>
        <w:t>” shall be $1.0674 per share of Series E Preferred Stock (as adjusted for any stock dividends, combinations, splits, recapitalizations and the like, as described herein). As used herein, the “</w:t>
      </w:r>
      <w:r>
        <w:rPr>
          <w:rFonts w:ascii="Times New Roman" w:cs="Times New Roman" w:eastAsia="Times New Roman" w:hAnsi="Times New Roman"/>
          <w:sz w:val="17"/>
          <w:szCs w:val="17"/>
          <w:u w:val="single" w:color="auto"/>
          <w:color w:val="auto"/>
        </w:rPr>
        <w:t>Series D Initial Purchase Price</w:t>
      </w:r>
      <w:r>
        <w:rPr>
          <w:rFonts w:ascii="Times New Roman" w:cs="Times New Roman" w:eastAsia="Times New Roman" w:hAnsi="Times New Roman"/>
          <w:sz w:val="17"/>
          <w:szCs w:val="17"/>
          <w:color w:val="auto"/>
        </w:rPr>
        <w:t>” shall be $0.8879 per share of Series D Preferred Stock (as adjusted for any stock dividends, combinations, splits, recapitalizations and the like, as described herein). As used herein, the “</w:t>
      </w:r>
      <w:r>
        <w:rPr>
          <w:rFonts w:ascii="Times New Roman" w:cs="Times New Roman" w:eastAsia="Times New Roman" w:hAnsi="Times New Roman"/>
          <w:sz w:val="17"/>
          <w:szCs w:val="17"/>
          <w:u w:val="single" w:color="auto"/>
          <w:color w:val="auto"/>
        </w:rPr>
        <w:t>Series C Initial Purchase Price</w:t>
      </w:r>
      <w:r>
        <w:rPr>
          <w:rFonts w:ascii="Times New Roman" w:cs="Times New Roman" w:eastAsia="Times New Roman" w:hAnsi="Times New Roman"/>
          <w:sz w:val="17"/>
          <w:szCs w:val="17"/>
          <w:color w:val="auto"/>
        </w:rPr>
        <w:t>” shall be $0.29892 per share of Series C Preferred Stock (as adjusted for any stock dividends, combinations, splits, recapitalizations and the like, as described herein). As used herein, the “</w:t>
      </w:r>
      <w:r>
        <w:rPr>
          <w:rFonts w:ascii="Times New Roman" w:cs="Times New Roman" w:eastAsia="Times New Roman" w:hAnsi="Times New Roman"/>
          <w:sz w:val="17"/>
          <w:szCs w:val="17"/>
          <w:u w:val="single" w:color="auto"/>
          <w:color w:val="auto"/>
        </w:rPr>
        <w:t>Series B Initial Purchase Price</w:t>
      </w:r>
      <w:r>
        <w:rPr>
          <w:rFonts w:ascii="Times New Roman" w:cs="Times New Roman" w:eastAsia="Times New Roman" w:hAnsi="Times New Roman"/>
          <w:sz w:val="17"/>
          <w:szCs w:val="17"/>
          <w:color w:val="auto"/>
        </w:rPr>
        <w:t>” shall be $0.83523 per share of Series B Preferred Stock (as adjusted for any stock dividends, combinations, splits, recapitalizations and the like, as described herein). As used herein, the “</w:t>
      </w:r>
      <w:r>
        <w:rPr>
          <w:rFonts w:ascii="Times New Roman" w:cs="Times New Roman" w:eastAsia="Times New Roman" w:hAnsi="Times New Roman"/>
          <w:sz w:val="17"/>
          <w:szCs w:val="17"/>
          <w:u w:val="single" w:color="auto"/>
          <w:color w:val="auto"/>
        </w:rPr>
        <w:t>Series A-1 Initial Purchase Price</w:t>
      </w:r>
      <w:r>
        <w:rPr>
          <w:rFonts w:ascii="Times New Roman" w:cs="Times New Roman" w:eastAsia="Times New Roman" w:hAnsi="Times New Roman"/>
          <w:sz w:val="17"/>
          <w:szCs w:val="17"/>
          <w:color w:val="auto"/>
        </w:rPr>
        <w:t>” shall be $0.70339 per share of Series A-1 Preferred Stock (as adjusted for any stock dividends, combinations, splits, recapitalizations and the like, as described herein). For the avoidance of doubt, “fully-diluted, as-converted and as-exercised basis” means all issued and outstanding Common Stock, all outstanding options under employee stock option plans or similar plans, all shares of outstanding Preferred Stock or convertible securities or instruments on an as-converted basis, and all outstanding warrants, options or similar rights to purchase the capital stock of the Corporation on an as-exercised basis.</w:t>
      </w:r>
    </w:p>
    <w:p>
      <w:pPr>
        <w:spacing w:after="0" w:line="176" w:lineRule="exact"/>
        <w:rPr>
          <w:sz w:val="20"/>
          <w:szCs w:val="20"/>
          <w:color w:val="auto"/>
        </w:rPr>
      </w:pPr>
    </w:p>
    <w:p>
      <w:pPr>
        <w:ind w:firstLine="1404"/>
        <w:spacing w:after="0" w:line="251" w:lineRule="auto"/>
        <w:tabs>
          <w:tab w:leader="none" w:pos="16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distributions shall be made with respect to the Common Stock unless dividends on the Preferred Stock have been declared in accordance with the preferences stated herein and all declared dividends on the Preferred Stock have been paid or set aside for payment to the Preferred Stock holders. The right to receive dividends on shares of Series B Preferred Stock and Series A-1 Preferred Stock shall not be cumulative, and no right to dividends shall accrue to holders of Series B Preferred Stock and Series A-1 Preferred Stock by reason of the fact that dividends on said shares are not declared or paid. Payment of any dividends to the holders of Series B Preferred Stock and Series A-1 Preferred Stock shall be on a pro rata, pari passu basis in proportion to the dividend rate for the Series B Preferred Stock and Series A-1 Preferred Stock, as applicable.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540" w:top="267" w:right="559" w:bottom="1440" w:gutter="0" w:footer="0" w:header="0"/>
        </w:sectPr>
      </w:pPr>
    </w:p>
    <w:bookmarkStart w:id="230" w:name="page231"/>
    <w:bookmarkEnd w:id="230"/>
    <w:p>
      <w:pPr>
        <w:ind w:left="-20" w:right="20" w:firstLine="1404"/>
        <w:spacing w:after="0" w:line="255" w:lineRule="auto"/>
        <w:tabs>
          <w:tab w:leader="none" w:pos="160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After payment of the full amount of any dividends pursuant to Articles IV.B.1(a), IV.B.1(b), IV.B.1(c) and IV.B.1(d), any additional dividends shall be distributed among all holders of Common Stock and all holders of Preferred Stock in proportion to the number of shares of Common Stock which would be held by each such holder if all such shares of Preferred Stock were converted to Common Stock at the then-effective applicable conversion rate.</w:t>
      </w:r>
    </w:p>
    <w:p>
      <w:pPr>
        <w:spacing w:after="0" w:line="180" w:lineRule="exact"/>
        <w:rPr>
          <w:rFonts w:ascii="Times New Roman" w:cs="Times New Roman" w:eastAsia="Times New Roman" w:hAnsi="Times New Roman"/>
          <w:sz w:val="18"/>
          <w:szCs w:val="18"/>
          <w:color w:val="auto"/>
        </w:rPr>
      </w:pPr>
    </w:p>
    <w:p>
      <w:pPr>
        <w:ind w:left="-20" w:firstLine="1404"/>
        <w:spacing w:after="0" w:line="249" w:lineRule="auto"/>
        <w:tabs>
          <w:tab w:leader="none" w:pos="163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can be made without regard to any preferential rights amount or preferential dividends arrears amount with respect to distributions made by this Corporation in connection with (i) repurchases of Common Stock issued to or held by employees, officers, directors or consultants of the Corporation or its subsidiaries upon termination of their employment or services pursuant to agreements providing for the right of said repurchase, (ii) repurchases of Common Stock issued to or held by employees, officers, directors or consultants of the Corporation or its subsidiaries pursuant to rights of first refusal contained in agreements providing for such right, (iii) repurchases of Common Stock or Preferred Stock in connection with the settlement of disputes with any stockholder, or (iv) any other repurchase or redemption of Common Stock or Preferred Stock that are approved by the holders of at least 75% of the then outstanding shares of Preferred Stock (voting together as a single class and not as separate series, and on an as-converted to Common Stock basis) (the “</w:t>
      </w:r>
      <w:r>
        <w:rPr>
          <w:rFonts w:ascii="Times New Roman" w:cs="Times New Roman" w:eastAsia="Times New Roman" w:hAnsi="Times New Roman"/>
          <w:sz w:val="18"/>
          <w:szCs w:val="18"/>
          <w:u w:val="single" w:color="auto"/>
          <w:color w:val="auto"/>
        </w:rPr>
        <w:t>Requisite Holders</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1120" w:hanging="169"/>
        <w:spacing w:after="0"/>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left="-20" w:right="320" w:firstLine="1404"/>
        <w:spacing w:after="0" w:line="274" w:lineRule="auto"/>
        <w:tabs>
          <w:tab w:leader="none" w:pos="162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 up of this Corporation, whether voluntary or involuntary, and subject to Article IV.B.2(f), before any distribution or payment shall be made to the holders of Common Stock:</w:t>
      </w:r>
    </w:p>
    <w:p>
      <w:pPr>
        <w:spacing w:after="0" w:line="57" w:lineRule="exact"/>
        <w:rPr>
          <w:rFonts w:ascii="Times New Roman" w:cs="Times New Roman" w:eastAsia="Times New Roman" w:hAnsi="Times New Roman"/>
          <w:sz w:val="18"/>
          <w:szCs w:val="18"/>
          <w:color w:val="auto"/>
        </w:rPr>
      </w:pPr>
    </w:p>
    <w:p>
      <w:pPr>
        <w:ind w:left="-20" w:right="80" w:firstLine="1944"/>
        <w:spacing w:after="0" w:line="252" w:lineRule="auto"/>
        <w:tabs>
          <w:tab w:leader="none" w:pos="2137"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Series F Preferred Stock shall be entitled to be paid out of the assets of this Corporation, prior and in preference to any distribution of the proceeds of such liquidation, dissolution or winding up to the holders of Series E Preferred Stock, Senior Preferred Stock, Series B Preferred Stock, Series A-1 Preferred Stock or Common Stock by reason of their ownership thereof, an amount per share of Series F Preferred Stock equal to the Series F Initial Purchase Price, plus all declared but unpaid dividends on the Series F Preferred Stock, for each share of Series F Preferred Stock then held (the “</w:t>
      </w:r>
      <w:r>
        <w:rPr>
          <w:rFonts w:ascii="Times New Roman" w:cs="Times New Roman" w:eastAsia="Times New Roman" w:hAnsi="Times New Roman"/>
          <w:sz w:val="18"/>
          <w:szCs w:val="18"/>
          <w:u w:val="single" w:color="auto"/>
          <w:color w:val="auto"/>
        </w:rPr>
        <w:t>Series F Preference</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20" w:right="40" w:firstLine="1944"/>
        <w:spacing w:after="0" w:line="252" w:lineRule="auto"/>
        <w:tabs>
          <w:tab w:leader="none" w:pos="2186"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pursuant to Article IV.B.2(a)(i) above, the holders of Series E Preferred Stock shall be entitled to be paid out of the assets of this Corporation, prior and in preference to any distribution of the proceeds of such liquidation, dissolution or winding up to the holders of Senior Preferred Stock, Series B Preferred Stock, Series A-1 Preferred Stock or Common Stock by reason of their ownership thereof, an amount per share of Series E Preferred Stock equal to the Series E Initial Purchase Price, plus all declared but unpaid dividends on the Series E Preferred Stock, for each share of Series E Preferred Stock then held (the “</w:t>
      </w:r>
      <w:r>
        <w:rPr>
          <w:rFonts w:ascii="Times New Roman" w:cs="Times New Roman" w:eastAsia="Times New Roman" w:hAnsi="Times New Roman"/>
          <w:sz w:val="18"/>
          <w:szCs w:val="18"/>
          <w:u w:val="single" w:color="auto"/>
          <w:color w:val="auto"/>
        </w:rPr>
        <w:t>Series E Preference</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20" w:right="40" w:firstLine="1944"/>
        <w:spacing w:after="0" w:line="259" w:lineRule="auto"/>
        <w:tabs>
          <w:tab w:leader="none" w:pos="2235"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distributions pursuant to Articles IV.B.2(a)(i) and Article IV.B.2(a)(ii) above, the holders of each series of Senior Preferred Stock shall be entitled to be paid out of the assets of this Corporation, on a pari passu basis and prior and in preference to any distribution of the proceeds of such liquidation, dissolution or winding up to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60"/>
          </w:cols>
          <w:pgMar w:left="560" w:top="267" w:right="579" w:bottom="1440" w:gutter="0" w:footer="0" w:header="0"/>
        </w:sectPr>
      </w:pPr>
    </w:p>
    <w:bookmarkStart w:id="231" w:name="page232"/>
    <w:bookmarkEnd w:id="231"/>
    <w:p>
      <w:pPr>
        <w:ind w:left="2"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holders of Series B Preferred Stock, Series A-1 Preferred Stock or Common Stock by reason of their ownership thereof, (i) with respect to the Series D Preferred Stock, an amount per share of Series D Preferred Stock equal to the Series D Initial Purchase Price, plus all declared but unpaid dividends on the Series D Preferred Stock, for each share of Series D Preferred Stock then held (the “</w:t>
      </w:r>
      <w:r>
        <w:rPr>
          <w:rFonts w:ascii="Times New Roman" w:cs="Times New Roman" w:eastAsia="Times New Roman" w:hAnsi="Times New Roman"/>
          <w:sz w:val="18"/>
          <w:szCs w:val="18"/>
          <w:u w:val="single" w:color="auto"/>
          <w:color w:val="auto"/>
        </w:rPr>
        <w:t>Series D Preference</w:t>
      </w:r>
      <w:r>
        <w:rPr>
          <w:rFonts w:ascii="Times New Roman" w:cs="Times New Roman" w:eastAsia="Times New Roman" w:hAnsi="Times New Roman"/>
          <w:sz w:val="18"/>
          <w:szCs w:val="18"/>
          <w:color w:val="auto"/>
        </w:rPr>
        <w:t>”) and (ii) with respect to the Series C Preferred Stock, an amount per share of Series C Preferred Stock equal to the Series C Initial Purchase Price, plus all declared but unpaid dividends on the Series C Preferred Stock, for each share of Series C Preferred Stock then held (the “</w:t>
      </w:r>
      <w:r>
        <w:rPr>
          <w:rFonts w:ascii="Times New Roman" w:cs="Times New Roman" w:eastAsia="Times New Roman" w:hAnsi="Times New Roman"/>
          <w:sz w:val="18"/>
          <w:szCs w:val="18"/>
          <w:u w:val="single" w:color="auto"/>
          <w:color w:val="auto"/>
        </w:rPr>
        <w:t>Series C Preference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 w:right="40" w:firstLine="1944"/>
        <w:spacing w:after="0" w:line="272" w:lineRule="auto"/>
        <w:tabs>
          <w:tab w:leader="none" w:pos="2247" w:val="left"/>
        </w:tabs>
        <w:numPr>
          <w:ilvl w:val="2"/>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distributions pursuant to Article IV.B.2(a)(i),Article IV.B.2(a)(ii) and Article IV.B.2(a)(iii) above, the holders of Series B Preferred Stock and Series A-1 Preferred Stock shall be entitled to be paid out of the assets of this Corporation, on a pari passu basis</w:t>
      </w:r>
    </w:p>
    <w:p>
      <w:pPr>
        <w:jc w:val="both"/>
        <w:ind w:left="2" w:right="320" w:hanging="2"/>
        <w:spacing w:after="0" w:line="260" w:lineRule="auto"/>
        <w:tabs>
          <w:tab w:leader="none" w:pos="213"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Series B Preferred Stock, an amount per share of Series B Preferred Stock equal to the Series B Initial Purchase Price, plus all declared but unpaid dividends on the Series B Preferred Stock, for each share of Series B Preferred Stock then held (the “</w:t>
      </w:r>
      <w:r>
        <w:rPr>
          <w:rFonts w:ascii="Times New Roman" w:cs="Times New Roman" w:eastAsia="Times New Roman" w:hAnsi="Times New Roman"/>
          <w:sz w:val="17"/>
          <w:szCs w:val="17"/>
          <w:u w:val="single" w:color="auto"/>
          <w:color w:val="auto"/>
        </w:rPr>
        <w:t>Series B Preference</w:t>
      </w:r>
      <w:r>
        <w:rPr>
          <w:rFonts w:ascii="Times New Roman" w:cs="Times New Roman" w:eastAsia="Times New Roman" w:hAnsi="Times New Roman"/>
          <w:sz w:val="17"/>
          <w:szCs w:val="17"/>
          <w:color w:val="auto"/>
        </w:rPr>
        <w:t>”); and</w:t>
      </w:r>
    </w:p>
    <w:p>
      <w:pPr>
        <w:ind w:left="2" w:right="40" w:hanging="2"/>
        <w:spacing w:after="0" w:line="248" w:lineRule="auto"/>
        <w:tabs>
          <w:tab w:leader="none" w:pos="26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Series A-1 Preferred Stock, an amount per share of Series A-1 Preferred Stock equal to the Series A-1 Initial Purchase Price, plus all declared but unpaid dividends on the Series A-1 Preferred Stock, for each share of Series A-1 Preferred Stock then held by them (the “</w:t>
      </w:r>
      <w:r>
        <w:rPr>
          <w:rFonts w:ascii="Times New Roman" w:cs="Times New Roman" w:eastAsia="Times New Roman" w:hAnsi="Times New Roman"/>
          <w:sz w:val="18"/>
          <w:szCs w:val="18"/>
          <w:u w:val="single" w:color="auto"/>
          <w:color w:val="auto"/>
        </w:rPr>
        <w:t>Series A-1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Preference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2" w:firstLine="1944"/>
        <w:spacing w:after="0" w:line="265" w:lineRule="auto"/>
        <w:tabs>
          <w:tab w:leader="none" w:pos="2198" w:val="left"/>
        </w:tabs>
        <w:numPr>
          <w:ilvl w:val="2"/>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A-1 Preference, Series B Preference, Series C Preference, Series D Preference, Series E Preference and Series F Preference are hereinafter collectively referred to as the “</w:t>
      </w:r>
      <w:r>
        <w:rPr>
          <w:rFonts w:ascii="Times New Roman" w:cs="Times New Roman" w:eastAsia="Times New Roman" w:hAnsi="Times New Roman"/>
          <w:sz w:val="17"/>
          <w:szCs w:val="17"/>
          <w:u w:val="single" w:color="auto"/>
          <w:color w:val="auto"/>
        </w:rPr>
        <w:t>Liquidation Preferences</w:t>
      </w:r>
      <w:r>
        <w:rPr>
          <w:rFonts w:ascii="Times New Roman" w:cs="Times New Roman" w:eastAsia="Times New Roman" w:hAnsi="Times New Roman"/>
          <w:sz w:val="17"/>
          <w:szCs w:val="17"/>
          <w:color w:val="auto"/>
        </w:rPr>
        <w:t>.” Notwithstanding the foregoing provisions in Article IV.B.2(a)(i), Article IV.B.2(a)(ii), Article IV.B.2(a)(iii) and Article IV.B.2(a)(iv) above, if, upon any such liquidation, dissolution or winding up, the assets of this Corporation shall be insufficient to make payment in full of the Liquidation Preferences, then such assets shall be distributed in the following order of priority: (a) to the holders of Series F Preferred Stock in preference and ratably in proportion to the full amounts to which they would otherwise be respectively entitled pursuant to Article IV.B.2(a)(i), (b) any remaining assets then to the holders of Series E Preferred Stock in preference and ratably in proportion to the full amounts to which they would otherwise be respectively entitled pursuant to Article IV.B.2(a)(ii), (c) any remaining assets then to the holders of each series of Senior Preferred Stock in preference and ratably in proportion to the full amounts to which they would otherwise be respectively entitled pursuant to Article IV.B.2(a)(iii), and (d) any remaining assets then to the holders of Series B Preferred Stock and Series A-1 Preferred Stock ratably in proportion to the full amounts to which they would otherwise be respectively entitled pursuant to Article IV.B.2(a)(iv).</w:t>
      </w:r>
    </w:p>
    <w:p>
      <w:pPr>
        <w:spacing w:after="0" w:line="173" w:lineRule="exact"/>
        <w:rPr>
          <w:rFonts w:ascii="Times New Roman" w:cs="Times New Roman" w:eastAsia="Times New Roman" w:hAnsi="Times New Roman"/>
          <w:sz w:val="17"/>
          <w:szCs w:val="17"/>
          <w:color w:val="auto"/>
        </w:rPr>
      </w:pPr>
    </w:p>
    <w:p>
      <w:pPr>
        <w:ind w:left="2" w:right="20" w:firstLine="1404"/>
        <w:spacing w:after="0" w:line="250" w:lineRule="auto"/>
        <w:tabs>
          <w:tab w:leader="none" w:pos="165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payment of the full Liquidation Preferences as set forth in Article IV.B.2(a), the remaining assets of this Corporation legally available for distribution, if any, shall be distributed ratably to the holders of the Common Stock, Series F Preferred Stock (on an as-converted to Common Stock basis), Series E Preferred Stock (on an as-converted to Common Stock basis), Senior Preferred Stock (on an as-converted to Common Stock basis) and Series A-1 Preferred Stock (on an as-converted to Common Stock basis); provided, however, that if the aggregate amount which a holder of a share of Series A-1 Preferred Stock is entitled to receive under Article IV.B.2(a) and this Article IV.B.2(b) exceeds the sum of (i) three (3) times the Series A-1 Initial Purchase Price plus (ii) declared but unpaid dividends thereon, such holder of Series A-1 Preferred Stock shall cease participating in such distribution as to such Series A-1 Preferred</w:t>
      </w:r>
    </w:p>
    <w:p>
      <w:pPr>
        <w:spacing w:after="0" w:line="120"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82"/>
          </w:cols>
          <w:pgMar w:left="538" w:top="267" w:right="579" w:bottom="1440" w:gutter="0" w:footer="0" w:header="0"/>
        </w:sectPr>
      </w:pPr>
    </w:p>
    <w:bookmarkStart w:id="232" w:name="page233"/>
    <w:bookmarkEnd w:id="232"/>
    <w:p>
      <w:pPr>
        <w:ind w:left="2"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Stock, and the balance shall be distributed ratably to the holders of Common Stock, Series F Preferred Stock (on an as-converted to Common Stock basis), Series E Preferred Stock (on an as-converted to Common Stock basis) and Senior Preferred Stock (on an as-converted to Common Stock basis). The aggregate amount that a holder of a share of Preferred Stock is entitled to receive under Articles IV.B.2(a) and IV.B.2(b) is hereinafter referred to as the “</w:t>
      </w:r>
      <w:r>
        <w:rPr>
          <w:rFonts w:ascii="Times New Roman" w:cs="Times New Roman" w:eastAsia="Times New Roman" w:hAnsi="Times New Roman"/>
          <w:sz w:val="18"/>
          <w:szCs w:val="18"/>
          <w:u w:val="single" w:color="auto"/>
          <w:color w:val="auto"/>
        </w:rPr>
        <w:t>Liquidation Amount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8"/>
          <w:szCs w:val="18"/>
          <w:color w:val="auto"/>
        </w:rPr>
        <w:t xml:space="preserve">(c) Any Acquisition or Asset Transfer (each as defined below) shall be deemed a liquidation under this Article IV.B.2;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2" w:right="180" w:firstLine="1944"/>
        <w:spacing w:after="0" w:line="259" w:lineRule="auto"/>
        <w:tabs>
          <w:tab w:leader="none" w:pos="215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Corporation and, as applicable, its stockholders shall not have the power to effect such an Acquisition unless the agreement or plan of merger, or consolidation for such transaction provides that the consideration payable to the stockholders of this Corporation shall be allocated among the holders of capital stock of this Corporation in accordance with Articles IV.B.2(a) and IV.B.2(b).</w:t>
      </w:r>
    </w:p>
    <w:p>
      <w:pPr>
        <w:spacing w:after="0" w:line="177" w:lineRule="exact"/>
        <w:rPr>
          <w:rFonts w:ascii="Times New Roman" w:cs="Times New Roman" w:eastAsia="Times New Roman" w:hAnsi="Times New Roman"/>
          <w:sz w:val="18"/>
          <w:szCs w:val="18"/>
          <w:color w:val="auto"/>
        </w:rPr>
      </w:pPr>
    </w:p>
    <w:p>
      <w:pPr>
        <w:jc w:val="both"/>
        <w:ind w:left="2" w:firstLine="1944"/>
        <w:spacing w:after="0" w:line="268" w:lineRule="auto"/>
        <w:tabs>
          <w:tab w:leader="none" w:pos="2208"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 Asset Transfer, if this Corporation does not effect a dissolution of this Corporation within 90 days after such Asset Transfer, then (A) this Corporation shall send a written notice to each holder of shares of Preferred Stock no later than the 90th day after such Asset Transfer, advising such holders of their right (and the requirements to be met to secure such right) pursuant to the terms of the following clause</w:t>
      </w:r>
    </w:p>
    <w:p>
      <w:pPr>
        <w:ind w:left="2" w:hanging="2"/>
        <w:spacing w:after="0" w:line="246" w:lineRule="auto"/>
        <w:tabs>
          <w:tab w:leader="none" w:pos="28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the redemption of such shares of Preferred Stock, and (B) if the Requisite Holders so request in a written instrument delivered to this Corporation not later than 120 days after such Asset Transfer, this Corporation shall use the consideration received by this Corporation for such Asset Transfer, net of any retained liabilities associated with the assets sold or technology licensed, as determined in good faith by the Board of Directors of this Corporation and approved by the Requisite Holders, together with any other assets of this Corporation available for distribution to its stockholders, all to the extent permitted by the General Corporation Law governing distributions to stockholders (the “</w:t>
      </w:r>
      <w:r>
        <w:rPr>
          <w:rFonts w:ascii="Times New Roman" w:cs="Times New Roman" w:eastAsia="Times New Roman" w:hAnsi="Times New Roman"/>
          <w:sz w:val="18"/>
          <w:szCs w:val="18"/>
          <w:u w:val="single" w:color="auto"/>
          <w:color w:val="auto"/>
        </w:rPr>
        <w:t>Available Proceeds</w:t>
      </w:r>
      <w:r>
        <w:rPr>
          <w:rFonts w:ascii="Times New Roman" w:cs="Times New Roman" w:eastAsia="Times New Roman" w:hAnsi="Times New Roman"/>
          <w:sz w:val="18"/>
          <w:szCs w:val="18"/>
          <w:color w:val="auto"/>
        </w:rPr>
        <w:t>”), on the 150th day after such Asset Transfer, to redeem all outstanding shares of Preferred Stock at a price per share equal to the applicable Liquidation Amounts. Notwithstanding the foregoing, in the event of a redemption pursuant to the preceding sentence, if the Available Proceeds are not sufficient to redeem all outstanding shares of Preferred Stock in accordance with the Liquidation Preferences and priorities of payment set forth in Articles IV.B.2(a) and IV.B.2(b), this Corporation shall ratably redeem each holder’s shares of Preferred Stock in accordance with such Liquidation Preferences and priorities of payment to the fullest extent of such Available Proceeds, and shall redeem the remaining shares as soon as it may lawfully do so under the General Corporation Law governing distributions to stockholders. The provisions of Article IV.B.3 shall apply, with such necessary changes in the details thereof as are necessitated by the context, to the redemption of the Preferred Stock pursuant to this Article IV.B.2(c).</w:t>
      </w:r>
    </w:p>
    <w:p>
      <w:pPr>
        <w:spacing w:after="0" w:line="12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2"/>
          </w:cols>
          <w:pgMar w:left="538" w:top="267" w:right="559" w:bottom="1440" w:gutter="0" w:footer="0" w:header="0"/>
        </w:sectPr>
      </w:pPr>
    </w:p>
    <w:bookmarkStart w:id="233" w:name="page234"/>
    <w:bookmarkEnd w:id="233"/>
    <w:p>
      <w:pPr>
        <w:ind w:left="-20" w:firstLine="1404"/>
        <w:spacing w:after="0" w:line="255" w:lineRule="auto"/>
        <w:tabs>
          <w:tab w:leader="none" w:pos="16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If the consideration received by this Corporation or the stockholders, as the case may be, in connection with an Acquisition or Asset Transfer is other than cash, its value will be deemed its fair market value as determined in good faith by the Board of Directors of this Corporation and approved by the Requisite Holders. Any securities shall be valued as follows received as consideration in connection with such Acquisition or Asset Transfer shall be valued as follows:</w:t>
      </w:r>
    </w:p>
    <w:p>
      <w:pPr>
        <w:spacing w:after="0" w:line="74" w:lineRule="exact"/>
        <w:rPr>
          <w:rFonts w:ascii="Times New Roman" w:cs="Times New Roman" w:eastAsia="Times New Roman" w:hAnsi="Times New Roman"/>
          <w:sz w:val="18"/>
          <w:szCs w:val="18"/>
          <w:color w:val="auto"/>
        </w:rPr>
      </w:pPr>
    </w:p>
    <w:p>
      <w:pPr>
        <w:ind w:left="-20" w:right="500" w:firstLine="1944"/>
        <w:spacing w:after="0" w:line="274" w:lineRule="auto"/>
        <w:tabs>
          <w:tab w:leader="none" w:pos="213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securities not subject to investment letter or other similar restrictions on free marketability (other than restrictions arising solely by virtue of a stockholder’s status as an affiliate or former affiliate) shall be:</w:t>
      </w:r>
    </w:p>
    <w:p>
      <w:pPr>
        <w:spacing w:after="0" w:line="57" w:lineRule="exact"/>
        <w:rPr>
          <w:rFonts w:ascii="Times New Roman" w:cs="Times New Roman" w:eastAsia="Times New Roman" w:hAnsi="Times New Roman"/>
          <w:sz w:val="18"/>
          <w:szCs w:val="18"/>
          <w:color w:val="auto"/>
        </w:rPr>
      </w:pPr>
    </w:p>
    <w:p>
      <w:pPr>
        <w:ind w:left="-20" w:right="20" w:firstLine="2377"/>
        <w:spacing w:after="0" w:line="259" w:lineRule="auto"/>
        <w:tabs>
          <w:tab w:leader="none" w:pos="2648"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traded on a securities exchange or through the NASDAQ Global Select Market, the NASDAQ Global Market or the NASDAQ Capital Market, the value shall be deemed to be the average of the closing prices of the securities on such exchange or system over the thirty (30) day period (or portion thereof) ending three (3) days prior to the closing;</w:t>
      </w:r>
    </w:p>
    <w:p>
      <w:pPr>
        <w:spacing w:after="0" w:line="177" w:lineRule="exact"/>
        <w:rPr>
          <w:rFonts w:ascii="Times New Roman" w:cs="Times New Roman" w:eastAsia="Times New Roman" w:hAnsi="Times New Roman"/>
          <w:sz w:val="18"/>
          <w:szCs w:val="18"/>
          <w:color w:val="auto"/>
        </w:rPr>
      </w:pPr>
    </w:p>
    <w:p>
      <w:pPr>
        <w:ind w:left="-20" w:right="300" w:firstLine="2377"/>
        <w:spacing w:after="0" w:line="274" w:lineRule="auto"/>
        <w:tabs>
          <w:tab w:leader="none" w:pos="2638"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actively traded over-the-counter, the value shall be deemed to be the average of the closing bid or sale prices (whichever is applicable) over the thirty (30) day period (or portion thereof) ending three (3) days prior to the closing; and</w:t>
      </w:r>
    </w:p>
    <w:p>
      <w:pPr>
        <w:spacing w:after="0" w:line="163" w:lineRule="exact"/>
        <w:rPr>
          <w:rFonts w:ascii="Times New Roman" w:cs="Times New Roman" w:eastAsia="Times New Roman" w:hAnsi="Times New Roman"/>
          <w:sz w:val="18"/>
          <w:szCs w:val="18"/>
          <w:color w:val="auto"/>
        </w:rPr>
      </w:pPr>
    </w:p>
    <w:p>
      <w:pPr>
        <w:ind w:left="-20" w:right="160" w:firstLine="2377"/>
        <w:spacing w:after="0" w:line="252" w:lineRule="auto"/>
        <w:tabs>
          <w:tab w:leader="none" w:pos="2638"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active public market, the value shall be the fair market value thereof, as determined by the Board of Directors of this Corporation. The Requisite Holders shall each have the right to challenge any determination by the Board of Directors of fair market value pursuant to this Article IV.B.2(d)(i)(C), in which case the determination of fair market value shall be made by an independent appraiser selected jointly by the Board of Directors and the challenging parties, the cost of such appraisal to be borne equally by this Corporation and the challenging parties.</w:t>
      </w:r>
    </w:p>
    <w:p>
      <w:pPr>
        <w:spacing w:after="0" w:line="185" w:lineRule="exact"/>
        <w:rPr>
          <w:rFonts w:ascii="Times New Roman" w:cs="Times New Roman" w:eastAsia="Times New Roman" w:hAnsi="Times New Roman"/>
          <w:sz w:val="18"/>
          <w:szCs w:val="18"/>
          <w:color w:val="auto"/>
        </w:rPr>
      </w:pPr>
    </w:p>
    <w:p>
      <w:pPr>
        <w:ind w:left="-20" w:right="40" w:firstLine="1944"/>
        <w:spacing w:after="0" w:line="250" w:lineRule="auto"/>
        <w:tabs>
          <w:tab w:leader="none" w:pos="218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valuation of securities subject to investment letter or other restrictions on free marketability (other than restrictions arising solely by virtue of a stockholder’s status as an affiliate or former affiliate) shall be adjusted to make an appropriate discount from the value determined as above in Article IV.B.2(d)(i) to reflect the approximate fair market value thereof, as determined in good faith by the Board of Directors, or by a liquidator if one is appointed. The Requisite Holders, voting together as a single class, shall have the right to challenge any determination by the Board of Directors of fair market value pursuant to this Article IV.B.2(d)(ii), in which case the determination of fair market value shall be made by an independent appraiser selected jointly by the Board of Directors and the challenging parties, the cost of such appraisal to be borne equally by the Corporation and the challenging parties.</w:t>
      </w:r>
    </w:p>
    <w:p>
      <w:pPr>
        <w:spacing w:after="0" w:line="186" w:lineRule="exact"/>
        <w:rPr>
          <w:rFonts w:ascii="Times New Roman" w:cs="Times New Roman" w:eastAsia="Times New Roman" w:hAnsi="Times New Roman"/>
          <w:sz w:val="18"/>
          <w:szCs w:val="18"/>
          <w:color w:val="auto"/>
        </w:rPr>
      </w:pPr>
    </w:p>
    <w:p>
      <w:pPr>
        <w:ind w:left="-20" w:right="20" w:firstLine="1944"/>
        <w:spacing w:after="0" w:line="304" w:lineRule="auto"/>
        <w:tabs>
          <w:tab w:leader="none" w:pos="2235"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liquidation in connection with an Acquisition under Article IV.B.2(c), then the “assets of this Corporation” available for distribution shall be deemed to be the aggregate consideration to be paid to all stockholders participating in such Acquisition.</w:t>
      </w:r>
    </w:p>
    <w:p>
      <w:pPr>
        <w:spacing w:after="0" w:line="140" w:lineRule="exact"/>
        <w:rPr>
          <w:rFonts w:ascii="Times New Roman" w:cs="Times New Roman" w:eastAsia="Times New Roman" w:hAnsi="Times New Roman"/>
          <w:sz w:val="17"/>
          <w:szCs w:val="17"/>
          <w:color w:val="auto"/>
        </w:rPr>
      </w:pPr>
    </w:p>
    <w:p>
      <w:pPr>
        <w:ind w:left="-20" w:right="120" w:firstLine="1404"/>
        <w:spacing w:after="0" w:line="249" w:lineRule="auto"/>
        <w:tabs>
          <w:tab w:leader="none" w:pos="162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Acquisition or Asset Transfer that is deemed a liquidation in accordance with Article IV.B.2(c), if any portion of the consideration payable to the stockholders of this Corporation is placed into escrow and/or is payable to the stockholders of this Corporation subject to contingencies, the definitive agreement(s) relating to such Acquisition or Asset Transfer shall provide that: (i) the portion of such consideration that is not placed in escrow and not subject to any contingencies (the “</w:t>
      </w:r>
      <w:r>
        <w:rPr>
          <w:rFonts w:ascii="Times New Roman" w:cs="Times New Roman" w:eastAsia="Times New Roman" w:hAnsi="Times New Roman"/>
          <w:sz w:val="18"/>
          <w:szCs w:val="18"/>
          <w:u w:val="single" w:color="auto"/>
          <w:color w:val="auto"/>
        </w:rPr>
        <w:t>Initial Consideration</w:t>
      </w:r>
      <w:r>
        <w:rPr>
          <w:rFonts w:ascii="Times New Roman" w:cs="Times New Roman" w:eastAsia="Times New Roman" w:hAnsi="Times New Roman"/>
          <w:sz w:val="18"/>
          <w:szCs w:val="18"/>
          <w:color w:val="auto"/>
        </w:rPr>
        <w:t>”) shall be allocated among the holders of capital stock of this Corporation in accordance with Articles IV.B.2(a) and IV.B.2(b) as if the Initial Consideration were the only consideration payable in connection with such Acquisition or Asset Transfer; and (ii) any additional consideration which becomes payable to the stockholders of this Corporation upon release from escrow or satisfaction of contingencies shall be allocated among the holders of capital stock of this Corporation in accordance with Articles IV.B.2(a) and IV.B.2(b) after taking into account the previous payment of the Initial Consideration as part of the same transaction.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60"/>
          </w:cols>
          <w:pgMar w:left="560" w:top="267" w:right="579" w:bottom="1440" w:gutter="0" w:footer="0" w:header="0"/>
        </w:sectPr>
      </w:pPr>
    </w:p>
    <w:bookmarkStart w:id="234" w:name="page235"/>
    <w:bookmarkEnd w:id="234"/>
    <w:p>
      <w:pPr>
        <w:ind w:firstLine="1404"/>
        <w:spacing w:after="0" w:line="263" w:lineRule="auto"/>
        <w:tabs>
          <w:tab w:leader="none" w:pos="1626"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Notwithstanding the foregoing provisions of this Article IV.B.2, upon any liquidation, dissolution, winding up, Acquisition or Asset Transfer (each, a “</w:t>
      </w:r>
      <w:r>
        <w:rPr>
          <w:rFonts w:ascii="Times New Roman" w:cs="Times New Roman" w:eastAsia="Times New Roman" w:hAnsi="Times New Roman"/>
          <w:sz w:val="17"/>
          <w:szCs w:val="17"/>
          <w:u w:val="single" w:color="auto"/>
          <w:color w:val="auto"/>
        </w:rPr>
        <w:t>Liquidation Event</w:t>
      </w:r>
      <w:r>
        <w:rPr>
          <w:rFonts w:ascii="Times New Roman" w:cs="Times New Roman" w:eastAsia="Times New Roman" w:hAnsi="Times New Roman"/>
          <w:sz w:val="17"/>
          <w:szCs w:val="17"/>
          <w:color w:val="auto"/>
        </w:rPr>
        <w:t xml:space="preserve">”), each holder of shares of Series A-1 Preferred Stock or Series B Preferred Stock shall be entitled to receive, for each share of such series of Preferred Stock then held, out of the proceeds available for distribution, the greater of (i) the amount of cash, securities or other property to which such holder would be entitled to receive with respect to such shares in a Liquidation Event pursuant to Articles IV.B.2(a), IV.B.2(b) and IV.B.2(c) (without giving effect to this Article IV.B.2(f)) or (ii) the amount of cash, securities or other property to which such holder would be entitled to receive in a Liquidation Event with respect to such shares if such shares had been converted to Common Stock immediately prior to such Liquidation Event, giving effect to this Article IV.B.2(f) with respect to all shares of Preferred Stock simultaneously;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so long as any shares of Series F Preferred Stock are outstanding, the Company shall not, without the approval of the holders of a majority of the then outstanding shares of Series F Preferred Stock, voting as a separate series (the “</w:t>
      </w:r>
      <w:r>
        <w:rPr>
          <w:rFonts w:ascii="Times New Roman" w:cs="Times New Roman" w:eastAsia="Times New Roman" w:hAnsi="Times New Roman"/>
          <w:sz w:val="17"/>
          <w:szCs w:val="17"/>
          <w:u w:val="single" w:color="auto"/>
          <w:color w:val="auto"/>
        </w:rPr>
        <w:t>Series F Majority</w:t>
      </w:r>
      <w:r>
        <w:rPr>
          <w:rFonts w:ascii="Times New Roman" w:cs="Times New Roman" w:eastAsia="Times New Roman" w:hAnsi="Times New Roman"/>
          <w:sz w:val="17"/>
          <w:szCs w:val="17"/>
          <w:color w:val="auto"/>
        </w:rPr>
        <w:t xml:space="preserve">”), enter into any Liquidation Event where the proceeds per share of Series F Preferred Stock the holders of Series F Preferred Stock are entitled to receive pursuant to this Article IV.B.2 are less than two (2) times the Series F Initial Purchase Price;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so long as any shares of Series E Preferred Stock are outstanding, the Company shall not, without the approval of the holders of a majority of the then outstanding shares of Series E Preferred Stock, voting as a separate series (the “</w:t>
      </w:r>
      <w:r>
        <w:rPr>
          <w:rFonts w:ascii="Times New Roman" w:cs="Times New Roman" w:eastAsia="Times New Roman" w:hAnsi="Times New Roman"/>
          <w:sz w:val="17"/>
          <w:szCs w:val="17"/>
          <w:u w:val="single" w:color="auto"/>
          <w:color w:val="auto"/>
        </w:rPr>
        <w:t>Series 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Majority</w:t>
      </w:r>
      <w:r>
        <w:rPr>
          <w:rFonts w:ascii="Times New Roman" w:cs="Times New Roman" w:eastAsia="Times New Roman" w:hAnsi="Times New Roman"/>
          <w:sz w:val="17"/>
          <w:szCs w:val="17"/>
          <w:color w:val="auto"/>
        </w:rPr>
        <w:t>”), enter into any Liquidation Event where the proceeds per share of Series E Preferred Stock the holders of Series E Preferred Stock are entitled to receive pursuant to this Article IV.B.2 are less than two and a half (2.5) times the Series E Initial Purchase Price.</w:t>
      </w:r>
    </w:p>
    <w:p>
      <w:pPr>
        <w:spacing w:after="0" w:line="180" w:lineRule="exact"/>
        <w:rPr>
          <w:rFonts w:ascii="Times New Roman" w:cs="Times New Roman" w:eastAsia="Times New Roman" w:hAnsi="Times New Roman"/>
          <w:sz w:val="17"/>
          <w:szCs w:val="17"/>
          <w:color w:val="auto"/>
        </w:rPr>
      </w:pPr>
    </w:p>
    <w:p>
      <w:pPr>
        <w:ind w:left="1140" w:hanging="169"/>
        <w:spacing w:after="0"/>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firstLine="1404"/>
        <w:spacing w:after="0" w:line="248" w:lineRule="auto"/>
        <w:tabs>
          <w:tab w:leader="none" w:pos="164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fifth anniversary date of July 28, 2023 (the “</w:t>
      </w:r>
      <w:r>
        <w:rPr>
          <w:rFonts w:ascii="Times New Roman" w:cs="Times New Roman" w:eastAsia="Times New Roman" w:hAnsi="Times New Roman"/>
          <w:sz w:val="18"/>
          <w:szCs w:val="18"/>
          <w:u w:val="single" w:color="auto"/>
          <w:color w:val="auto"/>
        </w:rPr>
        <w:t>Series F Original Issue Date</w:t>
      </w:r>
      <w:r>
        <w:rPr>
          <w:rFonts w:ascii="Times New Roman" w:cs="Times New Roman" w:eastAsia="Times New Roman" w:hAnsi="Times New Roman"/>
          <w:sz w:val="18"/>
          <w:szCs w:val="18"/>
          <w:color w:val="auto"/>
        </w:rPr>
        <w:t>”), if requested in writing by holders of a majority of the then-outstanding shares of Series A-1 Preferred Stock, this Corporation shall, to the extent not prohibited by Delaware law governing distributions to stockholders, redeem all of the outstanding Series A-1 Preferred Stock sixty (60) days following the date of such written request (the “</w:t>
      </w:r>
      <w:r>
        <w:rPr>
          <w:rFonts w:ascii="Times New Roman" w:cs="Times New Roman" w:eastAsia="Times New Roman" w:hAnsi="Times New Roman"/>
          <w:sz w:val="18"/>
          <w:szCs w:val="18"/>
          <w:u w:val="single" w:color="auto"/>
          <w:color w:val="auto"/>
        </w:rPr>
        <w:t>Series A-1 Redemption Date</w:t>
      </w:r>
      <w:r>
        <w:rPr>
          <w:rFonts w:ascii="Times New Roman" w:cs="Times New Roman" w:eastAsia="Times New Roman" w:hAnsi="Times New Roman"/>
          <w:sz w:val="18"/>
          <w:szCs w:val="18"/>
          <w:color w:val="auto"/>
        </w:rPr>
        <w:t>”). This Corporation shall effect such redemptions on the Series A-1 Redemption Date by paying in cash in exchange for the shares of Series A-1 Preferred Stock to be redeemed an amount equal to: the Series A-1 Initial Purchase Price per share of Series A-1 Preferred Stock (as adjusted for any stock dividends, combinations, splits, recapitalizations and the like with respect to such shares), plus any and all declared but unpaid dividends with respect to such shares of Series A-1 Preferred Stock (collectively, the “</w:t>
      </w:r>
      <w:r>
        <w:rPr>
          <w:rFonts w:ascii="Times New Roman" w:cs="Times New Roman" w:eastAsia="Times New Roman" w:hAnsi="Times New Roman"/>
          <w:sz w:val="18"/>
          <w:szCs w:val="18"/>
          <w:u w:val="single" w:color="auto"/>
          <w:color w:val="auto"/>
        </w:rPr>
        <w:t>Series A-1 Redemption Price</w:t>
      </w:r>
      <w:r>
        <w:rPr>
          <w:rFonts w:ascii="Times New Roman" w:cs="Times New Roman" w:eastAsia="Times New Roman" w:hAnsi="Times New Roman"/>
          <w:sz w:val="18"/>
          <w:szCs w:val="18"/>
          <w:color w:val="auto"/>
        </w:rPr>
        <w:t>”). The number of shares redeemable pursuant to this Article IV.B.3(a) shall be limited to (y) the number that may be redeemed with the then-maximum amount of funds to the extent not prohibited by Delaware law governing distributions to stockholders (the “</w:t>
      </w:r>
      <w:r>
        <w:rPr>
          <w:rFonts w:ascii="Times New Roman" w:cs="Times New Roman" w:eastAsia="Times New Roman" w:hAnsi="Times New Roman"/>
          <w:sz w:val="18"/>
          <w:szCs w:val="18"/>
          <w:u w:val="single" w:color="auto"/>
          <w:color w:val="auto"/>
        </w:rPr>
        <w:t>Legally Available Funds</w:t>
      </w:r>
      <w:r>
        <w:rPr>
          <w:rFonts w:ascii="Times New Roman" w:cs="Times New Roman" w:eastAsia="Times New Roman" w:hAnsi="Times New Roman"/>
          <w:sz w:val="18"/>
          <w:szCs w:val="18"/>
          <w:color w:val="auto"/>
        </w:rPr>
        <w:t>”); and (z) any further restrictions pursuant to Article IV.B.3(g).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0"/>
          </w:cols>
          <w:pgMar w:left="540" w:top="267" w:right="559" w:bottom="1440" w:gutter="0" w:footer="0" w:header="0"/>
        </w:sectPr>
      </w:pPr>
    </w:p>
    <w:bookmarkStart w:id="235" w:name="page236"/>
    <w:bookmarkEnd w:id="235"/>
    <w:p>
      <w:pPr>
        <w:ind w:left="-100" w:right="140" w:firstLine="1404"/>
        <w:spacing w:after="0" w:line="249" w:lineRule="auto"/>
        <w:tabs>
          <w:tab w:leader="none" w:pos="155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At any time following the fifth anniversary date of the Series F Original Issue Date, if requested in writing by holders of a majority of the then-outstanding shares of Series B Preferred Stock, this Corporation shall, to the extent not prohibited by Delaware law governing distributions to stockholders, redeem all of the outstanding Series B Preferred Stock sixty (60) days following the date of such written request (the “</w:t>
      </w:r>
      <w:r>
        <w:rPr>
          <w:rFonts w:ascii="Times New Roman" w:cs="Times New Roman" w:eastAsia="Times New Roman" w:hAnsi="Times New Roman"/>
          <w:sz w:val="18"/>
          <w:szCs w:val="18"/>
          <w:u w:val="single" w:color="auto"/>
          <w:color w:val="auto"/>
        </w:rPr>
        <w:t>Series B Redemption Date</w:t>
      </w:r>
      <w:r>
        <w:rPr>
          <w:rFonts w:ascii="Times New Roman" w:cs="Times New Roman" w:eastAsia="Times New Roman" w:hAnsi="Times New Roman"/>
          <w:sz w:val="18"/>
          <w:szCs w:val="18"/>
          <w:color w:val="auto"/>
        </w:rPr>
        <w:t>”). This Corporation shall effect such redemptions on the Series B Redemption Date by paying in cash in exchange for the shares of Series B Preferred Stock to be redeemed an amount equal to the Series B Initial Purchase Price per share of Series B Preferred Stock (as adjusted for any stock dividends, combinations, splits, recapitalizations and the like with respect to such shares), plus any and all declared but unpaid dividends with respect to such shares of Series B Preferred Stock (collectively, the “</w:t>
      </w:r>
      <w:r>
        <w:rPr>
          <w:rFonts w:ascii="Times New Roman" w:cs="Times New Roman" w:eastAsia="Times New Roman" w:hAnsi="Times New Roman"/>
          <w:sz w:val="18"/>
          <w:szCs w:val="18"/>
          <w:u w:val="single" w:color="auto"/>
          <w:color w:val="auto"/>
        </w:rPr>
        <w:t>Series B Redemption Price</w:t>
      </w:r>
      <w:r>
        <w:rPr>
          <w:rFonts w:ascii="Times New Roman" w:cs="Times New Roman" w:eastAsia="Times New Roman" w:hAnsi="Times New Roman"/>
          <w:sz w:val="18"/>
          <w:szCs w:val="18"/>
          <w:color w:val="auto"/>
        </w:rPr>
        <w:t>”). The number of shares redeemable pursuant to this Article IV.B.3(b) shall be limited to (x) the number that may be redeemed with the Legally Available Funds; and (y) any further restrictions pursuant to Article IV.B.3(g).</w:t>
      </w:r>
    </w:p>
    <w:p>
      <w:pPr>
        <w:spacing w:after="0" w:line="187" w:lineRule="exact"/>
        <w:rPr>
          <w:rFonts w:ascii="Times New Roman" w:cs="Times New Roman" w:eastAsia="Times New Roman" w:hAnsi="Times New Roman"/>
          <w:sz w:val="18"/>
          <w:szCs w:val="18"/>
          <w:color w:val="auto"/>
        </w:rPr>
      </w:pPr>
    </w:p>
    <w:p>
      <w:pPr>
        <w:ind w:left="-100" w:firstLine="1404"/>
        <w:spacing w:after="0" w:line="265" w:lineRule="auto"/>
        <w:tabs>
          <w:tab w:leader="none" w:pos="154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following the fifth anniversary date of the Series F Original Issue Date, if requested in writing by holders of at least 66.67% of the then-outstanding shares of Series C Preferred Stock, this Corporation shall, to the extent not prohibited by Delaware law governing distributions to stockholders, redeem all of the outstanding Series C Preferred Stock sixty (60) days following the date of such written request (the “</w:t>
      </w:r>
      <w:r>
        <w:rPr>
          <w:rFonts w:ascii="Times New Roman" w:cs="Times New Roman" w:eastAsia="Times New Roman" w:hAnsi="Times New Roman"/>
          <w:sz w:val="17"/>
          <w:szCs w:val="17"/>
          <w:u w:val="single" w:color="auto"/>
          <w:color w:val="auto"/>
        </w:rPr>
        <w:t>Series C Redemption Date</w:t>
      </w:r>
      <w:r>
        <w:rPr>
          <w:rFonts w:ascii="Times New Roman" w:cs="Times New Roman" w:eastAsia="Times New Roman" w:hAnsi="Times New Roman"/>
          <w:sz w:val="17"/>
          <w:szCs w:val="17"/>
          <w:color w:val="auto"/>
        </w:rPr>
        <w:t>”). This Corporation shall effect such redemptions on the Series C Redemption Date by paying in cash in exchange for the shares of Series C Preferred Stock to be redeemed (other than those holders of Series C Preferred Stock that affirmatively choose to not participate in such redemption) an amount equal to: the Series C Initial Purchase Price per share of Series C Preferred Stock (as adjusted for any stock dividends, combinations, splits, recapitalizations and the like with respect to such shares), plus any and all declared but unpaid dividends with respect to such shares of Series C Preferred Stock (collectively, the “</w:t>
      </w:r>
      <w:r>
        <w:rPr>
          <w:rFonts w:ascii="Times New Roman" w:cs="Times New Roman" w:eastAsia="Times New Roman" w:hAnsi="Times New Roman"/>
          <w:sz w:val="17"/>
          <w:szCs w:val="17"/>
          <w:u w:val="single" w:color="auto"/>
          <w:color w:val="auto"/>
        </w:rPr>
        <w:t>Series C Redemption Price</w:t>
      </w:r>
      <w:r>
        <w:rPr>
          <w:rFonts w:ascii="Times New Roman" w:cs="Times New Roman" w:eastAsia="Times New Roman" w:hAnsi="Times New Roman"/>
          <w:sz w:val="17"/>
          <w:szCs w:val="17"/>
          <w:color w:val="auto"/>
        </w:rPr>
        <w:t>”). The number of shares redeemable pursuant to this Article IV.B.3(c) shall be limited to (y) the number that may be redeemed with the Legally Available Funds; and (z) any further restrictions pursuant to Article IV.B.3(g).</w:t>
      </w:r>
    </w:p>
    <w:p>
      <w:pPr>
        <w:spacing w:after="0" w:line="177" w:lineRule="exact"/>
        <w:rPr>
          <w:rFonts w:ascii="Times New Roman" w:cs="Times New Roman" w:eastAsia="Times New Roman" w:hAnsi="Times New Roman"/>
          <w:sz w:val="17"/>
          <w:szCs w:val="17"/>
          <w:color w:val="auto"/>
        </w:rPr>
      </w:pPr>
    </w:p>
    <w:p>
      <w:pPr>
        <w:ind w:left="-100" w:firstLine="1404"/>
        <w:spacing w:after="0" w:line="265" w:lineRule="auto"/>
        <w:tabs>
          <w:tab w:leader="none" w:pos="155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following the fifth anniversary date of the Series F Original Issue Date, if requested in writing by holders of a majority of the then-outstanding shares of Series D Preferred Stock, this Corporation shall, to the extent not prohibited by Delaware law governing distributions to stockholders, redeem all of the outstanding Series D Preferred Stock sixty (60) days following the date of such written request (the “</w:t>
      </w:r>
      <w:r>
        <w:rPr>
          <w:rFonts w:ascii="Times New Roman" w:cs="Times New Roman" w:eastAsia="Times New Roman" w:hAnsi="Times New Roman"/>
          <w:sz w:val="17"/>
          <w:szCs w:val="17"/>
          <w:u w:val="single" w:color="auto"/>
          <w:color w:val="auto"/>
        </w:rPr>
        <w:t>Series D Redemption Date</w:t>
      </w:r>
      <w:r>
        <w:rPr>
          <w:rFonts w:ascii="Times New Roman" w:cs="Times New Roman" w:eastAsia="Times New Roman" w:hAnsi="Times New Roman"/>
          <w:sz w:val="17"/>
          <w:szCs w:val="17"/>
          <w:color w:val="auto"/>
        </w:rPr>
        <w:t>”). This Corporation shall effect such redemptions on the Series D Redemption Date by paying in cash in exchange for the shares of Series D Preferred Stock to be redeemed (other than those holders of Series D Preferred Stock that affirmatively choose to not participate in such redemption) an amount equal to: the Series D Initial Purchase Price per share of Series D Preferred Stock (as adjusted for any stock dividends, combinations, splits, recapitalizations and the like with respect to such shares), plus any and all declared but unpaid dividends with respect to such shares of Series D Preferred Stock (collectively, the “</w:t>
      </w:r>
      <w:r>
        <w:rPr>
          <w:rFonts w:ascii="Times New Roman" w:cs="Times New Roman" w:eastAsia="Times New Roman" w:hAnsi="Times New Roman"/>
          <w:sz w:val="17"/>
          <w:szCs w:val="17"/>
          <w:u w:val="single" w:color="auto"/>
          <w:color w:val="auto"/>
        </w:rPr>
        <w:t>Series D Redemption Price</w:t>
      </w:r>
      <w:r>
        <w:rPr>
          <w:rFonts w:ascii="Times New Roman" w:cs="Times New Roman" w:eastAsia="Times New Roman" w:hAnsi="Times New Roman"/>
          <w:sz w:val="17"/>
          <w:szCs w:val="17"/>
          <w:color w:val="auto"/>
        </w:rPr>
        <w:t>”). The number of shares redeemable pursuant to this Article IV.B.3(d) shall be limited to (y) the number that may be redeemed with the Legally Available Funds; and (z) any further restrictions pursuant to Article IV.B.3(g).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20"/>
          </w:cols>
          <w:pgMar w:left="640" w:top="267" w:right="639" w:bottom="1440" w:gutter="0" w:footer="0" w:header="0"/>
        </w:sectPr>
      </w:pPr>
    </w:p>
    <w:bookmarkStart w:id="236" w:name="page237"/>
    <w:bookmarkEnd w:id="236"/>
    <w:p>
      <w:pPr>
        <w:ind w:left="2" w:right="200" w:firstLine="1404"/>
        <w:spacing w:after="0" w:line="268" w:lineRule="auto"/>
        <w:tabs>
          <w:tab w:leader="none" w:pos="1648"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At any time following the fifth anniversary date of the Series F Original Issue Date, if requested in writing by the Series E Majority, this Corporation shall, to the extent not prohibited by Delaware law governing distributions to stockholders, redeem all of the outstanding Series E Preferred Stock (other than the Series E Preferred Stock held by holders that affirmatively choose to not participate in such redemption) sixty</w:t>
      </w:r>
    </w:p>
    <w:p>
      <w:pPr>
        <w:ind w:left="2" w:hanging="2"/>
        <w:spacing w:after="0" w:line="246"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date of such written request (the “</w:t>
      </w:r>
      <w:r>
        <w:rPr>
          <w:rFonts w:ascii="Times New Roman" w:cs="Times New Roman" w:eastAsia="Times New Roman" w:hAnsi="Times New Roman"/>
          <w:sz w:val="18"/>
          <w:szCs w:val="18"/>
          <w:u w:val="single" w:color="auto"/>
          <w:color w:val="auto"/>
        </w:rPr>
        <w:t>Series E Redemption Date</w:t>
      </w:r>
      <w:r>
        <w:rPr>
          <w:rFonts w:ascii="Times New Roman" w:cs="Times New Roman" w:eastAsia="Times New Roman" w:hAnsi="Times New Roman"/>
          <w:sz w:val="18"/>
          <w:szCs w:val="18"/>
          <w:color w:val="auto"/>
        </w:rPr>
        <w:t>”). This Corporation shall effect such redemptions on the Series E Redemption Date by paying in cash in exchange for the shares of Series E Preferred Stock to be redeemed an amount equal to: the Series E Initial Purchase Price per share of Series E Preferred Stock (as adjusted for any stock dividends, combinations, splits, recapitalizations and the like with respect to such shares), plus any and all declared but unpaid dividends with respect to such shares of Series E Preferred Stock (collectively, the “</w:t>
      </w:r>
      <w:r>
        <w:rPr>
          <w:rFonts w:ascii="Times New Roman" w:cs="Times New Roman" w:eastAsia="Times New Roman" w:hAnsi="Times New Roman"/>
          <w:sz w:val="18"/>
          <w:szCs w:val="18"/>
          <w:u w:val="single" w:color="auto"/>
          <w:color w:val="auto"/>
        </w:rPr>
        <w:t>Series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The number of shares redeemable pursuant to this Article IV.B.3(e) shall be limited to (y) the number that may be redeemed with the Legally Available Funds; and (z) any further restrictions pursuant to Article IV.B.3(g).</w:t>
      </w:r>
    </w:p>
    <w:p>
      <w:pPr>
        <w:spacing w:after="0" w:line="191" w:lineRule="exact"/>
        <w:rPr>
          <w:rFonts w:ascii="Times New Roman" w:cs="Times New Roman" w:eastAsia="Times New Roman" w:hAnsi="Times New Roman"/>
          <w:sz w:val="18"/>
          <w:szCs w:val="18"/>
          <w:color w:val="auto"/>
        </w:rPr>
      </w:pPr>
    </w:p>
    <w:p>
      <w:pPr>
        <w:ind w:left="2" w:right="220" w:firstLine="1404"/>
        <w:spacing w:after="0" w:line="268" w:lineRule="auto"/>
        <w:tabs>
          <w:tab w:leader="none" w:pos="1628"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following the fifth anniversary date of the Series F Original Issue Date, if requested in writing by the Series F Majority, this Corporation shall, to the extent not prohibited by Delaware law governing distributions to stockholders, redeem all of the outstanding Series F Preferred Stock (other than the Series F Preferred Stock held by holders that affirmatively choose to not participate in such redemption) sixty</w:t>
      </w:r>
    </w:p>
    <w:p>
      <w:pPr>
        <w:ind w:left="2" w:right="40" w:hanging="2"/>
        <w:spacing w:after="0" w:line="246"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date of such written request (the “</w:t>
      </w:r>
      <w:r>
        <w:rPr>
          <w:rFonts w:ascii="Times New Roman" w:cs="Times New Roman" w:eastAsia="Times New Roman" w:hAnsi="Times New Roman"/>
          <w:sz w:val="18"/>
          <w:szCs w:val="18"/>
          <w:u w:val="single" w:color="auto"/>
          <w:color w:val="auto"/>
        </w:rPr>
        <w:t>Series F Redemption Date</w:t>
      </w:r>
      <w:r>
        <w:rPr>
          <w:rFonts w:ascii="Times New Roman" w:cs="Times New Roman" w:eastAsia="Times New Roman" w:hAnsi="Times New Roman"/>
          <w:sz w:val="18"/>
          <w:szCs w:val="18"/>
          <w:color w:val="auto"/>
        </w:rPr>
        <w:t>”). This Corporation shall effect such redemptions on the Series F Redemption Date by paying in cash in exchange for the shares of Series F Preferred Stock to be redeemed an amount equal to: the Series F Initial Purchase Price per share (as adjusted for any stock dividends, combinations, splits, recapitalizations and the like with respect to such shares), plus any and all declared but unpaid dividends with respect to such shares of Series F Preferred Stock (collectively, the “</w:t>
      </w:r>
      <w:r>
        <w:rPr>
          <w:rFonts w:ascii="Times New Roman" w:cs="Times New Roman" w:eastAsia="Times New Roman" w:hAnsi="Times New Roman"/>
          <w:sz w:val="18"/>
          <w:szCs w:val="18"/>
          <w:u w:val="single" w:color="auto"/>
          <w:color w:val="auto"/>
        </w:rPr>
        <w:t>Series F Redemption Price</w:t>
      </w:r>
      <w:r>
        <w:rPr>
          <w:rFonts w:ascii="Times New Roman" w:cs="Times New Roman" w:eastAsia="Times New Roman" w:hAnsi="Times New Roman"/>
          <w:sz w:val="18"/>
          <w:szCs w:val="18"/>
          <w:color w:val="auto"/>
        </w:rPr>
        <w:t>”). The number of shares redeemable pursuant to this Article IV.B.3(f) shall be limited to (y) the number that may be redeemed with the Legally Available Funds; and (z) any further restrictions pursuant to Article IV.B.3(g). The Series A-1 Redemption Price, the Series B Redemption Price, the Series C Redemption Price, the Series D Redemption Price, the Series E Redemption Price and the Series F Redemption Price shall be referred to hereinafter as a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for their applicable shares of Preferred Stock.</w:t>
      </w:r>
    </w:p>
    <w:p>
      <w:pPr>
        <w:spacing w:after="0" w:line="191" w:lineRule="exact"/>
        <w:rPr>
          <w:rFonts w:ascii="Times New Roman" w:cs="Times New Roman" w:eastAsia="Times New Roman" w:hAnsi="Times New Roman"/>
          <w:sz w:val="18"/>
          <w:szCs w:val="18"/>
          <w:color w:val="auto"/>
        </w:rPr>
      </w:pPr>
    </w:p>
    <w:p>
      <w:pPr>
        <w:ind w:left="2" w:right="40" w:firstLine="1404"/>
        <w:spacing w:after="0" w:line="248" w:lineRule="auto"/>
        <w:tabs>
          <w:tab w:leader="none" w:pos="165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Legally Available Funds be an amount less than the amount necessary to effect a redemption as requested pursuant to Article IV.B.3(a), Article IV.B.3(b), Article IV.B.3(c), Article IV.B.3(d), Article IV.B.3(e), Article IV.B.3(f), or any of the foregoing (should more than one redemption be requested simultaneously, pursuant to Article IV.B.3(h)), up to two separate redemptions (each, a “</w:t>
      </w:r>
      <w:r>
        <w:rPr>
          <w:rFonts w:ascii="Times New Roman" w:cs="Times New Roman" w:eastAsia="Times New Roman" w:hAnsi="Times New Roman"/>
          <w:sz w:val="18"/>
          <w:szCs w:val="18"/>
          <w:u w:val="single" w:color="auto"/>
          <w:color w:val="auto"/>
        </w:rPr>
        <w:t>Senior Redemption</w:t>
      </w:r>
      <w:r>
        <w:rPr>
          <w:rFonts w:ascii="Times New Roman" w:cs="Times New Roman" w:eastAsia="Times New Roman" w:hAnsi="Times New Roman"/>
          <w:sz w:val="18"/>
          <w:szCs w:val="18"/>
          <w:color w:val="auto"/>
        </w:rPr>
        <w:t>”) shall be effected in accordance with this Article IV.B.3(g) prior to a single, partial redemption (a “</w:t>
      </w:r>
      <w:r>
        <w:rPr>
          <w:rFonts w:ascii="Times New Roman" w:cs="Times New Roman" w:eastAsia="Times New Roman" w:hAnsi="Times New Roman"/>
          <w:sz w:val="18"/>
          <w:szCs w:val="18"/>
          <w:u w:val="single" w:color="auto"/>
          <w:color w:val="auto"/>
        </w:rPr>
        <w:t>Partial Redemption</w:t>
      </w:r>
      <w:r>
        <w:rPr>
          <w:rFonts w:ascii="Times New Roman" w:cs="Times New Roman" w:eastAsia="Times New Roman" w:hAnsi="Times New Roman"/>
          <w:sz w:val="18"/>
          <w:szCs w:val="18"/>
          <w:color w:val="auto"/>
        </w:rPr>
        <w:t>”). First, a Senior Redemption shall be paid by this Corporation to redeem shares from the holders of the Series F Preferred Stock ratably in proportion to the aggregate Redemption Price that would be payable to each holder of the Series F Preferred Stock. After the full Redemption Price of the Series F Preferred Stock has been paid, a second Senior Redemption shall be paid to the holders of the Series E Preferred Stock ratably in proportion to the aggregate Redemption Price that would be payable to each holder of the Series E Preferred Stock. After the full Redemption Price of the Series F Preferred Stock and Series E Preferred Stock to be redeemed has been paid, a Partial Redemption shall be paid by this Corporation, such that each Eligible Redeemer (as defined below) shall be able to redeem only its Redeemable Shares (as defined below).</w:t>
      </w:r>
    </w:p>
    <w:p>
      <w:pPr>
        <w:spacing w:after="0" w:line="12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02"/>
          </w:cols>
          <w:pgMar w:left="538" w:top="267" w:right="559" w:bottom="1440" w:gutter="0" w:footer="0" w:header="0"/>
        </w:sectPr>
      </w:pPr>
    </w:p>
    <w:bookmarkStart w:id="237" w:name="page238"/>
    <w:bookmarkEnd w:id="237"/>
    <w:p>
      <w:pPr>
        <w:ind w:left="2" w:right="40" w:firstLine="1944"/>
        <w:spacing w:after="0" w:line="250" w:lineRule="auto"/>
        <w:tabs>
          <w:tab w:leader="none" w:pos="2159"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Subject to Article IV.B.3(g), an “</w:t>
      </w:r>
      <w:r>
        <w:rPr>
          <w:rFonts w:ascii="Times New Roman" w:cs="Times New Roman" w:eastAsia="Times New Roman" w:hAnsi="Times New Roman"/>
          <w:sz w:val="18"/>
          <w:szCs w:val="18"/>
          <w:u w:val="single" w:color="auto"/>
          <w:color w:val="auto"/>
        </w:rPr>
        <w:t>Eligible Redeemer</w:t>
      </w:r>
      <w:r>
        <w:rPr>
          <w:rFonts w:ascii="Times New Roman" w:cs="Times New Roman" w:eastAsia="Times New Roman" w:hAnsi="Times New Roman"/>
          <w:sz w:val="18"/>
          <w:szCs w:val="18"/>
          <w:color w:val="auto"/>
        </w:rPr>
        <w:t>” shall be any holder of shares of Preferred Stock from whom this Corporation has received a request for redemption under this Article IV.B.3. Notwithstanding anything to the contrary in this Article IV.B.3, however, in the event any holder of shares of Preferred Stock, regardless of the Series A-1 Redemption Date, the Series B Redemption Date, the Series C Redemption Date, the Series D Redemption Date, the Series E Redemption Date or the Series F Redemption Date, receives a Redemption Notice (as defined in Article IV.B.3(h)), which states that this Corporation shall effect a Partial Redemption in accordance with this Article IV.B.3(g), such holder may become an Eligible Redeemer, only if this Corporation receives written notice that such holder of shares of Preferred Stock also requests redemption of its shares of Preferred Stock such that its request is deemed a Simultaneous Redemption under Article IV.B.3(h).</w:t>
      </w:r>
    </w:p>
    <w:p>
      <w:pPr>
        <w:spacing w:after="0" w:line="186" w:lineRule="exact"/>
        <w:rPr>
          <w:rFonts w:ascii="Times New Roman" w:cs="Times New Roman" w:eastAsia="Times New Roman" w:hAnsi="Times New Roman"/>
          <w:sz w:val="18"/>
          <w:szCs w:val="18"/>
          <w:color w:val="auto"/>
        </w:rPr>
      </w:pPr>
    </w:p>
    <w:p>
      <w:pPr>
        <w:ind w:left="2" w:firstLine="1944"/>
        <w:spacing w:after="0" w:line="248" w:lineRule="auto"/>
        <w:tabs>
          <w:tab w:leader="none" w:pos="2208"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Redeemable Shares</w:t>
      </w:r>
      <w:r>
        <w:rPr>
          <w:rFonts w:ascii="Times New Roman" w:cs="Times New Roman" w:eastAsia="Times New Roman" w:hAnsi="Times New Roman"/>
          <w:sz w:val="18"/>
          <w:szCs w:val="18"/>
          <w:color w:val="auto"/>
        </w:rPr>
        <w:t>” shall be a certain amount of shares of Preferred Stock that is less than the total number of shares of Series A-1 Preferred Stock, Series B Preferred Stock, Series C Preferred Stock and Series D Preferred Stock requested to be redeemed by an Eligible Redeemer in accordance with Article IV.3(g) (the “</w:t>
      </w:r>
      <w:r>
        <w:rPr>
          <w:rFonts w:ascii="Times New Roman" w:cs="Times New Roman" w:eastAsia="Times New Roman" w:hAnsi="Times New Roman"/>
          <w:sz w:val="18"/>
          <w:szCs w:val="18"/>
          <w:u w:val="single" w:color="auto"/>
          <w:color w:val="auto"/>
        </w:rPr>
        <w:t>Total Requested Shares</w:t>
      </w:r>
      <w:r>
        <w:rPr>
          <w:rFonts w:ascii="Times New Roman" w:cs="Times New Roman" w:eastAsia="Times New Roman" w:hAnsi="Times New Roman"/>
          <w:sz w:val="18"/>
          <w:szCs w:val="18"/>
          <w:color w:val="auto"/>
        </w:rPr>
        <w:t>”). The Redeemable Shares for each Eligible Redeemer shall be determined in good faith by this Corporation by first multiplying the Legally Available Funds by a fraction: the numerator of which is the Total Requested Shares held by such Eligible Redeemer on an as-converted to Common Stock basis, and the denominator of which is the sum of all Total Requested Shares of all Eligible Redeemers under the Redemption Notice, on an as-converted to Common Stock basis (such figure shall be referred to herein as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Payout Proportion</w:t>
      </w:r>
      <w:r>
        <w:rPr>
          <w:rFonts w:ascii="Times New Roman" w:cs="Times New Roman" w:eastAsia="Times New Roman" w:hAnsi="Times New Roman"/>
          <w:sz w:val="18"/>
          <w:szCs w:val="18"/>
          <w:color w:val="auto"/>
        </w:rPr>
        <w:t>”). The Redeemable Shares shall be those shares of Series A-1 Preferred Stock, Series B Preferred Stock, Series C Preferred Stock and Series D Preferred Stock out of the Total Requested Shares that may be redeemed without exceeding the Maximum Payout Proportion. Redeemable Shares may only be a whole number of shares, and may consist of shares of multiple series of Preferred Stock, should the Total Requested Shares comprise more than one series of Preferred Stock.</w:t>
      </w:r>
    </w:p>
    <w:p>
      <w:pPr>
        <w:spacing w:after="0" w:line="193" w:lineRule="exact"/>
        <w:rPr>
          <w:rFonts w:ascii="Times New Roman" w:cs="Times New Roman" w:eastAsia="Times New Roman" w:hAnsi="Times New Roman"/>
          <w:sz w:val="18"/>
          <w:szCs w:val="18"/>
          <w:color w:val="auto"/>
        </w:rPr>
      </w:pPr>
    </w:p>
    <w:p>
      <w:pPr>
        <w:ind w:left="2" w:right="140" w:firstLine="1404"/>
        <w:spacing w:after="0" w:line="266" w:lineRule="auto"/>
        <w:tabs>
          <w:tab w:leader="none" w:pos="1658"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ten (10) calendar days of receiving a redemption request contemplated by Article IV.B.3(a), Article IV.B.3(b), Article IV.B.3(c), Article IV.B.3(d), Article IV.B.3(e) or Article IV.B.3(f), this Corporation shall send a notice (a “</w:t>
      </w:r>
      <w:r>
        <w:rPr>
          <w:rFonts w:ascii="Times New Roman" w:cs="Times New Roman" w:eastAsia="Times New Roman" w:hAnsi="Times New Roman"/>
          <w:sz w:val="17"/>
          <w:szCs w:val="17"/>
          <w:u w:val="single" w:color="auto"/>
          <w:color w:val="auto"/>
        </w:rPr>
        <w:t>Redemption Notice</w:t>
      </w:r>
      <w:r>
        <w:rPr>
          <w:rFonts w:ascii="Times New Roman" w:cs="Times New Roman" w:eastAsia="Times New Roman" w:hAnsi="Times New Roman"/>
          <w:sz w:val="17"/>
          <w:szCs w:val="17"/>
          <w:color w:val="auto"/>
        </w:rPr>
        <w:t>”) to all holders of shares of Preferred Stock setting forth: (i) which series (or sub-series, as applicable) of Preferred Stock requested a redemption and the number of shares of subject to such redemption; (ii) the then-current Redemption Price for such series (or sub-series, as applicable) of Preferred Stock to be redeemed;</w:t>
      </w:r>
    </w:p>
    <w:p>
      <w:pPr>
        <w:ind w:left="2" w:right="120" w:hanging="2"/>
        <w:spacing w:after="0" w:line="246" w:lineRule="auto"/>
        <w:tabs>
          <w:tab w:leader="none" w:pos="31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at which the applicable holders may obtain payment of such Redemption Price upon surrender of their share certificates; and (iv) what provisions of Article IV.B.3(g), if any, apply. Any additional requests for redemption, pursuant to any provision of Article IV.B.3, received by this Corporation within ten (10) calendar days of the date of a Redemption Notice shall be grouped together as a single request, such that all such requests shall be deemed to have been made simultaneously with the redemption request that triggered the original Redemption Notice (a “</w:t>
      </w:r>
      <w:r>
        <w:rPr>
          <w:rFonts w:ascii="Times New Roman" w:cs="Times New Roman" w:eastAsia="Times New Roman" w:hAnsi="Times New Roman"/>
          <w:sz w:val="18"/>
          <w:szCs w:val="18"/>
          <w:u w:val="single" w:color="auto"/>
          <w:color w:val="auto"/>
        </w:rPr>
        <w:t>Simultaneous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and the original Redemption Notice shall be promptly amended and restated and sent to all holders of shares of Preferred Stock in order to notify them of such Simultaneous Redemption.</w:t>
      </w:r>
    </w:p>
    <w:p>
      <w:pPr>
        <w:spacing w:after="0" w:line="1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2"/>
          </w:cols>
          <w:pgMar w:left="538" w:top="267" w:right="559" w:bottom="1440" w:gutter="0" w:footer="0" w:header="0"/>
        </w:sectPr>
      </w:pPr>
    </w:p>
    <w:bookmarkStart w:id="238" w:name="page239"/>
    <w:bookmarkEnd w:id="238"/>
    <w:p>
      <w:pPr>
        <w:ind w:firstLine="1404"/>
        <w:spacing w:after="0" w:line="248" w:lineRule="auto"/>
        <w:tabs>
          <w:tab w:leader="none" w:pos="161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If there has been a failure for any reason in payment of the Series F Redemption Price on the Series F Redemption Date, notwithstanding anything herein to the contrary, the Series F Redemption Price shall be automatically increased at the rate of 8% of the Series F Initial Purchase Price per annum on each outstanding share of Series F Preferred Stock, compounding from the Series F Redemption Date until the date that the Series F Redemption Price is paid in full. If there has been a failure for any reason in payment of the Series E Redemption Price on the Series E Redemption Date, notwithstanding anything herein to the contrary, the Series E Redemption Price shall be automatically increased at the rate of 8% of the Series E Initial Purchase Price per annum on each outstanding share of Series E Preferred Stock, compounding from the Series E Redemption Date until the date that the Series E Redemption Price is paid in full. If there has been a failure for any reason in payment of the Series D Redemption Price on the Series D Redemption Date, notwithstanding anything herein to the contrary, the Series D Redemption Price shall be automatically increased at the rate of 8% of the Series D Initial Purchase Price per annum on each outstanding share of Series D Preferred Stock, compounding from the Series D Redemption Date until the date that the Series D Redemption Price is paid in full. If there has been a failure for any reason in payment of the Series C Redemption Price on the Series C Redemption Date, notwithstanding anything herein to the contrary, the Series C Redemption Price shall be automatically increased at the rate of 8% of the Series C Initial Purchase Price per annum on each outstanding share of Series C Preferred Stock, compounding from the Series C Redemption Date until the date that the Series C Redemption Price is paid in full.</w:t>
      </w:r>
    </w:p>
    <w:p>
      <w:pPr>
        <w:spacing w:after="0" w:line="187" w:lineRule="exact"/>
        <w:rPr>
          <w:rFonts w:ascii="Times New Roman" w:cs="Times New Roman" w:eastAsia="Times New Roman" w:hAnsi="Times New Roman"/>
          <w:sz w:val="18"/>
          <w:szCs w:val="18"/>
          <w:color w:val="auto"/>
        </w:rPr>
      </w:pPr>
    </w:p>
    <w:p>
      <w:pPr>
        <w:ind w:right="20" w:firstLine="1404"/>
        <w:spacing w:after="0" w:line="264" w:lineRule="auto"/>
        <w:tabs>
          <w:tab w:leader="none" w:pos="161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prior to the Series A-1 Redemption Date, the Series B Redemption Date, the Series C Redemption Date, the Series D Redemption Date, the Series E Redemption Date or the Series F Redemption Date, as the case may be, this Corporation shall deposit the appropriate Redemption Price of all shares of Preferred Stock to be redeemed with a bank or trust company having aggregate capital and surplus in excess of $100,000,000, as a trust fund, with irrevocable instructions and authority to the bank or trust company to pay, on and after the Series A-1 Redemption Date, Series B Redemption Date, Series C Redemption Date, Series D Redemption Date, Series E Redemption Date or the Series F Redemption Date, as the case may be, such Redemption Price of the shares to their respective holders upon the surrender of their share certificates (or, if such holder alleges that such certificate or certificates have been lost, stolen or destroyed, a lost certificate affidavit and agreement reasonably acceptable to this Corporation to indemnify this Corporation against any claim that may be made against this Corporation on account of the alleged loss, theft or destruction of such certificate). Any funds deposited by this Corporation pursuant to this Article IV.B.3(j) for the redemption of shares of Preferred Stock thereafter converted into shares of Common Stock pursuant to Article IV.B.4 hereof shall be returned to this Corporation forthwith upon such conversion. The balance of any funds deposited by this Corporation pursuant to this Article IV.B.3(j) remaining unclaimed at the expiration of one (1) year following the date this Corporation first deposited the funds shall be returned to this Corporation promptly upon its written request.</w:t>
      </w:r>
    </w:p>
    <w:p>
      <w:pPr>
        <w:spacing w:after="0" w:line="175" w:lineRule="exact"/>
        <w:rPr>
          <w:rFonts w:ascii="Times New Roman" w:cs="Times New Roman" w:eastAsia="Times New Roman" w:hAnsi="Times New Roman"/>
          <w:sz w:val="17"/>
          <w:szCs w:val="17"/>
          <w:color w:val="auto"/>
        </w:rPr>
      </w:pPr>
    </w:p>
    <w:p>
      <w:pPr>
        <w:ind w:right="120" w:firstLine="1404"/>
        <w:spacing w:after="0" w:line="251" w:lineRule="auto"/>
        <w:tabs>
          <w:tab w:leader="none" w:pos="165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Article IV.B.3(g), on or after the Series A-1 Redemption Date, Series B Redemption Date, Series C Redemption Date, Series D Redemption Date, Series E Redemption Date or Series F Redemption Date, as the case may be, each holder of shares of Preferred Stock to be redeemed shall surrender such holder’s certificates representing such shares to this Corporation in the manner and at the place designated in the Redemption Notice, and thereupon the appropriate Redemption Price of such shares shall be payable to the order of the person whose name appears on such certificate or certificates as the owner thereof and each surrendered certificate shall be canceled. In the event less than all the shares of Preferred Stock represented by such certificates are redeemed, a new certificate shall be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00"/>
          </w:cols>
          <w:pgMar w:left="540" w:top="267" w:right="559" w:bottom="1440" w:gutter="0" w:footer="0" w:header="0"/>
        </w:sectPr>
      </w:pPr>
    </w:p>
    <w:bookmarkStart w:id="239" w:name="page240"/>
    <w:bookmarkEnd w:id="239"/>
    <w:p>
      <w:pPr>
        <w:ind w:right="10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issued representing the unredeemed shares of Preferred Stock. From and after the Series A-1 Redemption Date, Series B Redemption Date, Series C Redemption Date, Series D Redemption Date, Series E Redemption Date or Series F Redemption Date, as the case may be, unless there shall have been a failure in payment for any reason of the appropriate Redemption Price or this Corporation is unable to pay such Redemption Price due to not having sufficient Legally Available Funds, all rights of the holder of such shares as holder of Preferred Stock (except the right to receive the Redemption Price upon surrender of their certificates), shall cease and terminate with respect to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shares of Preferred Stock are not redeemed for the Redemption Price in accordance with this Article IV.B.3 (including Article IV.B.3(i)), such shares of Preferred Stock shall remain outstanding and shall be entitled to all of the rights and preferences provided herein.</w:t>
      </w:r>
    </w:p>
    <w:p>
      <w:pPr>
        <w:spacing w:after="0" w:line="187" w:lineRule="exact"/>
        <w:rPr>
          <w:sz w:val="20"/>
          <w:szCs w:val="20"/>
          <w:color w:val="auto"/>
        </w:rPr>
      </w:pPr>
    </w:p>
    <w:p>
      <w:pPr>
        <w:ind w:left="1140" w:hanging="169"/>
        <w:spacing w:after="0"/>
        <w:tabs>
          <w:tab w:leader="none" w:pos="11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The holders of the Preferred Stock shall have conversion rights as follows (the “</w:t>
      </w:r>
      <w:r>
        <w:rPr>
          <w:rFonts w:ascii="Times New Roman" w:cs="Times New Roman" w:eastAsia="Times New Roman" w:hAnsi="Times New Roman"/>
          <w:sz w:val="18"/>
          <w:szCs w:val="18"/>
          <w:u w:val="single" w:color="auto"/>
          <w:color w:val="auto"/>
        </w:rPr>
        <w:t>Conversion Rights</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firstLine="1404"/>
        <w:spacing w:after="0" w:line="249" w:lineRule="auto"/>
        <w:tabs>
          <w:tab w:leader="none" w:pos="164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Subject to and in compliance with the provisions of this Article IV.B.4, any shares of Preferred Stock may, at the option of the holder, be converted at any time into fully paid and nonassessable shares of Common Stock. The number of shares of Common Stock to which a holder of Series F Preferred Stock, Series E Preferred Stock, Series D Preferred Stock, Series C Preferred Stock, Series B Preferred Stock or Series A-1 Preferred Stock shall be entitled upon conversion shall be the product obtained by multiplying the Series F Conversion Rate, Series E Conversion Rate, Series D Conversion Rate, Series C Conversion Rate, Series B Conversion Rate or Series A-1 Conversion Rate (each as defined in and determined as provided in Article IV.B.4(c) and collectively, as applicable,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as applicable, then in effect, by the number of shares of Series F Preferred Stock, Series E Preferred Stock, Series D Preferred Stock, Series C Preferred Stock, Series B Preferred Stock or Series A-1 Preferred Stock being converted.</w:t>
      </w:r>
    </w:p>
    <w:p>
      <w:pPr>
        <w:spacing w:after="0" w:line="190" w:lineRule="exact"/>
        <w:rPr>
          <w:sz w:val="20"/>
          <w:szCs w:val="20"/>
          <w:color w:val="auto"/>
        </w:rPr>
      </w:pPr>
    </w:p>
    <w:p>
      <w:pPr>
        <w:ind w:right="20" w:firstLine="1406"/>
        <w:spacing w:after="0" w:line="248" w:lineRule="auto"/>
        <w:rPr>
          <w:sz w:val="20"/>
          <w:szCs w:val="20"/>
          <w:color w:val="auto"/>
        </w:rPr>
      </w:pPr>
      <w:r>
        <w:rPr>
          <w:rFonts w:ascii="Times New Roman" w:cs="Times New Roman" w:eastAsia="Times New Roman" w:hAnsi="Times New Roman"/>
          <w:sz w:val="18"/>
          <w:szCs w:val="18"/>
          <w:color w:val="auto"/>
        </w:rPr>
        <w:t>Each holder of Preferred Stock who desires to convert shares into shares of Common Stock pursuant to this Article IV.B.4(a) shall surrender the certificate or certificates representing the shares being converted (or, if such holder alleges that such certificate or certificates have been lost, stolen or destroyed, a lost certificate affidavit and agreement reasonably acceptable to this Corporation to indemnify this Corporation against any claim that may be made against this Corporation on account of the alleged loss, theft or destruction of such certificate), duly endorsed, at the office of this Corporation or any transfer agent for such shares and shall give written notice to this Corporation at such office that such holder elects to convert such shares. Such notice shall state the number of shares of Preferred Stock being converted and, optionally, the preferred form of payment of declared and unpaid dividends. Thereupon, this Corporation shall promptly issue and deliver at such office to such holder a certificate or certificates for the number of shares of Common Stock to which such holder is entitled and shall promptly pay in cash, or, at this Corporation’s option (unless otherwise indicated prior to conversion by the notice of conversion provided by such holder), in shares of Common Stock (at the Common Stock’s fair market value determined in good faith by the Board of Directors as of the date of such conversion), any declared and unpaid dividends on the shares of Preferred Stock being converted. Such conversion shall be deemed to have been made at the close of business on the date of such surrender of the certificates representing the shares of Preferred Stock to be converted, and the person entitled to receive the shares of Common Stock issuable upon such conversion shall be treated for all</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20"/>
          </w:cols>
          <w:pgMar w:left="540" w:top="267" w:right="539" w:bottom="1440" w:gutter="0" w:footer="0" w:header="0"/>
        </w:sectPr>
      </w:pPr>
    </w:p>
    <w:bookmarkStart w:id="240" w:name="page241"/>
    <w:bookmarkEnd w:id="240"/>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purposes as the record holder of such shares of Common Stock on such date. The Requisite Holders shall have the right to challenge any determination by the Board of Directors of fair market value pursuant to this Article IV.B.4(a), in which case the determination of fair market value shall be made by an independent appraiser selected jointly by the Board of Directors and the challenging parties, the cost of such appraisal to be borne equally by the Corporation and the challenging parties.</w:t>
      </w:r>
    </w:p>
    <w:p>
      <w:pPr>
        <w:spacing w:after="0" w:line="180" w:lineRule="exact"/>
        <w:rPr>
          <w:sz w:val="20"/>
          <w:szCs w:val="20"/>
          <w:color w:val="auto"/>
        </w:rPr>
      </w:pPr>
    </w:p>
    <w:p>
      <w:pPr>
        <w:ind w:left="1660" w:hanging="256"/>
        <w:spacing w:after="0"/>
        <w:tabs>
          <w:tab w:leader="none" w:pos="1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right="60" w:firstLine="1944"/>
        <w:spacing w:after="0" w:line="250" w:lineRule="auto"/>
        <w:tabs>
          <w:tab w:leader="none" w:pos="215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Preferred Stock shall automatically be converted into shares of Common Stock, based on the then-effective applicable Conversion Rate: (x) upon the closing of the sale of shares of Common Stock to the public at a price of at least $1.33 per share (subject to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covering the offer and sale of Common Stock for the account of this Corporation (1) which results in at least $100,000,000 of gross proceeds to the Corporation and (2) in which the pre-money valuation of the Corporation immediately prior to such public offering is at least $700,000,000 (a “</w:t>
      </w:r>
      <w:r>
        <w:rPr>
          <w:rFonts w:ascii="Times New Roman" w:cs="Times New Roman" w:eastAsia="Times New Roman" w:hAnsi="Times New Roman"/>
          <w:sz w:val="18"/>
          <w:szCs w:val="18"/>
          <w:u w:val="single" w:color="auto"/>
          <w:color w:val="auto"/>
        </w:rPr>
        <w:t>QIPO</w:t>
      </w:r>
      <w:r>
        <w:rPr>
          <w:rFonts w:ascii="Times New Roman" w:cs="Times New Roman" w:eastAsia="Times New Roman" w:hAnsi="Times New Roman"/>
          <w:sz w:val="18"/>
          <w:szCs w:val="18"/>
          <w:color w:val="auto"/>
        </w:rPr>
        <w:t>”) or (y) upon the written consent of the Requisite Holders.</w:t>
      </w:r>
    </w:p>
    <w:p>
      <w:pPr>
        <w:spacing w:after="0" w:line="186" w:lineRule="exact"/>
        <w:rPr>
          <w:rFonts w:ascii="Times New Roman" w:cs="Times New Roman" w:eastAsia="Times New Roman" w:hAnsi="Times New Roman"/>
          <w:sz w:val="18"/>
          <w:szCs w:val="18"/>
          <w:color w:val="auto"/>
        </w:rPr>
      </w:pPr>
    </w:p>
    <w:p>
      <w:pPr>
        <w:ind w:firstLine="1944"/>
        <w:spacing w:after="0" w:line="264" w:lineRule="auto"/>
        <w:tabs>
          <w:tab w:leader="none" w:pos="2206"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occurrence of an event giving rise to the conversion specified by Article IV.B.4(b)(i), the outstanding shares of Preferred Stock shall be converted automatically into shares of Common Stock without any further action by the holders of such shares and whether or not the certificates representing such shares are surrendered to this Corporation or its transfer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Corporation shall not be obligated to issue certificates evidencing the shares of Common Stock issuable upon such conversion unless the certificates evidencing such shares of Preferred Stock are either delivered to this Corporation or its transfer agent as provided below, or the holder notifies this Corporation or its transfer agent that such certificates have been lost, stolen or destroyed and executes an agreement reasonably satisfactory to this Corporation to indemnify this Corporation from any loss incurred by it in connection with such certificates. Upon the occurrence of such automatic conversion of any shares of Preferred Stock, this Corporation shall provide a notice of the automatic conversion to the holders of Preferred Stock, and the holders of such shares shall surrender the certificates representing such shares at the office of this Corporation or any transfer agent for such shares. Thereupon, there shall be issued and delivered to such holders promptly at such office and in the holders’ names as shown on such surrendered certificate or certificates, a certificate or certificates for the number of shares of Common Stock into which the shares of Preferred Stock were convertible on the date on which such automatic conversion occurred, and any declared and unpaid dividends shall be paid in accordance with the provisions of Article IV.B.4(a).</w:t>
      </w:r>
    </w:p>
    <w:p>
      <w:pPr>
        <w:spacing w:after="0" w:line="175" w:lineRule="exact"/>
        <w:rPr>
          <w:rFonts w:ascii="Times New Roman" w:cs="Times New Roman" w:eastAsia="Times New Roman" w:hAnsi="Times New Roman"/>
          <w:sz w:val="17"/>
          <w:szCs w:val="17"/>
          <w:color w:val="auto"/>
        </w:rPr>
      </w:pPr>
    </w:p>
    <w:p>
      <w:pPr>
        <w:ind w:right="20" w:firstLine="1404"/>
        <w:spacing w:after="0" w:line="255" w:lineRule="auto"/>
        <w:tabs>
          <w:tab w:leader="none" w:pos="164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conversion rate in effect at any time for conversion of each share of Series F Preferred Stock (the “</w:t>
      </w:r>
      <w:r>
        <w:rPr>
          <w:rFonts w:ascii="Times New Roman" w:cs="Times New Roman" w:eastAsia="Times New Roman" w:hAnsi="Times New Roman"/>
          <w:sz w:val="18"/>
          <w:szCs w:val="18"/>
          <w:u w:val="single" w:color="auto"/>
          <w:color w:val="auto"/>
        </w:rPr>
        <w:t>Series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shall be the quotient obtained by dividing the Series F Initial Purchase Price by the Series F Conversion Price (as defined in and calculated as provided in Article IV.B.4(d)). The conversion rate in effect at any time for conversion of each share of Series E Preferred Stock (the “</w:t>
      </w:r>
      <w:r>
        <w:rPr>
          <w:rFonts w:ascii="Times New Roman" w:cs="Times New Roman" w:eastAsia="Times New Roman" w:hAnsi="Times New Roman"/>
          <w:sz w:val="18"/>
          <w:szCs w:val="18"/>
          <w:u w:val="single" w:color="auto"/>
          <w:color w:val="auto"/>
        </w:rPr>
        <w:t>Series E Conversion Rate</w:t>
      </w:r>
      <w:r>
        <w:rPr>
          <w:rFonts w:ascii="Times New Roman" w:cs="Times New Roman" w:eastAsia="Times New Roman" w:hAnsi="Times New Roman"/>
          <w:sz w:val="18"/>
          <w:szCs w:val="18"/>
          <w:color w:val="auto"/>
        </w:rPr>
        <w:t>”) shall be the quotient obtained by dividing the Series E Initial Purchase Price by the Series 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0"/>
          </w:cols>
          <w:pgMar w:left="540" w:top="267" w:right="559" w:bottom="1440" w:gutter="0" w:footer="0" w:header="0"/>
        </w:sectPr>
      </w:pPr>
    </w:p>
    <w:bookmarkStart w:id="241" w:name="page242"/>
    <w:bookmarkEnd w:id="241"/>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Conversion Price (as defined in and calculated as provided in Article IV.B.4(d)). The conversion rate in effect at any time for conversion of each share of Series D Preferred Stock (the “</w:t>
      </w:r>
      <w:r>
        <w:rPr>
          <w:rFonts w:ascii="Times New Roman" w:cs="Times New Roman" w:eastAsia="Times New Roman" w:hAnsi="Times New Roman"/>
          <w:sz w:val="18"/>
          <w:szCs w:val="18"/>
          <w:u w:val="single" w:color="auto"/>
          <w:color w:val="auto"/>
        </w:rPr>
        <w:t>Series D Conversion Rate</w:t>
      </w:r>
      <w:r>
        <w:rPr>
          <w:rFonts w:ascii="Times New Roman" w:cs="Times New Roman" w:eastAsia="Times New Roman" w:hAnsi="Times New Roman"/>
          <w:sz w:val="18"/>
          <w:szCs w:val="18"/>
          <w:color w:val="auto"/>
        </w:rPr>
        <w:t>”) shall be the quotient obtained by dividing the Series D Initial Purchase Price by the Series D Conversion Price (as defined in and calculated as provided in Article IV.B.4(d)). The conversion rate in effect at any time for conversion of each share of Series C Preferred Stock (the “</w:t>
      </w:r>
      <w:r>
        <w:rPr>
          <w:rFonts w:ascii="Times New Roman" w:cs="Times New Roman" w:eastAsia="Times New Roman" w:hAnsi="Times New Roman"/>
          <w:sz w:val="18"/>
          <w:szCs w:val="18"/>
          <w:u w:val="single" w:color="auto"/>
          <w:color w:val="auto"/>
        </w:rPr>
        <w:t>Series C Conversion Rate</w:t>
      </w:r>
      <w:r>
        <w:rPr>
          <w:rFonts w:ascii="Times New Roman" w:cs="Times New Roman" w:eastAsia="Times New Roman" w:hAnsi="Times New Roman"/>
          <w:sz w:val="18"/>
          <w:szCs w:val="18"/>
          <w:color w:val="auto"/>
        </w:rPr>
        <w:t>”) shall be the quotient obtained by dividing the Series C Initial Purchase Price by the Series C Conversion Price (as defined in and calculated as provided in Article IV.B.4(d)). The conversion rate in effect at any time for conversion of each share of Series B Preferred Stock (the “</w:t>
      </w:r>
      <w:r>
        <w:rPr>
          <w:rFonts w:ascii="Times New Roman" w:cs="Times New Roman" w:eastAsia="Times New Roman" w:hAnsi="Times New Roman"/>
          <w:sz w:val="18"/>
          <w:szCs w:val="18"/>
          <w:u w:val="single" w:color="auto"/>
          <w:color w:val="auto"/>
        </w:rPr>
        <w:t>Series B Conversion Rate</w:t>
      </w:r>
      <w:r>
        <w:rPr>
          <w:rFonts w:ascii="Times New Roman" w:cs="Times New Roman" w:eastAsia="Times New Roman" w:hAnsi="Times New Roman"/>
          <w:sz w:val="18"/>
          <w:szCs w:val="18"/>
          <w:color w:val="auto"/>
        </w:rPr>
        <w:t>”) shall be the quotient obtained by dividing the Series B Initial Purchase Price by the Series B Conversion Price (as defined in and calculated as provided in Article IV.B.4(d)). The conversion rate in effect at any time for conversion of each share of Series A-1 Preferred Stock (the “</w:t>
      </w:r>
      <w:r>
        <w:rPr>
          <w:rFonts w:ascii="Times New Roman" w:cs="Times New Roman" w:eastAsia="Times New Roman" w:hAnsi="Times New Roman"/>
          <w:sz w:val="18"/>
          <w:szCs w:val="18"/>
          <w:u w:val="single" w:color="auto"/>
          <w:color w:val="auto"/>
        </w:rPr>
        <w:t>Series A-1 Conversion Rate</w:t>
      </w:r>
      <w:r>
        <w:rPr>
          <w:rFonts w:ascii="Times New Roman" w:cs="Times New Roman" w:eastAsia="Times New Roman" w:hAnsi="Times New Roman"/>
          <w:sz w:val="18"/>
          <w:szCs w:val="18"/>
          <w:color w:val="auto"/>
        </w:rPr>
        <w:t>”) shall be the quotient obtained by dividing the Series A-1 Initial Purchase Price by the Series A-1 Conversion Price (as defined in and calculated as provided in Article IV.B.4(d)).</w:t>
      </w:r>
    </w:p>
    <w:p>
      <w:pPr>
        <w:spacing w:after="0" w:line="187" w:lineRule="exact"/>
        <w:rPr>
          <w:sz w:val="20"/>
          <w:szCs w:val="20"/>
          <w:color w:val="auto"/>
        </w:rPr>
      </w:pPr>
    </w:p>
    <w:p>
      <w:pPr>
        <w:ind w:right="40" w:firstLine="1404"/>
        <w:spacing w:after="0" w:line="248" w:lineRule="auto"/>
        <w:tabs>
          <w:tab w:leader="none" w:pos="1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The conversion price for the Series F Preferred Stock (the “</w:t>
      </w:r>
      <w:r>
        <w:rPr>
          <w:rFonts w:ascii="Times New Roman" w:cs="Times New Roman" w:eastAsia="Times New Roman" w:hAnsi="Times New Roman"/>
          <w:sz w:val="18"/>
          <w:szCs w:val="18"/>
          <w:u w:val="single" w:color="auto"/>
          <w:color w:val="auto"/>
        </w:rPr>
        <w:t>Series F Conversion Price</w:t>
      </w:r>
      <w:r>
        <w:rPr>
          <w:rFonts w:ascii="Times New Roman" w:cs="Times New Roman" w:eastAsia="Times New Roman" w:hAnsi="Times New Roman"/>
          <w:sz w:val="18"/>
          <w:szCs w:val="18"/>
          <w:color w:val="auto"/>
        </w:rPr>
        <w:t>”) as of the date upon which this Restated Certificate of Incorporation is accepted for filing by the Secretary of State of the State of Delaware (the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shall initially be the Series F Initial Purchase Price, the conversion price for the Series E Preferred Stock (the “</w:t>
      </w:r>
      <w:r>
        <w:rPr>
          <w:rFonts w:ascii="Times New Roman" w:cs="Times New Roman" w:eastAsia="Times New Roman" w:hAnsi="Times New Roman"/>
          <w:sz w:val="18"/>
          <w:szCs w:val="18"/>
          <w:u w:val="single" w:color="auto"/>
          <w:color w:val="auto"/>
        </w:rPr>
        <w:t>Series E Conversion Price</w:t>
      </w:r>
      <w:r>
        <w:rPr>
          <w:rFonts w:ascii="Times New Roman" w:cs="Times New Roman" w:eastAsia="Times New Roman" w:hAnsi="Times New Roman"/>
          <w:sz w:val="18"/>
          <w:szCs w:val="18"/>
          <w:color w:val="auto"/>
        </w:rPr>
        <w:t>”) as of the Filing Date shall initially be the Series E Initial Purchase Price, the conversion price for the Series D Preferred Stock (the “</w:t>
      </w:r>
      <w:r>
        <w:rPr>
          <w:rFonts w:ascii="Times New Roman" w:cs="Times New Roman" w:eastAsia="Times New Roman" w:hAnsi="Times New Roman"/>
          <w:sz w:val="18"/>
          <w:szCs w:val="18"/>
          <w:u w:val="single" w:color="auto"/>
          <w:color w:val="auto"/>
        </w:rPr>
        <w:t>Series D Conversion Price</w:t>
      </w:r>
      <w:r>
        <w:rPr>
          <w:rFonts w:ascii="Times New Roman" w:cs="Times New Roman" w:eastAsia="Times New Roman" w:hAnsi="Times New Roman"/>
          <w:sz w:val="18"/>
          <w:szCs w:val="18"/>
          <w:color w:val="auto"/>
        </w:rPr>
        <w:t>”) as of the Filing Date shall initially be the Series D Initial Purchase Price, the conversion price for the Series C Preferred Stock (the “</w:t>
      </w:r>
      <w:r>
        <w:rPr>
          <w:rFonts w:ascii="Times New Roman" w:cs="Times New Roman" w:eastAsia="Times New Roman" w:hAnsi="Times New Roman"/>
          <w:sz w:val="18"/>
          <w:szCs w:val="18"/>
          <w:u w:val="single" w:color="auto"/>
          <w:color w:val="auto"/>
        </w:rPr>
        <w:t>Series C Conversion Price</w:t>
      </w:r>
      <w:r>
        <w:rPr>
          <w:rFonts w:ascii="Times New Roman" w:cs="Times New Roman" w:eastAsia="Times New Roman" w:hAnsi="Times New Roman"/>
          <w:sz w:val="18"/>
          <w:szCs w:val="18"/>
          <w:color w:val="auto"/>
        </w:rPr>
        <w:t>”) as of the Filing Date shall initially be the Series C Initial Purchase Price, the conversion price for the Series B Preferred Stock (the “</w:t>
      </w:r>
      <w:r>
        <w:rPr>
          <w:rFonts w:ascii="Times New Roman" w:cs="Times New Roman" w:eastAsia="Times New Roman" w:hAnsi="Times New Roman"/>
          <w:sz w:val="18"/>
          <w:szCs w:val="18"/>
          <w:u w:val="single" w:color="auto"/>
          <w:color w:val="auto"/>
        </w:rPr>
        <w:t>Series B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as of the Filing Date shall initially be the Series C Initial Purchase Price and the conversion price for the Series A-1 Preferred Stock (the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A-1 Conversion Price</w:t>
      </w:r>
      <w:r>
        <w:rPr>
          <w:rFonts w:ascii="Times New Roman" w:cs="Times New Roman" w:eastAsia="Times New Roman" w:hAnsi="Times New Roman"/>
          <w:sz w:val="18"/>
          <w:szCs w:val="18"/>
          <w:color w:val="auto"/>
        </w:rPr>
        <w:t>”) as of the Filing Date shall initially be the Series C Initial Purchase Price. The Series A-1 Conversion Price, the Series B Conversion Price, the Series C Conversion Price, the Series D Conversion Price, the Series E Conversion Price and the Series F Conversion Price shall be adjusted from time to time in accordance with this Article IV.B.4, and all references herein shall mean the Series F Conversion Price, Series E Conversion Price, Series D Conversion Price, Series C Conversion Price, Series B Conversion Price and Series A-1 Conversion Price as so adjusted (sometimes referred to hereinafter as the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of the applicable Preferred Stock).</w:t>
      </w:r>
    </w:p>
    <w:p>
      <w:pPr>
        <w:spacing w:after="0" w:line="189" w:lineRule="exact"/>
        <w:rPr>
          <w:rFonts w:ascii="Times New Roman" w:cs="Times New Roman" w:eastAsia="Times New Roman" w:hAnsi="Times New Roman"/>
          <w:sz w:val="18"/>
          <w:szCs w:val="18"/>
          <w:color w:val="auto"/>
        </w:rPr>
      </w:pPr>
    </w:p>
    <w:p>
      <w:pPr>
        <w:ind w:firstLine="1404"/>
        <w:spacing w:after="0" w:line="249" w:lineRule="auto"/>
        <w:tabs>
          <w:tab w:leader="none" w:pos="164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this Corporation shall, on or after the Filing Date, effect a subdivision of the outstanding Common Stock without a corresponding subdivision of the Series A-1 Preferred Stock, Series B Preferred Stock, Series C Preferred Stock, Series D Preferred Stock, Series E Preferred Stock or Series F Preferred Stock, then the applicable Conversion Price in effect for such series of Preferred Stock immediately before such respective subdivision shall be proportionately decreased. Conversely, if this Corporation shall at any time or from time to time after the Filing Date combine the outstanding shares of Common Stock into a lower number of shares without a corresponding combination of the Series A-1 Preferred Stock, Series B Preferred Stock, Series C Preferred Stock, Series D Preferred Stock, Series E Preferred Stock or Series F Preferred Stock, then the applicable Conversion Price in effect for such series of Preferred Stock immediately before such combination shall be proportionately increased. Any adjustment under this Article IV.B.4(e) shall become effective at the close of business on the date such subdivision or combination becomes effective.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00"/>
          </w:cols>
          <w:pgMar w:left="540" w:top="267" w:right="559" w:bottom="1440" w:gutter="0" w:footer="0" w:header="0"/>
        </w:sectPr>
      </w:pPr>
    </w:p>
    <w:bookmarkStart w:id="242" w:name="page243"/>
    <w:bookmarkEnd w:id="242"/>
    <w:p>
      <w:pPr>
        <w:ind w:left="2" w:right="100" w:firstLine="1404"/>
        <w:spacing w:after="0" w:line="264" w:lineRule="auto"/>
        <w:tabs>
          <w:tab w:leader="none" w:pos="1628"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Adjustment for Common Stock Dividends and Distributions</w:t>
      </w:r>
      <w:r>
        <w:rPr>
          <w:rFonts w:ascii="Times New Roman" w:cs="Times New Roman" w:eastAsia="Times New Roman" w:hAnsi="Times New Roman"/>
          <w:sz w:val="17"/>
          <w:szCs w:val="17"/>
          <w:color w:val="auto"/>
        </w:rPr>
        <w:t>. If this Corporation at any time or from time to time after the Filing Date makes, or fixes a record date for the determination of holders of Common Stock entitled to receive, a dividend or other distribution payable in shares of Common Stock, in each such event the applicable Conversion Price then in effect for shares of Preferred Stock shall be decreased as of the time of such issuance or, in the event such record date is fixed, as of the close of business on such record date, by multiplying the Conversion Price for such share of Preferred Stock then in effect by a fraction: (i) the numerator of which is the total number of shares of Common Stock issued and outstanding immediately prior to the time of such issuance or the close of business on such record date; and (ii) the denominator of which is the sum of</w:t>
      </w:r>
    </w:p>
    <w:p>
      <w:pPr>
        <w:spacing w:after="0" w:line="1" w:lineRule="exact"/>
        <w:rPr>
          <w:rFonts w:ascii="Times New Roman" w:cs="Times New Roman" w:eastAsia="Times New Roman" w:hAnsi="Times New Roman"/>
          <w:sz w:val="17"/>
          <w:szCs w:val="17"/>
          <w:color w:val="auto"/>
        </w:rPr>
      </w:pPr>
    </w:p>
    <w:p>
      <w:pPr>
        <w:ind w:left="2" w:right="40" w:hanging="2"/>
        <w:spacing w:after="0" w:line="246" w:lineRule="auto"/>
        <w:tabs>
          <w:tab w:leader="none" w:pos="2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number of shares of Common Stock issued and outstanding immediately prior to the time of such issuance or the close of business on such record date, and (y) the number of shares of Common Stock issuable in payment of such dividend or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record date is fixed and such dividend is not fully paid or if such distribution is not fully made on the date fixed therefor, such Conversion Price shall be recomputed accordingly as of the close of business on such record date and thereafter such Conversion Price shall be adjusted pursuant to this Article IV.B.4(f) to reflect the actual payment of such dividend or distribution;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 such adjustment shall be made if the holders of Preferred Stock simultaneously receive a dividend or other distribution of shares of Common Stock in a number equal to the number of shares of Common Stock as they would have received if all outstanding shares of such Preferred Stock had been converted into Common Stock on the date of such event.</w:t>
      </w:r>
    </w:p>
    <w:p>
      <w:pPr>
        <w:spacing w:after="0" w:line="191" w:lineRule="exact"/>
        <w:rPr>
          <w:rFonts w:ascii="Times New Roman" w:cs="Times New Roman" w:eastAsia="Times New Roman" w:hAnsi="Times New Roman"/>
          <w:sz w:val="18"/>
          <w:szCs w:val="18"/>
          <w:color w:val="auto"/>
        </w:rPr>
      </w:pPr>
    </w:p>
    <w:p>
      <w:pPr>
        <w:ind w:left="2" w:firstLine="1404"/>
        <w:spacing w:after="0" w:line="250" w:lineRule="auto"/>
        <w:tabs>
          <w:tab w:leader="none" w:pos="16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If this Corporation at any time or from time to time after the Filing Date makes or issues, or fixes a record date for the determination of holders of Common Stock entitled to receive, a dividend or other distribution payable in securities of this Corporation (other than a distribution of shares of Common Stock in respect of outstanding shares of Common Stock) or in other property and the provisions of Article IV.B.1 do not apply to such dividend or distribution, then and in each such event the holders of shares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Preferred Stock had been converted into Common Stock on the date of such event.</w:t>
      </w:r>
    </w:p>
    <w:p>
      <w:pPr>
        <w:spacing w:after="0" w:line="186" w:lineRule="exact"/>
        <w:rPr>
          <w:rFonts w:ascii="Times New Roman" w:cs="Times New Roman" w:eastAsia="Times New Roman" w:hAnsi="Times New Roman"/>
          <w:sz w:val="18"/>
          <w:szCs w:val="18"/>
          <w:color w:val="auto"/>
        </w:rPr>
      </w:pPr>
    </w:p>
    <w:p>
      <w:pPr>
        <w:ind w:left="2" w:right="80" w:firstLine="1404"/>
        <w:spacing w:after="0" w:line="249" w:lineRule="auto"/>
        <w:tabs>
          <w:tab w:leader="none" w:pos="16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Reclassification, Exchange and Substitution</w:t>
      </w:r>
      <w:r>
        <w:rPr>
          <w:rFonts w:ascii="Times New Roman" w:cs="Times New Roman" w:eastAsia="Times New Roman" w:hAnsi="Times New Roman"/>
          <w:sz w:val="18"/>
          <w:szCs w:val="18"/>
          <w:color w:val="auto"/>
        </w:rPr>
        <w:t>. If at any time or from time to time after the Filing Date the Common Stock issuable upon the conversion of any share of Preferred Stock is changed into the same or a different number of shares of any class or classes of stock, whether by recapitalization, reclassification or otherwise (other than an Acquisition or Asset Transfer, each as defined below, or a subdivision or combination of shares, stock dividend or reorganization, merger, consolidation or sale of assets provided for elsewhere in this Article IV.B.4), then in each such event, provision shall be made so that the holders of shares of Preferred Stock shall thereafter be entitled to receive, upon the conversion of such Preferred Stock, that number of shares of stock or other securities or property of this Corporation upon such recapitalization, reclassification or other change to which a holder of that number of shares of Common Stock deliverable upon conversion of such share of Preferred Stock would have been entitled as a result of such recapitalization, reclassification or other change, all subject to further adjustment as provided herein or with respect to such other securities or property by the terms thereof.</w:t>
      </w:r>
    </w:p>
    <w:p>
      <w:pPr>
        <w:spacing w:after="0" w:line="12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82"/>
          </w:cols>
          <w:pgMar w:left="538" w:top="267" w:right="579" w:bottom="1440" w:gutter="0" w:footer="0" w:header="0"/>
        </w:sectPr>
      </w:pPr>
    </w:p>
    <w:bookmarkStart w:id="243" w:name="page244"/>
    <w:bookmarkEnd w:id="243"/>
    <w:p>
      <w:pPr>
        <w:ind w:firstLine="1404"/>
        <w:spacing w:after="0" w:line="248" w:lineRule="auto"/>
        <w:tabs>
          <w:tab w:leader="none" w:pos="161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Reorganizations, Mergers or Consolidations</w:t>
      </w:r>
      <w:r>
        <w:rPr>
          <w:rFonts w:ascii="Times New Roman" w:cs="Times New Roman" w:eastAsia="Times New Roman" w:hAnsi="Times New Roman"/>
          <w:sz w:val="18"/>
          <w:szCs w:val="18"/>
          <w:color w:val="auto"/>
        </w:rPr>
        <w:t>. If at any time or from time to time after the Filing Date there is a capital reorganization of the Common Stock or a merger or consolidation of this Corporation with or into another corporation or another entity or person (other than an Acquisition or Asset Transfer that is deemed a liquidation, or a subdivision or combination of shares, stock dividend or reorganization, merger, consolidation or sale of assets provided for elsewhere in this Article IV.B.4), then as a part of such capital reorganization, provision shall be made so that the holders of shares of Preferred Stock shall thereafter be entitled to receive, upon the conversion of such shares of Preferred Stock, that number of shares of stock or other securities or property of this Corporation to which a holder of that number of shares of Common Stock deliverable upon conversion of such Preferred Stock would have been entitled as a result of such capital reorganization, merger or consolidation. In any such case, appropriate adjustment shall be made in the application of the provisions of this Article IV.B.4 with respect to the rights of the holders of Preferred Stock after the capital reorganization such that the provisions of this Article IV.B.4 (including adjustment of the applicable Conversion Price for such Preferred Stock then in effect and the number of shares issuable upon conversion of such Preferred Stock) shall be applicable after that event and be as nearly equivalent as practicable.</w:t>
      </w:r>
    </w:p>
    <w:p>
      <w:pPr>
        <w:spacing w:after="0" w:line="191" w:lineRule="exact"/>
        <w:rPr>
          <w:rFonts w:ascii="Times New Roman" w:cs="Times New Roman" w:eastAsia="Times New Roman" w:hAnsi="Times New Roman"/>
          <w:sz w:val="18"/>
          <w:szCs w:val="18"/>
          <w:color w:val="auto"/>
        </w:rPr>
      </w:pPr>
    </w:p>
    <w:p>
      <w:pPr>
        <w:ind w:left="1620" w:hanging="216"/>
        <w:spacing w:after="0"/>
        <w:tabs>
          <w:tab w:leader="none" w:pos="1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Shares Below Conversion Price</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right="20" w:firstLine="2377"/>
        <w:spacing w:after="0" w:line="250" w:lineRule="auto"/>
        <w:tabs>
          <w:tab w:leader="none" w:pos="266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w:t>
      </w:r>
      <w:r>
        <w:rPr>
          <w:rFonts w:ascii="Times New Roman" w:cs="Times New Roman" w:eastAsia="Times New Roman" w:hAnsi="Times New Roman"/>
          <w:sz w:val="18"/>
          <w:szCs w:val="18"/>
          <w:color w:val="auto"/>
        </w:rPr>
        <w:t>. If at any time or from time to time after the Filing Date, this Corporation issues or sells, or is deemed by the express provisions of this Article IV.B.4(j) to have issued or sold, Additional Shares of Common Stock (as defined below), other than as a dividend or other distribution on any class of stock as provided in Article IV.B.4(f) above, and other than a subdivision or combination of shares of Common Stock as provided in Article IV.B.4(e) above, for an Effective Price (as defined below) less than the then-effective applicable Conversion Price in effect immediately prior to such issuance or at no Effective Price, then, and in each such case, such then-existing applicable Conversion Price shall be reduced, as of the opening of business on the date of such issue or sale, to a price (calculated to the nearest one-hundredth of a cent) determined in accordance with the following formula:</w:t>
      </w:r>
    </w:p>
    <w:p>
      <w:pPr>
        <w:spacing w:after="0" w:line="8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(A + B) ÷ (A + 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 the following definitions shall apply:</w:t>
      </w:r>
    </w:p>
    <w:p>
      <w:pPr>
        <w:spacing w:after="0" w:line="24" w:lineRule="exact"/>
        <w:rPr>
          <w:sz w:val="20"/>
          <w:szCs w:val="20"/>
          <w:color w:val="auto"/>
        </w:rPr>
      </w:pPr>
    </w:p>
    <w:p>
      <w:pPr>
        <w:ind w:right="640" w:firstLine="1946"/>
        <w:spacing w:after="0" w:line="267" w:lineRule="auto"/>
        <w:rPr>
          <w:sz w:val="20"/>
          <w:szCs w:val="20"/>
          <w:color w:val="auto"/>
        </w:rPr>
      </w:pPr>
      <w:r>
        <w:rPr>
          <w:rFonts w:ascii="Times New Roman" w:cs="Times New Roman" w:eastAsia="Times New Roman" w:hAnsi="Times New Roman"/>
          <w:sz w:val="18"/>
          <w:szCs w:val="18"/>
          <w:color w:val="auto"/>
        </w:rPr>
        <w:t>i. “CP</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shall mean the applicable Conversion Price in effect immediately after such issuance or deemed issuance of Additional Shares of Common Stock;</w:t>
      </w:r>
    </w:p>
    <w:p>
      <w:pPr>
        <w:spacing w:after="0" w:line="54" w:lineRule="exact"/>
        <w:rPr>
          <w:sz w:val="20"/>
          <w:szCs w:val="20"/>
          <w:color w:val="auto"/>
        </w:rPr>
      </w:pPr>
    </w:p>
    <w:p>
      <w:pPr>
        <w:ind w:right="380" w:firstLine="1944"/>
        <w:spacing w:after="0" w:line="289" w:lineRule="auto"/>
        <w:tabs>
          <w:tab w:leader="none" w:pos="213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shall mean the applicable Conversion Price in effect immediately prior to such issuance or deemed issuance of Additional Shares of Common Stock;</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00"/>
          </w:cols>
          <w:pgMar w:left="540" w:top="267" w:right="559" w:bottom="1440" w:gutter="0" w:footer="0" w:header="0"/>
        </w:sectPr>
      </w:pPr>
    </w:p>
    <w:bookmarkStart w:id="244" w:name="page245"/>
    <w:bookmarkEnd w:id="244"/>
    <w:p>
      <w:pPr>
        <w:ind w:left="-20" w:right="520" w:firstLine="1944"/>
        <w:spacing w:after="0" w:line="274" w:lineRule="auto"/>
        <w:tabs>
          <w:tab w:leader="none" w:pos="216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 shall mean the number of shares of Common Stock outstanding immediately prior to such issuance or deemed issuance of Additional Shares of Common Stock on a fully-diluted, as-converted and as-exercised basis;</w:t>
      </w:r>
    </w:p>
    <w:p>
      <w:pPr>
        <w:spacing w:after="0" w:line="163" w:lineRule="exact"/>
        <w:rPr>
          <w:rFonts w:ascii="Times New Roman" w:cs="Times New Roman" w:eastAsia="Times New Roman" w:hAnsi="Times New Roman"/>
          <w:sz w:val="18"/>
          <w:szCs w:val="18"/>
          <w:color w:val="auto"/>
        </w:rPr>
      </w:pPr>
    </w:p>
    <w:p>
      <w:pPr>
        <w:ind w:left="-20" w:right="100" w:firstLine="1944"/>
        <w:spacing w:after="0" w:line="199" w:lineRule="auto"/>
        <w:tabs>
          <w:tab w:leader="none" w:pos="2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shall mean the number of shares of Common Stock that would have been issued if such Additional Shares of Common Stock had been issued or deemed issued at a price per share equal to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(determined by dividing the aggregate consideration received by the Corporation in respect of such issue by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and</w:t>
      </w:r>
    </w:p>
    <w:p>
      <w:pPr>
        <w:spacing w:after="0" w:line="180" w:lineRule="exact"/>
        <w:rPr>
          <w:rFonts w:ascii="Times New Roman" w:cs="Times New Roman" w:eastAsia="Times New Roman" w:hAnsi="Times New Roman"/>
          <w:sz w:val="18"/>
          <w:szCs w:val="18"/>
          <w:color w:val="auto"/>
        </w:rPr>
      </w:pPr>
    </w:p>
    <w:p>
      <w:pPr>
        <w:ind w:left="2080" w:hanging="156"/>
        <w:spacing w:after="0"/>
        <w:tabs>
          <w:tab w:leader="none" w:pos="2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shall mean the number of such Additional Shares of Common Stock issued in such transaction.</w:t>
      </w:r>
    </w:p>
    <w:p>
      <w:pPr>
        <w:spacing w:after="0" w:line="217" w:lineRule="exact"/>
        <w:rPr>
          <w:rFonts w:ascii="Times New Roman" w:cs="Times New Roman" w:eastAsia="Times New Roman" w:hAnsi="Times New Roman"/>
          <w:sz w:val="18"/>
          <w:szCs w:val="18"/>
          <w:color w:val="auto"/>
        </w:rPr>
      </w:pPr>
    </w:p>
    <w:p>
      <w:pPr>
        <w:ind w:left="-20" w:firstLine="2377"/>
        <w:spacing w:after="0" w:line="248" w:lineRule="auto"/>
        <w:tabs>
          <w:tab w:leader="none" w:pos="263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making any adjustment required under this Article IV.B.4(j), the consideration received by this Corporation for any issue or sale of Additional Shares of Common Stock shall: (i) to the extent it consists of cash, be computed at the net amount of cash received by this Corporation after deduction of any underwriting or similar commissions, compensation or concessions paid or allowed by this Corporation in connection with such issue or sale but without deduction of any expenses payable by this Corporation; and (ii) to the extent it consists of property other than cash, be computed at the fair value of that property as determined in good faith by the Board of Directors. In the event that Additional Shares of Common Stock are issued or sold together with other stock or securities or other assets of this Corporation for a consideration which covers both, the consideration received by this Corporation for any issue or sale of securities shall be computed as the portion of the consideration so received that may be reasonably determined in good faith by the Board of Directors to be allocatable to such Additional Shares of Common Stock. In each event, the Requisite Holders, voting together as a single class, shall have the right to challenge any determination by the Board of Directors, in which case the determination shall be made by an independent appraiser selected jointly by the Board of Directors and the challenging parties, the cost of such appraisal to be borne equally by the Corporation and the challenging parties.</w:t>
      </w:r>
    </w:p>
    <w:p>
      <w:pPr>
        <w:spacing w:after="0" w:line="191" w:lineRule="exact"/>
        <w:rPr>
          <w:rFonts w:ascii="Times New Roman" w:cs="Times New Roman" w:eastAsia="Times New Roman" w:hAnsi="Times New Roman"/>
          <w:sz w:val="18"/>
          <w:szCs w:val="18"/>
          <w:color w:val="auto"/>
        </w:rPr>
      </w:pPr>
    </w:p>
    <w:p>
      <w:pPr>
        <w:ind w:left="-20" w:firstLine="2377"/>
        <w:spacing w:after="0" w:line="264" w:lineRule="auto"/>
        <w:tabs>
          <w:tab w:leader="none" w:pos="2638"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the adjustments required under this Article IV.B.4(j), if this Corporation issues or sells: (i) stock or other securities convertible into, Additional Shares of Common Stock (such convertible stock or securities being herein referred to as “</w:t>
      </w:r>
      <w:r>
        <w:rPr>
          <w:rFonts w:ascii="Times New Roman" w:cs="Times New Roman" w:eastAsia="Times New Roman" w:hAnsi="Times New Roman"/>
          <w:sz w:val="17"/>
          <w:szCs w:val="17"/>
          <w:u w:val="single" w:color="auto"/>
          <w:color w:val="auto"/>
        </w:rPr>
        <w:t>Convertible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xml:space="preserve">”); or (ii) rights or options for the purchase of Additional Shares of Common Stock or Convertible Securities, this Corporation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this Corporation for the issuance of such rights or options or Convertible Securities, plus, in the case of such rights or options, the minimum amounts of consideration, if any, payable to this Corporation upon the exercise of such rights or options, plus, in the case of Convertible Securities, the minimum amounts of consideration, if any, payable to this Corporation (other than by cancellation of liabilities or obligations evidenced by such Convertible Securities) upon the conversion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in the case of Convertible Securities the minimum amounts of such consideration cannot be ascertained but are a function of anti-dilution or similar protective clauses, this Corporation shall be deemed to have received the minimum amounts of consideration without reference to such clauses; and, </w:t>
      </w:r>
      <w:r>
        <w:rPr>
          <w:rFonts w:ascii="Times New Roman" w:cs="Times New Roman" w:eastAsia="Times New Roman" w:hAnsi="Times New Roman"/>
          <w:sz w:val="17"/>
          <w:szCs w:val="17"/>
          <w:u w:val="single" w:color="auto"/>
          <w:color w:val="auto"/>
        </w:rPr>
        <w:t>provided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80"/>
          </w:cols>
          <w:pgMar w:left="560" w:top="267" w:right="559" w:bottom="1440" w:gutter="0" w:footer="0" w:header="0"/>
        </w:sectPr>
      </w:pPr>
    </w:p>
    <w:bookmarkStart w:id="245" w:name="page246"/>
    <w:bookmarkEnd w:id="245"/>
    <w:p>
      <w:pPr>
        <w:ind w:left="2"/>
        <w:spacing w:after="0" w:line="261"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 if the minimum amount of consideration payable to this Corporation upon the exercise or conversion of rights, options or Convertible Securities is reduced over time or based on the occurrence or non-occurrence of specified events other than by reason of anti-dilution adjustments, the Effective Price shall be recalculated using the figure to which such minimum amount of consideration is reduced; and (ii) if the minimum amount of consideration payable to this Corporation upon the exercise or conversion of such rights, options or Convertible Securities is subsequently increased, the Effective Price shall be again recalculated using the increased minimum amount of consideration payable to this Corporation upon the exercise or conversion of such rights, options or Convertible Securities. No further adjustment of such Conversion Price as adjusted upon the issuance of such rights, options or Convertible Securities, shall be made as a result of the actual issuance of Additional Shares of Common Stock on the exercise of any such rights or options or the conversion of any such Convertible Securities. If any such rights or options or the conversion privilege represented by any such Convertible Securities shall expire without having been exercised, the applicable Conversion Price for each share of Preferred Stock, as adjusted upon the issuance of such rights, options or Convertible Securities shall be readjusted to the applicable Conversion Price that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this Corporation upon such exercise, plus the consideration, if any, actually received by this Corporation for the granting of all such rights or options, whether or not exercised, plus the consideration received for issuing or selling the Convertible Securities actually converted, plus the consideration, if any, actually received by this Corporation (other than by cancellation of liabilities or obligations evidenced by such Convertible Securities) on the conversion of such Convertible Securities; provided, however, that such readjustment shall not apply to prior conversions of Preferred Stock. Notwithstanding the foregoing, no readjustment pursuant to this clause</w:t>
      </w:r>
    </w:p>
    <w:p>
      <w:pPr>
        <w:spacing w:after="0" w:line="9" w:lineRule="exact"/>
        <w:rPr>
          <w:sz w:val="20"/>
          <w:szCs w:val="20"/>
          <w:color w:val="auto"/>
        </w:rPr>
      </w:pPr>
    </w:p>
    <w:p>
      <w:pPr>
        <w:ind w:left="2" w:right="60" w:hanging="2"/>
        <w:spacing w:after="0" w:line="247" w:lineRule="auto"/>
        <w:tabs>
          <w:tab w:leader="none" w:pos="28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the effect of increasing the Conversion Price for a share of Preferred Stock to an amount that exceeds the lower of (i) the applicable Conversion Price for such series in effect immediately prior to the original adjustment made as a result of the issuance of such Convertible Securities or options or rights, or (ii) the Conversion Price for such series that would have resulted from any issuances of Additional Shares of Common Stock (other than deemed issuances of Additional Shares of Common Stock as a result of the issuance of such Convertible Securities) between the original adjustment date and such readjustment date.</w:t>
      </w:r>
    </w:p>
    <w:p>
      <w:pPr>
        <w:spacing w:after="0" w:line="187" w:lineRule="exact"/>
        <w:rPr>
          <w:rFonts w:ascii="Times New Roman" w:cs="Times New Roman" w:eastAsia="Times New Roman" w:hAnsi="Times New Roman"/>
          <w:sz w:val="18"/>
          <w:szCs w:val="18"/>
          <w:color w:val="auto"/>
        </w:rPr>
      </w:pPr>
    </w:p>
    <w:p>
      <w:pPr>
        <w:ind w:left="2" w:right="60" w:firstLine="2377"/>
        <w:spacing w:after="0" w:line="249" w:lineRule="auto"/>
        <w:tabs>
          <w:tab w:leader="none" w:pos="267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Additional Shares of Common Stock</w:t>
      </w:r>
      <w:r>
        <w:rPr>
          <w:rFonts w:ascii="Times New Roman" w:cs="Times New Roman" w:eastAsia="Times New Roman" w:hAnsi="Times New Roman"/>
          <w:sz w:val="18"/>
          <w:szCs w:val="18"/>
          <w:color w:val="auto"/>
        </w:rPr>
        <w:t>” shall mean all shares of Common Stock issued by this Corporation or deemed to be issued pursuant to this Article IV.B.4(j), other than: (i) any shares of Common Stock issued upon any conversion of shares of Series F Preferred Stock, Series E Preferred Stock, Series D Preferred Stock, Series C Preferred Stock, Series B Preferred Stock or Series A-1 Preferred Stock; (ii) any shares of Common Stock issued as a dividend or distribution on shares of Series F Preferred Stock, Series E Preferred Stock, Series D Preferred Stock, Series C Preferred Stock, Series B Preferred Stock or Series A-1 Preferred Stock, or upon a stock split, stock dividend or any other subdivision of the number of shares of Common Stock; (iii) any shares of Common Stock (or options or rights to purchase shares of Common Stock) issued on or after the Filing Date to employees, officers or directors of, or consultants or advisors to, this Corporation pursuant to current stock purchase plans or current stock option plans, or pursuant to similar plans that are approved by the Requisite</w:t>
      </w:r>
    </w:p>
    <w:p>
      <w:pPr>
        <w:spacing w:after="0" w:line="124"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82"/>
          </w:cols>
          <w:pgMar w:left="538" w:top="267" w:right="579" w:bottom="1440" w:gutter="0" w:footer="0" w:header="0"/>
        </w:sectPr>
      </w:pPr>
    </w:p>
    <w:bookmarkStart w:id="246" w:name="page247"/>
    <w:bookmarkEnd w:id="246"/>
    <w:p>
      <w:pPr>
        <w:ind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Holders pursuant to Article IV.B.6(p); and (iv) any shares of Series F Preferred Stock issued pursuant to that certain Series F Preferred Stock Purchase Agreement, by and between the Corporation and certain other investors thereto, dated on or about the Filing Date (the “</w:t>
      </w:r>
      <w:r>
        <w:rPr>
          <w:rFonts w:ascii="Times New Roman" w:cs="Times New Roman" w:eastAsia="Times New Roman" w:hAnsi="Times New Roman"/>
          <w:sz w:val="18"/>
          <w:szCs w:val="18"/>
          <w:u w:val="single" w:color="auto"/>
          <w:color w:val="auto"/>
        </w:rPr>
        <w:t>Series F Stock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Effective Price</w:t>
      </w:r>
      <w:r>
        <w:rPr>
          <w:rFonts w:ascii="Times New Roman" w:cs="Times New Roman" w:eastAsia="Times New Roman" w:hAnsi="Times New Roman"/>
          <w:sz w:val="18"/>
          <w:szCs w:val="18"/>
          <w:color w:val="auto"/>
        </w:rPr>
        <w:t>” of Additional Shares of Common Stock shall mean the quotient determined by dividing the aggregate consideration received, or deemed to have been received by this Corporation for such issue under this Article IV.B.4(j), for such Additional Shares of Common Stock, by the total number of Additional Shares of Common Stock issued or sold, or deemed to have been issued or sold by this Corporation under this Article IV.B.4(j).</w:t>
      </w:r>
    </w:p>
    <w:p>
      <w:pPr>
        <w:spacing w:after="0" w:line="185" w:lineRule="exact"/>
        <w:rPr>
          <w:sz w:val="20"/>
          <w:szCs w:val="20"/>
          <w:color w:val="auto"/>
        </w:rPr>
      </w:pPr>
    </w:p>
    <w:p>
      <w:pPr>
        <w:ind w:right="20" w:firstLine="1404"/>
        <w:spacing w:after="0" w:line="251" w:lineRule="auto"/>
        <w:tabs>
          <w:tab w:leader="none" w:pos="1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Adjustment</w:t>
      </w:r>
      <w:r>
        <w:rPr>
          <w:rFonts w:ascii="Times New Roman" w:cs="Times New Roman" w:eastAsia="Times New Roman" w:hAnsi="Times New Roman"/>
          <w:sz w:val="18"/>
          <w:szCs w:val="18"/>
          <w:color w:val="auto"/>
        </w:rPr>
        <w:t>. Upon the request of any holder of shares of Preferred Stock, and in each case of an adjustment or readjustment of the Conversion Price for any share of Preferred Stock pursuant to this Article IV.B.4, this Corporation, at its expense, shall compute such adjustment or readjustment in accordance with the provisions hereof and prepare a certificate showing such adjustment or readjustment and shall mail such certificate, by first-class mail, postage prepaid, to each registered holder of such share of the applicable Preferred Stock at the holder’s address as shown in this Corporation’s books. The certificate shall set forth such adjustment or readjustment, showing in detail the facts upon which such adjustment or readjustment is based.</w:t>
      </w:r>
    </w:p>
    <w:p>
      <w:pPr>
        <w:spacing w:after="0" w:line="185" w:lineRule="exact"/>
        <w:rPr>
          <w:rFonts w:ascii="Times New Roman" w:cs="Times New Roman" w:eastAsia="Times New Roman" w:hAnsi="Times New Roman"/>
          <w:sz w:val="18"/>
          <w:szCs w:val="18"/>
          <w:color w:val="auto"/>
        </w:rPr>
      </w:pPr>
    </w:p>
    <w:p>
      <w:pPr>
        <w:ind w:right="40" w:firstLine="1404"/>
        <w:spacing w:after="0" w:line="248" w:lineRule="auto"/>
        <w:tabs>
          <w:tab w:leader="none" w:pos="161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of Record Date</w:t>
      </w:r>
      <w:r>
        <w:rPr>
          <w:rFonts w:ascii="Times New Roman" w:cs="Times New Roman" w:eastAsia="Times New Roman" w:hAnsi="Times New Roman"/>
          <w:sz w:val="18"/>
          <w:szCs w:val="18"/>
          <w:color w:val="auto"/>
        </w:rPr>
        <w:t>. Upon: (i) any taking by this Corporation of a record of the holders of any class of securities for the purpose of determining the holders thereof who are entitled to receive any dividend or other distribution; or (ii) any Acquisition or other capital reorganization of this Corporation, any reclassification or recapitalization of the capital stock of this Corporation, any merger or consolidation of this Corporation with or into any other corporation, any Asset Transfer, or any voluntary or involuntary dissolution, liquidation or winding up of this Corporation, this Corporation shall mail a notice to each holder of Preferred Stock, at least fifteen (15) business days prior to, and specifying the earliest of: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93" w:lineRule="exact"/>
        <w:rPr>
          <w:rFonts w:ascii="Times New Roman" w:cs="Times New Roman" w:eastAsia="Times New Roman" w:hAnsi="Times New Roman"/>
          <w:sz w:val="18"/>
          <w:szCs w:val="18"/>
          <w:color w:val="auto"/>
        </w:rPr>
      </w:pPr>
    </w:p>
    <w:p>
      <w:pPr>
        <w:ind w:firstLine="1404"/>
        <w:spacing w:after="0" w:line="251" w:lineRule="auto"/>
        <w:tabs>
          <w:tab w:leader="none" w:pos="170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Common Stock shall be issued upon conversion of any shares of Preferred Stock. All shares of Common Stock (including fractions thereof) issuable upon conversion of more than one share of Preferred Stock by a holder thereof shall be aggregated for purposes of determining whether the conversion would result in the issuance of any fractional share. If, after the aforementioned aggregation, the conversion would result in the issuance of any fractional share, this Corporation shall, in lieu of issuing any fractional share, pay cash in an amount equal to the product of such fraction multiplied by the fair market value of a share of Common Stock, as determined in good faith by the Board of Directors, on the date of conversion.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00"/>
          </w:cols>
          <w:pgMar w:left="540" w:top="267" w:right="559" w:bottom="1440" w:gutter="0" w:footer="0" w:header="0"/>
        </w:sectPr>
      </w:pPr>
    </w:p>
    <w:bookmarkStart w:id="247" w:name="page248"/>
    <w:bookmarkEnd w:id="247"/>
    <w:p>
      <w:pPr>
        <w:ind w:left="2" w:right="20" w:firstLine="1404"/>
        <w:spacing w:after="0" w:line="251" w:lineRule="auto"/>
        <w:tabs>
          <w:tab w:leader="none" w:pos="165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Reservation of Stock Issuable Upon Conversion</w:t>
      </w:r>
      <w:r>
        <w:rPr>
          <w:rFonts w:ascii="Times New Roman" w:cs="Times New Roman" w:eastAsia="Times New Roman" w:hAnsi="Times New Roman"/>
          <w:sz w:val="18"/>
          <w:szCs w:val="18"/>
          <w:color w:val="auto"/>
        </w:rPr>
        <w:t>. This Corporation shall at all times reserve and keep available out of its authorized but unissued shares of Common Stock, solely for the purpose of effecting the conversion of the shares of the Preferred Stock, such number of shares of Common Stock as shall from time to time be sufficient to effect the conversion of all then-outstanding shares of Preferred Stock. If at any time the number of authorized but unissued shares of Common Stock shall not be sufficient to effect the conversion of all then-outstanding shares of Preferred Stock, the Corporation will take such corporate action as is, in the opinion of its counsel, necessary to increase its authorized but unissued shares of Common Stock to such number of shares as shall be sufficient for such purpose.</w:t>
      </w:r>
    </w:p>
    <w:p>
      <w:pPr>
        <w:spacing w:after="0" w:line="185" w:lineRule="exact"/>
        <w:rPr>
          <w:rFonts w:ascii="Times New Roman" w:cs="Times New Roman" w:eastAsia="Times New Roman" w:hAnsi="Times New Roman"/>
          <w:sz w:val="18"/>
          <w:szCs w:val="18"/>
          <w:color w:val="auto"/>
        </w:rPr>
      </w:pPr>
    </w:p>
    <w:p>
      <w:pPr>
        <w:ind w:left="1662" w:hanging="256"/>
        <w:spacing w:after="0"/>
        <w:tabs>
          <w:tab w:leader="none" w:pos="1662"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by the provisions of this Article IV.B.4 shall be in writing and shall be deemed effectively given:</w:t>
      </w:r>
    </w:p>
    <w:p>
      <w:pPr>
        <w:spacing w:after="0" w:line="24" w:lineRule="exact"/>
        <w:rPr>
          <w:rFonts w:ascii="Times New Roman" w:cs="Times New Roman" w:eastAsia="Times New Roman" w:hAnsi="Times New Roman"/>
          <w:sz w:val="18"/>
          <w:szCs w:val="18"/>
          <w:color w:val="auto"/>
        </w:rPr>
      </w:pPr>
    </w:p>
    <w:p>
      <w:pPr>
        <w:ind w:left="2" w:hanging="2"/>
        <w:spacing w:after="0" w:line="247" w:lineRule="auto"/>
        <w:tabs>
          <w:tab w:leader="none" w:pos="21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personal delivery to the party to be notified; (ii) when sent by electronic mail or confirmed facsimile, if sent during normal business hours of the recipient or, if not, then on the next business day; (iii) five (5) days after having been sent by registered or certified mail, return receipt requested, postage prepaid; or (iv) one (1) day after deposit with a nationally recognized overnight courier, specifying next day delivery, with verification of receipt. All notices shall be addressed to each holder of record at the address of such holder appearing on the books of this Corporation.</w:t>
      </w:r>
    </w:p>
    <w:p>
      <w:pPr>
        <w:spacing w:after="0" w:line="188" w:lineRule="exact"/>
        <w:rPr>
          <w:rFonts w:ascii="Times New Roman" w:cs="Times New Roman" w:eastAsia="Times New Roman" w:hAnsi="Times New Roman"/>
          <w:sz w:val="18"/>
          <w:szCs w:val="18"/>
          <w:color w:val="auto"/>
        </w:rPr>
      </w:pPr>
    </w:p>
    <w:p>
      <w:pPr>
        <w:ind w:left="2" w:right="40" w:firstLine="1404"/>
        <w:spacing w:after="0" w:line="255" w:lineRule="auto"/>
        <w:tabs>
          <w:tab w:leader="none" w:pos="165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This Corporation will pay all taxes (other than taxes based upon income) and other governmental charges that may be imposed with respect to the issue or delivery of shares of Common Stock upon conversion of shares of Preferred Stock, excluding any tax or other charge imposed in connection with any transfer involved in the issue and delivery of shares of Common Stock in a name other than that in which such shares of Preferred Stock so converted were registered.</w:t>
      </w:r>
    </w:p>
    <w:p>
      <w:pPr>
        <w:spacing w:after="0" w:line="180" w:lineRule="exact"/>
        <w:rPr>
          <w:rFonts w:ascii="Times New Roman" w:cs="Times New Roman" w:eastAsia="Times New Roman" w:hAnsi="Times New Roman"/>
          <w:sz w:val="18"/>
          <w:szCs w:val="18"/>
          <w:color w:val="auto"/>
        </w:rPr>
      </w:pPr>
    </w:p>
    <w:p>
      <w:pPr>
        <w:ind w:left="2" w:right="100" w:firstLine="1404"/>
        <w:spacing w:after="0" w:line="251" w:lineRule="auto"/>
        <w:tabs>
          <w:tab w:leader="none" w:pos="165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This Corporation will not, without the appropriate vote of the stockholders under the General Corporation Law or Section 6 of this Article IV(B), by amendment of its Certificate of Incorporation or through any reorganization, recapitalization, transfer of assets, consolidation, merger, dissolution, issue or sale of securities or any other voluntary action, avoid or seek to avoid the observance or performance of any of the terms to be observed or performed hereunder by this Corporation, but will at all times in good faith assist in the carrying out of all the provisions of this Section 4 and in the taking of all such action as may be necessary or appropriate in order to protect the Conversion Rights of the holders of the Preferred Stock against impairment.</w:t>
      </w:r>
    </w:p>
    <w:p>
      <w:pPr>
        <w:spacing w:after="0" w:line="185" w:lineRule="exact"/>
        <w:rPr>
          <w:rFonts w:ascii="Times New Roman" w:cs="Times New Roman" w:eastAsia="Times New Roman" w:hAnsi="Times New Roman"/>
          <w:sz w:val="18"/>
          <w:szCs w:val="18"/>
          <w:color w:val="auto"/>
        </w:rPr>
      </w:pPr>
    </w:p>
    <w:p>
      <w:pPr>
        <w:ind w:left="2" w:right="20" w:firstLine="1404"/>
        <w:spacing w:after="0" w:line="251" w:lineRule="auto"/>
        <w:tabs>
          <w:tab w:leader="none" w:pos="162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Adjustment to Conversion Price</w:t>
      </w:r>
      <w:r>
        <w:rPr>
          <w:rFonts w:ascii="Times New Roman" w:cs="Times New Roman" w:eastAsia="Times New Roman" w:hAnsi="Times New Roman"/>
          <w:sz w:val="18"/>
          <w:szCs w:val="18"/>
          <w:color w:val="auto"/>
        </w:rPr>
        <w:t xml:space="preserve">. Notwithstanding anything herein to the contrary, any downward adjustment of the Conversion Price of any series of Preferred Stock may be waived, either prospectively or retroactively and either generally or in a particular instance, by the consent or vote of the holders of at least a majority of the outstanding shares of such series of Preferred Stock (each voting as a separate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amendment to the Series C Conversion Price shall require the consent or vote of the holders of at least 66.67% of the then outstanding shares of Series C Preferred Stock, voting as a separate class. Any such waiver shall bind all future holders of shares of such series of Preferred Stock.</w:t>
      </w:r>
    </w:p>
    <w:p>
      <w:pPr>
        <w:spacing w:after="0" w:line="1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02"/>
          </w:cols>
          <w:pgMar w:left="538" w:top="267" w:right="559" w:bottom="1440" w:gutter="0" w:footer="0" w:header="0"/>
        </w:sectPr>
      </w:pPr>
    </w:p>
    <w:bookmarkStart w:id="248" w:name="page249"/>
    <w:bookmarkEnd w:id="248"/>
    <w:p>
      <w:pPr>
        <w:ind w:left="1142" w:hanging="169"/>
        <w:spacing w:after="0"/>
        <w:tabs>
          <w:tab w:leader="none" w:pos="114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Voting Rights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left="2" w:right="40" w:firstLine="1404"/>
        <w:spacing w:after="0" w:line="269" w:lineRule="auto"/>
        <w:tabs>
          <w:tab w:leader="none" w:pos="1647" w:val="left"/>
        </w:tabs>
        <w:numPr>
          <w:ilvl w:val="2"/>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Rights</w:t>
      </w:r>
      <w:r>
        <w:rPr>
          <w:rFonts w:ascii="Times New Roman" w:cs="Times New Roman" w:eastAsia="Times New Roman" w:hAnsi="Times New Roman"/>
          <w:sz w:val="17"/>
          <w:szCs w:val="17"/>
          <w:color w:val="auto"/>
        </w:rPr>
        <w:t>. Except as otherwise provided herein or as required by law, shares of Preferred Stock shall be voted together with the shares of the Common Stock of the Corporation and not as a separate class, at any annual or special meeting of stockholders of this Corporation, and may act by written consent in the same manner as the Common Stock. In the event of any such vote or action by written consent, each holder of shares of Preferred Stock shall be entitled to that number of votes equal to the whole number of shares of Common Stock into which such holder’s aggregate number of shares of Preferred Stock are convertible (pursuant to Article IV.B.4 hereof) as of the close of business on the record date fixed for such vote or the effective date of such written consent. Any fractional shares shall be disregarded for purposes of such voting rights.</w:t>
      </w:r>
    </w:p>
    <w:p>
      <w:pPr>
        <w:spacing w:after="0" w:line="169" w:lineRule="exact"/>
        <w:rPr>
          <w:rFonts w:ascii="Times New Roman" w:cs="Times New Roman" w:eastAsia="Times New Roman" w:hAnsi="Times New Roman"/>
          <w:sz w:val="17"/>
          <w:szCs w:val="17"/>
          <w:color w:val="auto"/>
        </w:rPr>
      </w:pPr>
    </w:p>
    <w:p>
      <w:pPr>
        <w:ind w:left="1662" w:hanging="256"/>
        <w:spacing w:after="0"/>
        <w:tabs>
          <w:tab w:leader="none" w:pos="1662"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left="2162" w:hanging="216"/>
        <w:spacing w:after="0"/>
        <w:tabs>
          <w:tab w:leader="none" w:pos="2162" w:val="left"/>
        </w:tabs>
        <w:numPr>
          <w:ilvl w:val="3"/>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Board of Directors shall be nine (9) persons.</w:t>
      </w:r>
    </w:p>
    <w:p>
      <w:pPr>
        <w:spacing w:after="0" w:line="217" w:lineRule="exact"/>
        <w:rPr>
          <w:rFonts w:ascii="Times New Roman" w:cs="Times New Roman" w:eastAsia="Times New Roman" w:hAnsi="Times New Roman"/>
          <w:sz w:val="18"/>
          <w:szCs w:val="18"/>
          <w:color w:val="auto"/>
        </w:rPr>
      </w:pPr>
    </w:p>
    <w:p>
      <w:pPr>
        <w:ind w:left="2" w:firstLine="1944"/>
        <w:spacing w:after="0" w:line="262" w:lineRule="auto"/>
        <w:tabs>
          <w:tab w:leader="none" w:pos="2208" w:val="left"/>
        </w:tabs>
        <w:numPr>
          <w:ilvl w:val="3"/>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any shares of Series A-1 Preferred Stock are outstanding, the holders of Series A-1 Preferred Stock, voting as a separate class, shall be entitled to elect one (1) member of the Board of Directors (the “</w:t>
      </w:r>
      <w:r>
        <w:rPr>
          <w:rFonts w:ascii="Times New Roman" w:cs="Times New Roman" w:eastAsia="Times New Roman" w:hAnsi="Times New Roman"/>
          <w:sz w:val="17"/>
          <w:szCs w:val="17"/>
          <w:u w:val="single" w:color="auto"/>
          <w:color w:val="auto"/>
        </w:rPr>
        <w:t>Series A-1 Director</w:t>
      </w:r>
      <w:r>
        <w:rPr>
          <w:rFonts w:ascii="Times New Roman" w:cs="Times New Roman" w:eastAsia="Times New Roman" w:hAnsi="Times New Roman"/>
          <w:sz w:val="17"/>
          <w:szCs w:val="17"/>
          <w:color w:val="auto"/>
        </w:rPr>
        <w:t>”) at each meeting or pursuant to each consent of this Corporation’s stockholders for the election of directors. So long as holders of outstanding Series B Preferred Stock hold at least nine percent (9%) of the outstanding shares of Common Stock on a fully diluted and as-converted basis, holders of outstanding Series B Preferred Stock shall be entitled to elect one (1) member of the Board of Directors (the “</w:t>
      </w:r>
      <w:r>
        <w:rPr>
          <w:rFonts w:ascii="Times New Roman" w:cs="Times New Roman" w:eastAsia="Times New Roman" w:hAnsi="Times New Roman"/>
          <w:sz w:val="17"/>
          <w:szCs w:val="17"/>
          <w:u w:val="single" w:color="auto"/>
          <w:color w:val="auto"/>
        </w:rPr>
        <w:t>Series B Director</w:t>
      </w:r>
      <w:r>
        <w:rPr>
          <w:rFonts w:ascii="Times New Roman" w:cs="Times New Roman" w:eastAsia="Times New Roman" w:hAnsi="Times New Roman"/>
          <w:sz w:val="17"/>
          <w:szCs w:val="17"/>
          <w:color w:val="auto"/>
        </w:rPr>
        <w:t>”) at each meeting or pursuant to each consent of this Corporation’s stockholders for the election of directors. So long as any shares of Series C Preferred Stock remain outstanding, the holders of Series C Preferred Stock, voting as a separate class, shall be entitled to elect two (2) members of the Board of Directors (each, a “</w:t>
      </w:r>
      <w:r>
        <w:rPr>
          <w:rFonts w:ascii="Times New Roman" w:cs="Times New Roman" w:eastAsia="Times New Roman" w:hAnsi="Times New Roman"/>
          <w:sz w:val="17"/>
          <w:szCs w:val="17"/>
          <w:u w:val="single" w:color="auto"/>
          <w:color w:val="auto"/>
        </w:rPr>
        <w:t>Series C Director</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Series 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Directors</w:t>
      </w:r>
      <w:r>
        <w:rPr>
          <w:rFonts w:ascii="Times New Roman" w:cs="Times New Roman" w:eastAsia="Times New Roman" w:hAnsi="Times New Roman"/>
          <w:sz w:val="17"/>
          <w:szCs w:val="17"/>
          <w:color w:val="auto"/>
        </w:rPr>
        <w:t>”) at each meeting or pursuant to each consent of this Corporation’s stockholders for the election of directors. So long as at least twenty percent (20%) of the shares of Series D Preferred Stock originally issued on March 26, 2020 are outstanding, the holders of Series D Preferred Stock, voting as a separate class, shall be entitled to elect one (1) member of the Board of Directors (the “</w:t>
      </w:r>
      <w:r>
        <w:rPr>
          <w:rFonts w:ascii="Times New Roman" w:cs="Times New Roman" w:eastAsia="Times New Roman" w:hAnsi="Times New Roman"/>
          <w:sz w:val="17"/>
          <w:szCs w:val="17"/>
          <w:u w:val="single" w:color="auto"/>
          <w:color w:val="auto"/>
        </w:rPr>
        <w:t>Series D Director</w:t>
      </w:r>
      <w:r>
        <w:rPr>
          <w:rFonts w:ascii="Times New Roman" w:cs="Times New Roman" w:eastAsia="Times New Roman" w:hAnsi="Times New Roman"/>
          <w:sz w:val="17"/>
          <w:szCs w:val="17"/>
          <w:color w:val="auto"/>
        </w:rPr>
        <w:t>”) at each meeting or pursuant to each consent of this Corporation’s stockholders for the election of directors. So long as at least twenty percent (20%) of shares of Series E Preferred Stock originally issued on September 30, 2022 are outstanding, the holders of Series E Preferred Stock, voting as a separate class, shall be entitled to elect two</w:t>
      </w:r>
    </w:p>
    <w:p>
      <w:pPr>
        <w:spacing w:after="0" w:line="2" w:lineRule="exact"/>
        <w:rPr>
          <w:rFonts w:ascii="Times New Roman" w:cs="Times New Roman" w:eastAsia="Times New Roman" w:hAnsi="Times New Roman"/>
          <w:sz w:val="17"/>
          <w:szCs w:val="17"/>
          <w:color w:val="auto"/>
        </w:rPr>
      </w:pPr>
    </w:p>
    <w:p>
      <w:pPr>
        <w:ind w:left="2" w:right="40" w:hanging="2"/>
        <w:spacing w:after="0" w:line="246" w:lineRule="auto"/>
        <w:tabs>
          <w:tab w:leader="none" w:pos="2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Board of Directors (the “</w:t>
      </w:r>
      <w:r>
        <w:rPr>
          <w:rFonts w:ascii="Times New Roman" w:cs="Times New Roman" w:eastAsia="Times New Roman" w:hAnsi="Times New Roman"/>
          <w:sz w:val="18"/>
          <w:szCs w:val="18"/>
          <w:u w:val="single" w:color="auto"/>
          <w:color w:val="auto"/>
        </w:rPr>
        <w:t>Series E Directors</w:t>
      </w:r>
      <w:r>
        <w:rPr>
          <w:rFonts w:ascii="Times New Roman" w:cs="Times New Roman" w:eastAsia="Times New Roman" w:hAnsi="Times New Roman"/>
          <w:sz w:val="18"/>
          <w:szCs w:val="18"/>
          <w:color w:val="auto"/>
        </w:rPr>
        <w:t>”) at each meeting or pursuant to each consent of this Corporation’s stockholders for the election of directors. The Series A-1 Director, the Series B Director, the Series C Directors, the Series D Director and the Series E Directors are together referred to as the “</w:t>
      </w:r>
      <w:r>
        <w:rPr>
          <w:rFonts w:ascii="Times New Roman" w:cs="Times New Roman" w:eastAsia="Times New Roman" w:hAnsi="Times New Roman"/>
          <w:sz w:val="18"/>
          <w:szCs w:val="18"/>
          <w:u w:val="single" w:color="auto"/>
          <w:color w:val="auto"/>
        </w:rPr>
        <w:t>Preferred Directors</w:t>
      </w:r>
      <w:r>
        <w:rPr>
          <w:rFonts w:ascii="Times New Roman" w:cs="Times New Roman" w:eastAsia="Times New Roman" w:hAnsi="Times New Roman"/>
          <w:sz w:val="18"/>
          <w:szCs w:val="18"/>
          <w:color w:val="auto"/>
        </w:rPr>
        <w:t>.” The holders of Common Stock, voting as a separate class, shall be entitled to elect one (1) member of the Board of Directors at each meeting or pursuant to each consent of this Corporation’s stockholders for the election of directors. The holders of a majority in voting power of the Preferred Stock and the Common Stock, voting as a single class on an as-converted to Common Stock basis, shall be entitled to elect the remaining members of the Board of Directors at each meeting or pursuant to each consent of this Corporation’s stockholders for the election of directors. Any directors elected as provided in this Article IV.B.5(b)(ii) may be removed, and any vacancy or vacancies caused by the resignation, death or removal of such directors may be filled, by, and only by, the affirmative vote of the holders of the shares of the class or series of capital stock entitled to elect such director or directors hereunder.</w:t>
      </w:r>
    </w:p>
    <w:p>
      <w:pPr>
        <w:spacing w:after="0" w:line="1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02"/>
          </w:cols>
          <w:pgMar w:left="538" w:top="267" w:right="559" w:bottom="1440" w:gutter="0" w:footer="0" w:header="0"/>
        </w:sectPr>
      </w:pPr>
    </w:p>
    <w:bookmarkStart w:id="249" w:name="page250"/>
    <w:bookmarkEnd w:id="249"/>
    <w:p>
      <w:pPr>
        <w:ind w:left="2262" w:hanging="316"/>
        <w:spacing w:after="0"/>
        <w:tabs>
          <w:tab w:leader="none" w:pos="2262"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To the extent that Section 2115 of the California General Corporation Law makes Section 708 subdivisions (a), (b) and</w:t>
      </w:r>
    </w:p>
    <w:p>
      <w:pPr>
        <w:spacing w:after="0" w:line="35" w:lineRule="exact"/>
        <w:rPr>
          <w:rFonts w:ascii="Times New Roman" w:cs="Times New Roman" w:eastAsia="Times New Roman" w:hAnsi="Times New Roman"/>
          <w:sz w:val="17"/>
          <w:szCs w:val="17"/>
          <w:color w:val="auto"/>
        </w:rPr>
      </w:pPr>
    </w:p>
    <w:p>
      <w:pPr>
        <w:ind w:left="2" w:right="80" w:hanging="2"/>
        <w:spacing w:after="0" w:line="280" w:lineRule="auto"/>
        <w:tabs>
          <w:tab w:leader="none" w:pos="242"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California General Corporation Law applicable to the Corporation, the Corporation’s stockholders shall have the right to cumulate their votes in connection with the election of directors as provided by Section 708 subdivisions (a), (b) and (c) of the California General Corporation Law.</w:t>
      </w:r>
    </w:p>
    <w:p>
      <w:pPr>
        <w:spacing w:after="0" w:line="161" w:lineRule="exact"/>
        <w:rPr>
          <w:sz w:val="20"/>
          <w:szCs w:val="20"/>
          <w:color w:val="auto"/>
        </w:rPr>
      </w:pPr>
    </w:p>
    <w:p>
      <w:pPr>
        <w:ind w:left="2" w:firstLine="432"/>
        <w:spacing w:after="0" w:line="248" w:lineRule="auto"/>
        <w:rPr>
          <w:sz w:val="20"/>
          <w:szCs w:val="20"/>
          <w:color w:val="auto"/>
        </w:rPr>
      </w:pPr>
      <w:r>
        <w:rPr>
          <w:rFonts w:ascii="Times New Roman" w:cs="Times New Roman" w:eastAsia="Times New Roman" w:hAnsi="Times New Roman"/>
          <w:sz w:val="18"/>
          <w:szCs w:val="18"/>
          <w:color w:val="auto"/>
        </w:rPr>
        <w:t>Notwithstanding the provisions of Section 223(a)(1) and 223(a)(2) of the General Corporation Law, any vacancy, including newly created directorships resulting from any increase in the authorized number of directors or amendment of this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91" w:lineRule="exact"/>
        <w:rPr>
          <w:sz w:val="20"/>
          <w:szCs w:val="20"/>
          <w:color w:val="auto"/>
        </w:rPr>
      </w:pPr>
    </w:p>
    <w:p>
      <w:pPr>
        <w:ind w:left="2" w:right="200" w:firstLine="971"/>
        <w:spacing w:after="0" w:line="259" w:lineRule="auto"/>
        <w:tabs>
          <w:tab w:leader="none" w:pos="115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 Protective Provisions</w:t>
      </w:r>
      <w:r>
        <w:rPr>
          <w:rFonts w:ascii="Times New Roman" w:cs="Times New Roman" w:eastAsia="Times New Roman" w:hAnsi="Times New Roman"/>
          <w:sz w:val="18"/>
          <w:szCs w:val="18"/>
          <w:color w:val="auto"/>
        </w:rPr>
        <w:t>. So long as any shares of Preferred Stock are outstanding, this Corporation shall not (by amendment, merger, consolidation or otherwise) without first obtaining the approval (by vote or written consent, as provided by law) of the Requisite Holders:</w:t>
      </w:r>
    </w:p>
    <w:p>
      <w:pPr>
        <w:spacing w:after="0" w:line="71" w:lineRule="exact"/>
        <w:rPr>
          <w:rFonts w:ascii="Times New Roman" w:cs="Times New Roman" w:eastAsia="Times New Roman" w:hAnsi="Times New Roman"/>
          <w:sz w:val="18"/>
          <w:szCs w:val="18"/>
          <w:color w:val="auto"/>
        </w:rPr>
      </w:pPr>
    </w:p>
    <w:p>
      <w:pPr>
        <w:ind w:left="2" w:right="120" w:firstLine="1404"/>
        <w:spacing w:after="0" w:line="274" w:lineRule="auto"/>
        <w:tabs>
          <w:tab w:leader="none" w:pos="164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whether by merger, consolidation, conversion or otherwise, the rights, preferences or privileges of the shares of Preferred Stock so as to affect adversely such shares;</w:t>
      </w:r>
    </w:p>
    <w:p>
      <w:pPr>
        <w:spacing w:after="0" w:line="163" w:lineRule="exact"/>
        <w:rPr>
          <w:rFonts w:ascii="Times New Roman" w:cs="Times New Roman" w:eastAsia="Times New Roman" w:hAnsi="Times New Roman"/>
          <w:sz w:val="18"/>
          <w:szCs w:val="18"/>
          <w:color w:val="auto"/>
        </w:rPr>
      </w:pPr>
    </w:p>
    <w:p>
      <w:pPr>
        <w:ind w:left="1662" w:hanging="256"/>
        <w:spacing w:after="0"/>
        <w:tabs>
          <w:tab w:leader="none" w:pos="166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any class or series of the capital stock of the Corporation;</w:t>
      </w:r>
    </w:p>
    <w:p>
      <w:pPr>
        <w:spacing w:after="0" w:line="217" w:lineRule="exact"/>
        <w:rPr>
          <w:rFonts w:ascii="Times New Roman" w:cs="Times New Roman" w:eastAsia="Times New Roman" w:hAnsi="Times New Roman"/>
          <w:sz w:val="18"/>
          <w:szCs w:val="18"/>
          <w:color w:val="auto"/>
        </w:rPr>
      </w:pPr>
    </w:p>
    <w:p>
      <w:pPr>
        <w:ind w:left="1642" w:hanging="236"/>
        <w:spacing w:after="0"/>
        <w:tabs>
          <w:tab w:leader="none" w:pos="164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waive any provision of this Certificate of Incorporation or the Bylaws of the Corporation;</w:t>
      </w:r>
    </w:p>
    <w:p>
      <w:pPr>
        <w:spacing w:after="0" w:line="217" w:lineRule="exact"/>
        <w:rPr>
          <w:rFonts w:ascii="Times New Roman" w:cs="Times New Roman" w:eastAsia="Times New Roman" w:hAnsi="Times New Roman"/>
          <w:sz w:val="18"/>
          <w:szCs w:val="18"/>
          <w:color w:val="auto"/>
        </w:rPr>
      </w:pPr>
    </w:p>
    <w:p>
      <w:pPr>
        <w:ind w:left="2" w:right="340" w:firstLine="1404"/>
        <w:spacing w:after="0" w:line="252" w:lineRule="auto"/>
        <w:tabs>
          <w:tab w:leader="none" w:pos="165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issue, or obligate itself to issue, whether by merger, consolidation, conversion or otherwise, any equity security, including any other security convertible into or exercisable for any equity security, other than any shares of Common Stock (or options or rights to purchase shares of Common Stock) issued on or after the Filing Date to employees, officers or directors of, or consultants or advisors to, this Corporation pursuant to current stock purchase plans or current stock option plans, or pursuant to similar plans that are approved by the Requisite Holders pursuant to Article IV.B.6(p);</w:t>
      </w:r>
    </w:p>
    <w:p>
      <w:pPr>
        <w:spacing w:after="0" w:line="119"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62"/>
          </w:cols>
          <w:pgMar w:left="538" w:top="267" w:right="599" w:bottom="1440" w:gutter="0" w:footer="0" w:header="0"/>
        </w:sectPr>
      </w:pPr>
    </w:p>
    <w:bookmarkStart w:id="250" w:name="page251"/>
    <w:bookmarkEnd w:id="250"/>
    <w:p>
      <w:pPr>
        <w:ind w:left="1560" w:hanging="236"/>
        <w:spacing w:after="0"/>
        <w:tabs>
          <w:tab w:leader="none" w:pos="15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incur aggregate indebtedness in excess of $250,000;</w:t>
      </w:r>
    </w:p>
    <w:p>
      <w:pPr>
        <w:spacing w:after="0" w:line="217" w:lineRule="exact"/>
        <w:rPr>
          <w:rFonts w:ascii="Times New Roman" w:cs="Times New Roman" w:eastAsia="Times New Roman" w:hAnsi="Times New Roman"/>
          <w:sz w:val="18"/>
          <w:szCs w:val="18"/>
          <w:color w:val="auto"/>
        </w:rPr>
      </w:pPr>
    </w:p>
    <w:p>
      <w:pPr>
        <w:ind w:left="1540" w:hanging="216"/>
        <w:spacing w:after="0"/>
        <w:tabs>
          <w:tab w:leader="none" w:pos="1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reclassification or recapitalization of the Preferred Stock;</w:t>
      </w:r>
    </w:p>
    <w:p>
      <w:pPr>
        <w:spacing w:after="0" w:line="217" w:lineRule="exact"/>
        <w:rPr>
          <w:rFonts w:ascii="Times New Roman" w:cs="Times New Roman" w:eastAsia="Times New Roman" w:hAnsi="Times New Roman"/>
          <w:sz w:val="18"/>
          <w:szCs w:val="18"/>
          <w:color w:val="auto"/>
        </w:rPr>
      </w:pPr>
    </w:p>
    <w:p>
      <w:pPr>
        <w:ind w:left="1580" w:hanging="256"/>
        <w:spacing w:after="0"/>
        <w:tabs>
          <w:tab w:leader="none" w:pos="15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Liquidation Event;</w:t>
      </w:r>
    </w:p>
    <w:p>
      <w:pPr>
        <w:spacing w:after="0" w:line="217" w:lineRule="exact"/>
        <w:rPr>
          <w:rFonts w:ascii="Times New Roman" w:cs="Times New Roman" w:eastAsia="Times New Roman" w:hAnsi="Times New Roman"/>
          <w:sz w:val="18"/>
          <w:szCs w:val="18"/>
          <w:color w:val="auto"/>
        </w:rPr>
      </w:pPr>
    </w:p>
    <w:p>
      <w:pPr>
        <w:ind w:left="-80" w:right="60" w:firstLine="1404"/>
        <w:spacing w:after="0" w:line="269" w:lineRule="auto"/>
        <w:tabs>
          <w:tab w:leader="none" w:pos="1576"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any consolidation, conversion or merger of this Corporation with or into any other corporation or other entity or person, share transfer or any other corporate reorganization, in which the stockholders of this Corporation immediately prior to such consolidation, conversion, merger or reorganization, own less than 50% of this Corporation’s voting power immediately after such consolidation, conversion, merger or reorganization (excluding any merger effected exclusively for the purpose of changing the domicile of the Corporation and any transaction or series of related transactions the sole purpose of which is to create a holding company that is owned in substantially the same proportions by the persons who held the Corporation’s securities immediately prior to such transaction or series of related transactions) (an “</w:t>
      </w:r>
      <w:r>
        <w:rPr>
          <w:rFonts w:ascii="Times New Roman" w:cs="Times New Roman" w:eastAsia="Times New Roman" w:hAnsi="Times New Roman"/>
          <w:sz w:val="17"/>
          <w:szCs w:val="17"/>
          <w:u w:val="single" w:color="auto"/>
          <w:color w:val="auto"/>
        </w:rPr>
        <w:t>Acquisition</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80" w:firstLine="1404"/>
        <w:spacing w:after="0" w:line="252" w:lineRule="auto"/>
        <w:tabs>
          <w:tab w:leader="none" w:pos="15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sale, lease, license, transfer or other disposition, in a single transaction or a series of related transactions, of all or substantially all of the assets, technology or intellectual property of this Corporation, other than non-exclusive licenses granted in the ordinary course of this Corporation’s business, or the sale or disposition (whether by merger or otherwise) of one or more subsidiaries of this Corporation if substantially all the assets of this Corporation and its subsidiaries taken as a whole are held by such subsidiary or subsidiaries, except where such sale, lease, transfer, exclusive license or other disposition is to a wholly owned subsidiary of this Corporation (an “</w:t>
      </w:r>
      <w:r>
        <w:rPr>
          <w:rFonts w:ascii="Times New Roman" w:cs="Times New Roman" w:eastAsia="Times New Roman" w:hAnsi="Times New Roman"/>
          <w:sz w:val="18"/>
          <w:szCs w:val="18"/>
          <w:u w:val="single" w:color="auto"/>
          <w:color w:val="auto"/>
        </w:rPr>
        <w:t>Asset Transfer</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540" w:hanging="216"/>
        <w:spacing w:after="0"/>
        <w:tabs>
          <w:tab w:leader="none" w:pos="1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authorized number of directors of the Corporation;</w:t>
      </w:r>
    </w:p>
    <w:p>
      <w:pPr>
        <w:spacing w:after="0" w:line="217" w:lineRule="exact"/>
        <w:rPr>
          <w:rFonts w:ascii="Times New Roman" w:cs="Times New Roman" w:eastAsia="Times New Roman" w:hAnsi="Times New Roman"/>
          <w:sz w:val="18"/>
          <w:szCs w:val="18"/>
          <w:color w:val="auto"/>
        </w:rPr>
      </w:pPr>
    </w:p>
    <w:p>
      <w:pPr>
        <w:ind w:left="1580" w:hanging="256"/>
        <w:spacing w:after="0"/>
        <w:tabs>
          <w:tab w:leader="none" w:pos="15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other distributions on the capital stock of the Corporation;</w:t>
      </w:r>
    </w:p>
    <w:p>
      <w:pPr>
        <w:spacing w:after="0" w:line="217" w:lineRule="exact"/>
        <w:rPr>
          <w:rFonts w:ascii="Times New Roman" w:cs="Times New Roman" w:eastAsia="Times New Roman" w:hAnsi="Times New Roman"/>
          <w:sz w:val="18"/>
          <w:szCs w:val="18"/>
          <w:color w:val="auto"/>
        </w:rPr>
      </w:pPr>
    </w:p>
    <w:p>
      <w:pPr>
        <w:ind w:left="-80" w:right="20" w:firstLine="1404"/>
        <w:spacing w:after="0" w:line="271" w:lineRule="auto"/>
        <w:tabs>
          <w:tab w:leader="none" w:pos="1536"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redeem, purchase or otherwise acquire (or pay into or set aside for a sinking fund for such purpose) any share or shares of Preferred Stock or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restriction shall not apply to (i) the repurchase of shares of Common Stock from employees, officers, directors, consultants or other persons performing services for this Corporation or any subsidiary pursuant to agreements under which this Corporation has the option to repurchase such shares at cost upon the occurrence of certain events, such as the termination of employment or other provision of services to the Corporation or (ii) the redemption of any share or shares of Preferred Stock in accordance with Article IV.B.3;</w:t>
      </w:r>
    </w:p>
    <w:p>
      <w:pPr>
        <w:spacing w:after="0" w:line="168" w:lineRule="exact"/>
        <w:rPr>
          <w:rFonts w:ascii="Times New Roman" w:cs="Times New Roman" w:eastAsia="Times New Roman" w:hAnsi="Times New Roman"/>
          <w:sz w:val="17"/>
          <w:szCs w:val="17"/>
          <w:color w:val="auto"/>
        </w:rPr>
      </w:pPr>
    </w:p>
    <w:p>
      <w:pPr>
        <w:jc w:val="both"/>
        <w:ind w:left="-80" w:right="420" w:firstLine="1404"/>
        <w:spacing w:after="0" w:line="304" w:lineRule="auto"/>
        <w:tabs>
          <w:tab w:leader="none" w:pos="162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any act or thing which would result in taxation of the holders of shares of the Preferred Stock under Section 305 of the Internal Revenue Code of 1986, as amended (or any comparable provision of the Internal Revenue Code as hereafter from time to time amended);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660"/>
          </w:cols>
          <w:pgMar w:left="620" w:top="267" w:right="619" w:bottom="1440" w:gutter="0" w:footer="0" w:header="0"/>
        </w:sectPr>
      </w:pPr>
    </w:p>
    <w:bookmarkStart w:id="251" w:name="page252"/>
    <w:bookmarkEnd w:id="251"/>
    <w:p>
      <w:pPr>
        <w:ind w:firstLine="1404"/>
        <w:spacing w:after="0" w:line="274" w:lineRule="auto"/>
        <w:tabs>
          <w:tab w:leader="none" w:pos="16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incur any indebtedness in excess of US$100,000 individually, or in the event of indebtedness individually less than US$100,000, in excess of US$250,000 in the aggregate;</w:t>
      </w:r>
    </w:p>
    <w:p>
      <w:pPr>
        <w:spacing w:after="0" w:line="163" w:lineRule="exact"/>
        <w:rPr>
          <w:rFonts w:ascii="Times New Roman" w:cs="Times New Roman" w:eastAsia="Times New Roman" w:hAnsi="Times New Roman"/>
          <w:sz w:val="18"/>
          <w:szCs w:val="18"/>
          <w:color w:val="auto"/>
        </w:rPr>
      </w:pPr>
    </w:p>
    <w:p>
      <w:pPr>
        <w:ind w:right="340" w:firstLine="1404"/>
        <w:spacing w:after="0" w:line="274" w:lineRule="auto"/>
        <w:tabs>
          <w:tab w:leader="none" w:pos="16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public offering pursuant to a registration statement under the Act or otherwise become subject to the periodic reporting requirements of Section 13 or 15(d) of the Securities Exchange Act of 1934, as amended;</w:t>
      </w:r>
    </w:p>
    <w:p>
      <w:pPr>
        <w:spacing w:after="0" w:line="163" w:lineRule="exact"/>
        <w:rPr>
          <w:rFonts w:ascii="Times New Roman" w:cs="Times New Roman" w:eastAsia="Times New Roman" w:hAnsi="Times New Roman"/>
          <w:sz w:val="18"/>
          <w:szCs w:val="18"/>
          <w:color w:val="auto"/>
        </w:rPr>
      </w:pPr>
    </w:p>
    <w:p>
      <w:pPr>
        <w:ind w:firstLine="1404"/>
        <w:spacing w:after="0" w:line="274" w:lineRule="auto"/>
        <w:tabs>
          <w:tab w:leader="none" w:pos="16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amend, or increase or decrease the aggregate number of shares of Common Stock reserved for issuance pursuant to, any stock option plans or restricted stock purchase plans;</w:t>
      </w:r>
    </w:p>
    <w:p>
      <w:pPr>
        <w:spacing w:after="0" w:line="163" w:lineRule="exact"/>
        <w:rPr>
          <w:rFonts w:ascii="Times New Roman" w:cs="Times New Roman" w:eastAsia="Times New Roman" w:hAnsi="Times New Roman"/>
          <w:sz w:val="18"/>
          <w:szCs w:val="18"/>
          <w:color w:val="auto"/>
        </w:rPr>
      </w:pPr>
    </w:p>
    <w:p>
      <w:pPr>
        <w:ind w:right="80" w:firstLine="1404"/>
        <w:spacing w:after="0" w:line="255" w:lineRule="auto"/>
        <w:tabs>
          <w:tab w:leader="none" w:pos="16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materially change the principal business of this Corporation from the business in which this Corporation is engaged on the date of filing of this Restated Certificate of Incorporation, (ii) enter into a material new line of business in which this Corporation is not engaged on the date of filing of this Certificate of Incorporation, or (iii) cease any material line of business in which the Corporation is engaged on the date of filing of this Certificate of Incorporation;</w:t>
      </w:r>
    </w:p>
    <w:p>
      <w:pPr>
        <w:spacing w:after="0" w:line="180" w:lineRule="exact"/>
        <w:rPr>
          <w:rFonts w:ascii="Times New Roman" w:cs="Times New Roman" w:eastAsia="Times New Roman" w:hAnsi="Times New Roman"/>
          <w:sz w:val="18"/>
          <w:szCs w:val="18"/>
          <w:color w:val="auto"/>
        </w:rPr>
      </w:pPr>
    </w:p>
    <w:p>
      <w:pPr>
        <w:ind w:firstLine="1404"/>
        <w:spacing w:after="0" w:line="274" w:lineRule="auto"/>
        <w:tabs>
          <w:tab w:leader="none" w:pos="162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(except for a wholly-owned subsidiary), joint venture, partnership or similar business entity or make loans to or investments in any such entity;</w:t>
      </w:r>
    </w:p>
    <w:p>
      <w:pPr>
        <w:spacing w:after="0" w:line="163" w:lineRule="exact"/>
        <w:rPr>
          <w:rFonts w:ascii="Times New Roman" w:cs="Times New Roman" w:eastAsia="Times New Roman" w:hAnsi="Times New Roman"/>
          <w:sz w:val="18"/>
          <w:szCs w:val="18"/>
          <w:color w:val="auto"/>
        </w:rPr>
      </w:pPr>
    </w:p>
    <w:p>
      <w:pPr>
        <w:ind w:left="1640" w:hanging="236"/>
        <w:spacing w:after="0"/>
        <w:tabs>
          <w:tab w:leader="none" w:pos="1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related party transactions, except as those disclosed in the Series F Stock Purchase Agreement or any schedule</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thereto;</w:t>
      </w:r>
    </w:p>
    <w:p>
      <w:pPr>
        <w:spacing w:after="0" w:line="197" w:lineRule="exact"/>
        <w:rPr>
          <w:rFonts w:ascii="Times New Roman" w:cs="Times New Roman" w:eastAsia="Times New Roman" w:hAnsi="Times New Roman"/>
          <w:sz w:val="18"/>
          <w:szCs w:val="18"/>
          <w:color w:val="auto"/>
        </w:rPr>
      </w:pPr>
    </w:p>
    <w:p>
      <w:pPr>
        <w:ind w:left="1620" w:hanging="216"/>
        <w:spacing w:after="0"/>
        <w:tabs>
          <w:tab w:leader="none" w:pos="16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any subsidiary of the Corporation to issue shares of capital stock of such subsidiary other than to the Corporation;</w:t>
      </w:r>
    </w:p>
    <w:p>
      <w:pPr>
        <w:spacing w:after="0" w:line="217" w:lineRule="exact"/>
        <w:rPr>
          <w:rFonts w:ascii="Times New Roman" w:cs="Times New Roman" w:eastAsia="Times New Roman" w:hAnsi="Times New Roman"/>
          <w:sz w:val="18"/>
          <w:szCs w:val="18"/>
          <w:color w:val="auto"/>
        </w:rPr>
      </w:pPr>
    </w:p>
    <w:p>
      <w:pPr>
        <w:ind w:left="1660" w:hanging="256"/>
        <w:spacing w:after="0"/>
        <w:tabs>
          <w:tab w:leader="none" w:pos="1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 material amount of assets through a merger or purchase of all or substantially all of the assets or capital stock of</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entity;</w:t>
      </w:r>
    </w:p>
    <w:p>
      <w:pPr>
        <w:spacing w:after="0" w:line="197" w:lineRule="exact"/>
        <w:rPr>
          <w:rFonts w:ascii="Times New Roman" w:cs="Times New Roman" w:eastAsia="Times New Roman" w:hAnsi="Times New Roman"/>
          <w:sz w:val="18"/>
          <w:szCs w:val="18"/>
          <w:color w:val="auto"/>
        </w:rPr>
      </w:pPr>
    </w:p>
    <w:p>
      <w:pPr>
        <w:ind w:left="1660" w:hanging="256"/>
        <w:spacing w:after="0"/>
        <w:tabs>
          <w:tab w:leader="none" w:pos="1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Article IV.B.6; or</w:t>
      </w:r>
    </w:p>
    <w:p>
      <w:pPr>
        <w:spacing w:after="0" w:line="217" w:lineRule="exact"/>
        <w:rPr>
          <w:rFonts w:ascii="Times New Roman" w:cs="Times New Roman" w:eastAsia="Times New Roman" w:hAnsi="Times New Roman"/>
          <w:sz w:val="18"/>
          <w:szCs w:val="18"/>
          <w:color w:val="auto"/>
        </w:rPr>
      </w:pPr>
    </w:p>
    <w:p>
      <w:pPr>
        <w:ind w:right="80" w:firstLine="1404"/>
        <w:spacing w:after="0" w:line="274" w:lineRule="auto"/>
        <w:tabs>
          <w:tab w:leader="none" w:pos="16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entity over which the Corporation has, directly or indirectly, a majority of the voting power to take any of the actions set forth in this Article IV.B.6.</w:t>
      </w:r>
    </w:p>
    <w:p>
      <w:pPr>
        <w:spacing w:after="0" w:line="163" w:lineRule="exact"/>
        <w:rPr>
          <w:sz w:val="20"/>
          <w:szCs w:val="20"/>
          <w:color w:val="auto"/>
        </w:rPr>
      </w:pPr>
    </w:p>
    <w:p>
      <w:pPr>
        <w:ind w:right="320" w:firstLine="432"/>
        <w:spacing w:after="0" w:line="274" w:lineRule="auto"/>
        <w:rPr>
          <w:sz w:val="20"/>
          <w:szCs w:val="20"/>
          <w:color w:val="auto"/>
        </w:rPr>
      </w:pPr>
      <w:r>
        <w:rPr>
          <w:rFonts w:ascii="Times New Roman" w:cs="Times New Roman" w:eastAsia="Times New Roman" w:hAnsi="Times New Roman"/>
          <w:sz w:val="18"/>
          <w:szCs w:val="18"/>
          <w:color w:val="auto"/>
        </w:rPr>
        <w:t>For purposes of this Section 6 and Section 7 below, the term conversion refers to the conversion of the Corporation into a different entity type pursuant to Section 266 of the General Corporation Law.</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60"/>
          </w:cols>
          <w:pgMar w:left="540" w:top="267" w:right="599" w:bottom="1440" w:gutter="0" w:footer="0" w:header="0"/>
        </w:sectPr>
      </w:pPr>
    </w:p>
    <w:bookmarkStart w:id="252" w:name="page253"/>
    <w:bookmarkEnd w:id="252"/>
    <w:p>
      <w:pPr>
        <w:ind w:left="-60" w:firstLine="971"/>
        <w:spacing w:after="0" w:line="259" w:lineRule="auto"/>
        <w:tabs>
          <w:tab w:leader="none" w:pos="109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Series E Preferred Stock Protective Provisions</w:t>
      </w:r>
      <w:r>
        <w:rPr>
          <w:rFonts w:ascii="Times New Roman" w:cs="Times New Roman" w:eastAsia="Times New Roman" w:hAnsi="Times New Roman"/>
          <w:sz w:val="18"/>
          <w:szCs w:val="18"/>
          <w:color w:val="auto"/>
        </w:rPr>
        <w:t>. So long as any shares of Series E Preferred Stock are outstanding, this Corporation shall not (by amendment, merger, consolidation or otherwise) without first obtaining the approval (by vote or written consent, as provided by law) of the Series E Majority:</w:t>
      </w:r>
    </w:p>
    <w:p>
      <w:pPr>
        <w:spacing w:after="0" w:line="71" w:lineRule="exact"/>
        <w:rPr>
          <w:rFonts w:ascii="Times New Roman" w:cs="Times New Roman" w:eastAsia="Times New Roman" w:hAnsi="Times New Roman"/>
          <w:sz w:val="18"/>
          <w:szCs w:val="18"/>
          <w:color w:val="auto"/>
        </w:rPr>
      </w:pPr>
    </w:p>
    <w:p>
      <w:pPr>
        <w:ind w:left="1580" w:hanging="236"/>
        <w:spacing w:after="0"/>
        <w:tabs>
          <w:tab w:leader="none" w:pos="158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Series E Preferred Stock;</w:t>
      </w:r>
    </w:p>
    <w:p>
      <w:pPr>
        <w:spacing w:after="0" w:line="217" w:lineRule="exact"/>
        <w:rPr>
          <w:rFonts w:ascii="Times New Roman" w:cs="Times New Roman" w:eastAsia="Times New Roman" w:hAnsi="Times New Roman"/>
          <w:sz w:val="18"/>
          <w:szCs w:val="18"/>
          <w:color w:val="auto"/>
        </w:rPr>
      </w:pPr>
    </w:p>
    <w:p>
      <w:pPr>
        <w:ind w:left="1600" w:hanging="256"/>
        <w:spacing w:after="0"/>
        <w:tabs>
          <w:tab w:leader="none" w:pos="160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waive the final proviso in Article IV.B.2(f) hereof with respect to the Series E Preferred Stock; or</w:t>
      </w:r>
    </w:p>
    <w:p>
      <w:pPr>
        <w:spacing w:after="0" w:line="217" w:lineRule="exact"/>
        <w:rPr>
          <w:rFonts w:ascii="Times New Roman" w:cs="Times New Roman" w:eastAsia="Times New Roman" w:hAnsi="Times New Roman"/>
          <w:sz w:val="18"/>
          <w:szCs w:val="18"/>
          <w:color w:val="auto"/>
        </w:rPr>
      </w:pPr>
    </w:p>
    <w:p>
      <w:pPr>
        <w:ind w:left="1580" w:hanging="236"/>
        <w:spacing w:after="0"/>
        <w:tabs>
          <w:tab w:leader="none" w:pos="158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Article IV.B.7.</w:t>
      </w:r>
    </w:p>
    <w:p>
      <w:pPr>
        <w:spacing w:after="0" w:line="217" w:lineRule="exact"/>
        <w:rPr>
          <w:rFonts w:ascii="Times New Roman" w:cs="Times New Roman" w:eastAsia="Times New Roman" w:hAnsi="Times New Roman"/>
          <w:sz w:val="18"/>
          <w:szCs w:val="18"/>
          <w:color w:val="auto"/>
        </w:rPr>
      </w:pPr>
    </w:p>
    <w:p>
      <w:pPr>
        <w:ind w:left="-60" w:right="20" w:firstLine="971"/>
        <w:spacing w:after="0" w:line="259" w:lineRule="auto"/>
        <w:tabs>
          <w:tab w:leader="none" w:pos="109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F Preferred Stock Protective Provisions</w:t>
      </w:r>
      <w:r>
        <w:rPr>
          <w:rFonts w:ascii="Times New Roman" w:cs="Times New Roman" w:eastAsia="Times New Roman" w:hAnsi="Times New Roman"/>
          <w:sz w:val="18"/>
          <w:szCs w:val="18"/>
          <w:color w:val="auto"/>
        </w:rPr>
        <w:t>. So long as any shares of Series F Preferred Stock are outstanding, this Corporation shall not (by amendment, merger, consolidation or otherwise) without first obtaining the approval (by vote or written consent, as provided by law) of the Series F Majority:</w:t>
      </w:r>
    </w:p>
    <w:p>
      <w:pPr>
        <w:spacing w:after="0" w:line="71" w:lineRule="exact"/>
        <w:rPr>
          <w:rFonts w:ascii="Times New Roman" w:cs="Times New Roman" w:eastAsia="Times New Roman" w:hAnsi="Times New Roman"/>
          <w:sz w:val="18"/>
          <w:szCs w:val="18"/>
          <w:color w:val="auto"/>
        </w:rPr>
      </w:pPr>
    </w:p>
    <w:p>
      <w:pPr>
        <w:ind w:left="1580" w:hanging="236"/>
        <w:spacing w:after="0"/>
        <w:tabs>
          <w:tab w:leader="none" w:pos="158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Series F Preferred Stock;</w:t>
      </w:r>
    </w:p>
    <w:p>
      <w:pPr>
        <w:spacing w:after="0" w:line="217" w:lineRule="exact"/>
        <w:rPr>
          <w:rFonts w:ascii="Times New Roman" w:cs="Times New Roman" w:eastAsia="Times New Roman" w:hAnsi="Times New Roman"/>
          <w:sz w:val="18"/>
          <w:szCs w:val="18"/>
          <w:color w:val="auto"/>
        </w:rPr>
      </w:pPr>
    </w:p>
    <w:p>
      <w:pPr>
        <w:ind w:left="1600" w:hanging="256"/>
        <w:spacing w:after="0"/>
        <w:tabs>
          <w:tab w:leader="none" w:pos="160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waive the second-to-final proviso in Article IV.B.2(f) hereof with respect to the Series F Preferred Stock; or</w:t>
      </w:r>
    </w:p>
    <w:p>
      <w:pPr>
        <w:spacing w:after="0" w:line="217" w:lineRule="exact"/>
        <w:rPr>
          <w:rFonts w:ascii="Times New Roman" w:cs="Times New Roman" w:eastAsia="Times New Roman" w:hAnsi="Times New Roman"/>
          <w:sz w:val="18"/>
          <w:szCs w:val="18"/>
          <w:color w:val="auto"/>
        </w:rPr>
      </w:pPr>
    </w:p>
    <w:p>
      <w:pPr>
        <w:ind w:left="1580" w:hanging="236"/>
        <w:spacing w:after="0"/>
        <w:tabs>
          <w:tab w:leader="none" w:pos="158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Article IV.B.8.</w:t>
      </w:r>
    </w:p>
    <w:p>
      <w:pPr>
        <w:spacing w:after="0" w:line="217" w:lineRule="exact"/>
        <w:rPr>
          <w:rFonts w:ascii="Times New Roman" w:cs="Times New Roman" w:eastAsia="Times New Roman" w:hAnsi="Times New Roman"/>
          <w:sz w:val="18"/>
          <w:szCs w:val="18"/>
          <w:color w:val="auto"/>
        </w:rPr>
      </w:pPr>
    </w:p>
    <w:p>
      <w:pPr>
        <w:ind w:left="-60" w:right="20" w:firstLine="971"/>
        <w:spacing w:after="0" w:line="259" w:lineRule="auto"/>
        <w:tabs>
          <w:tab w:leader="none" w:pos="109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Redeemed or Converted Stock</w:t>
      </w:r>
      <w:r>
        <w:rPr>
          <w:rFonts w:ascii="Times New Roman" w:cs="Times New Roman" w:eastAsia="Times New Roman" w:hAnsi="Times New Roman"/>
          <w:sz w:val="18"/>
          <w:szCs w:val="18"/>
          <w:color w:val="auto"/>
        </w:rPr>
        <w:t>. In the event any shares of the Preferred Stock shall be redeemed or converted pursuant to Article IV.B.3 or Article IV.B.4, the shares so redeemed or converted shall be cancelled and shall not be issuable by this Corporation. This Certificate of Incorporation shall be appropriately amended to effect the corresponding reduction in this Corporation’s authorized capital stock.</w:t>
      </w:r>
    </w:p>
    <w:p>
      <w:pPr>
        <w:spacing w:after="0" w:line="177" w:lineRule="exact"/>
        <w:rPr>
          <w:rFonts w:ascii="Times New Roman" w:cs="Times New Roman" w:eastAsia="Times New Roman" w:hAnsi="Times New Roman"/>
          <w:sz w:val="18"/>
          <w:szCs w:val="18"/>
          <w:color w:val="auto"/>
        </w:rPr>
      </w:pPr>
    </w:p>
    <w:p>
      <w:pPr>
        <w:ind w:left="-60" w:right="40" w:firstLine="430"/>
        <w:spacing w:after="0" w:line="274" w:lineRule="auto"/>
        <w:tabs>
          <w:tab w:leader="none" w:pos="57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rights, preferences, privileges and restrictions granted to and imposed on the Common Stock are as set forth below in this Article IV.C.</w:t>
      </w:r>
    </w:p>
    <w:p>
      <w:pPr>
        <w:spacing w:after="0" w:line="163" w:lineRule="exact"/>
        <w:rPr>
          <w:rFonts w:ascii="Times New Roman" w:cs="Times New Roman" w:eastAsia="Times New Roman" w:hAnsi="Times New Roman"/>
          <w:sz w:val="18"/>
          <w:szCs w:val="18"/>
          <w:color w:val="auto"/>
        </w:rPr>
      </w:pPr>
    </w:p>
    <w:p>
      <w:pPr>
        <w:ind w:left="-60" w:right="80" w:firstLine="971"/>
        <w:spacing w:after="0" w:line="259" w:lineRule="auto"/>
        <w:tabs>
          <w:tab w:leader="none" w:pos="109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Rights</w:t>
      </w:r>
      <w:r>
        <w:rPr>
          <w:rFonts w:ascii="Times New Roman" w:cs="Times New Roman" w:eastAsia="Times New Roman" w:hAnsi="Times New Roman"/>
          <w:sz w:val="18"/>
          <w:szCs w:val="18"/>
          <w:color w:val="auto"/>
        </w:rPr>
        <w:t>. Subject to the prior rights of holders of all classes of stock at the time outstanding having prior rights as to dividends, the holders of the Common Stock shall be entitled to receive, when and as declared by the Board of Directors, out of any assets of this Corporation legally available therefor, such dividends as may be declared from time to time by the Board of Directors.</w:t>
      </w:r>
    </w:p>
    <w:p>
      <w:pPr>
        <w:spacing w:after="0" w:line="177" w:lineRule="exact"/>
        <w:rPr>
          <w:rFonts w:ascii="Times New Roman" w:cs="Times New Roman" w:eastAsia="Times New Roman" w:hAnsi="Times New Roman"/>
          <w:sz w:val="18"/>
          <w:szCs w:val="18"/>
          <w:color w:val="auto"/>
        </w:rPr>
      </w:pPr>
    </w:p>
    <w:p>
      <w:pPr>
        <w:ind w:left="1080" w:hanging="169"/>
        <w:spacing w:after="0"/>
        <w:tabs>
          <w:tab w:leader="none" w:pos="10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Upon a Liquidation Event, the assets of this Corporation shall be distributed as provided in Article IV.B.2.</w:t>
      </w:r>
    </w:p>
    <w:p>
      <w:pPr>
        <w:spacing w:after="0" w:line="217" w:lineRule="exact"/>
        <w:rPr>
          <w:rFonts w:ascii="Times New Roman" w:cs="Times New Roman" w:eastAsia="Times New Roman" w:hAnsi="Times New Roman"/>
          <w:sz w:val="18"/>
          <w:szCs w:val="18"/>
          <w:color w:val="auto"/>
        </w:rPr>
      </w:pPr>
    </w:p>
    <w:p>
      <w:pPr>
        <w:ind w:left="-60" w:firstLine="971"/>
        <w:spacing w:after="0" w:line="274" w:lineRule="auto"/>
        <w:tabs>
          <w:tab w:leader="none" w:pos="109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Neither the Corporation nor the holders of Common Stock shall have the unilateral right to call or redeem or cause to have called or redeemed any shares of Common Stock.</w:t>
      </w:r>
    </w:p>
    <w:p>
      <w:pPr>
        <w:spacing w:after="0" w:line="163" w:lineRule="exact"/>
        <w:rPr>
          <w:rFonts w:ascii="Times New Roman" w:cs="Times New Roman" w:eastAsia="Times New Roman" w:hAnsi="Times New Roman"/>
          <w:sz w:val="18"/>
          <w:szCs w:val="18"/>
          <w:color w:val="auto"/>
        </w:rPr>
      </w:pPr>
    </w:p>
    <w:p>
      <w:pPr>
        <w:ind w:left="-60" w:right="160" w:firstLine="971"/>
        <w:spacing w:after="0" w:line="255" w:lineRule="auto"/>
        <w:tabs>
          <w:tab w:leader="none" w:pos="109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xml:space="preserve">. The holder of each share of Common Stock shall have the right to one vote for each such share, and shall be entitled to notice of any stockholders’ meeting in accordance with the Bylaws of this Corporation, and shall be entitled to vote upon such matters and in such manner as may be provided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except as otherwise required by law, holders of Common Stock, as such, shall not be entitled to vote on any amendment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00"/>
          </w:cols>
          <w:pgMar w:left="600" w:top="267" w:right="599" w:bottom="1440" w:gutter="0" w:footer="0" w:header="0"/>
        </w:sectPr>
      </w:pPr>
    </w:p>
    <w:bookmarkStart w:id="253" w:name="page254"/>
    <w:bookmarkEnd w:id="25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19" w:lineRule="exact"/>
        <w:rPr>
          <w:sz w:val="20"/>
          <w:szCs w:val="20"/>
          <w:color w:val="auto"/>
        </w:rPr>
      </w:pPr>
    </w:p>
    <w:p>
      <w:pPr>
        <w:ind w:right="40" w:firstLine="432"/>
        <w:spacing w:after="0" w:line="274" w:lineRule="auto"/>
        <w:rPr>
          <w:sz w:val="20"/>
          <w:szCs w:val="20"/>
          <w:color w:val="auto"/>
        </w:rPr>
      </w:pPr>
      <w:r>
        <w:rPr>
          <w:rFonts w:ascii="Times New Roman" w:cs="Times New Roman" w:eastAsia="Times New Roman" w:hAnsi="Times New Roman"/>
          <w:sz w:val="18"/>
          <w:szCs w:val="18"/>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19" w:lineRule="exact"/>
        <w:rPr>
          <w:sz w:val="20"/>
          <w:szCs w:val="20"/>
          <w:color w:val="auto"/>
        </w:rPr>
      </w:pPr>
    </w:p>
    <w:p>
      <w:pPr>
        <w:ind w:right="40" w:firstLine="432"/>
        <w:spacing w:after="0" w:line="274" w:lineRule="auto"/>
        <w:rPr>
          <w:sz w:val="20"/>
          <w:szCs w:val="20"/>
          <w:color w:val="auto"/>
        </w:rPr>
      </w:pPr>
      <w:r>
        <w:rPr>
          <w:rFonts w:ascii="Times New Roman" w:cs="Times New Roman" w:eastAsia="Times New Roman" w:hAnsi="Times New Roman"/>
          <w:sz w:val="18"/>
          <w:szCs w:val="18"/>
          <w:color w:val="auto"/>
        </w:rPr>
        <w:t>Subject to the requirements of Section 5 of Article IV(B) hereof, the number of directors of this Corporation shall be determined in the manner set forth in the Bylaws of this Corporation.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Elections of directors need not be by written ballot unless the Bylaws of this Corporation shall so provide.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19" w:lineRule="exact"/>
        <w:rPr>
          <w:sz w:val="20"/>
          <w:szCs w:val="20"/>
          <w:color w:val="auto"/>
        </w:rPr>
      </w:pPr>
    </w:p>
    <w:p>
      <w:pPr>
        <w:jc w:val="both"/>
        <w:ind w:right="120" w:firstLine="432"/>
        <w:spacing w:after="0" w:line="259"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19" w:lineRule="exact"/>
        <w:rPr>
          <w:sz w:val="20"/>
          <w:szCs w:val="20"/>
          <w:color w:val="auto"/>
        </w:rPr>
      </w:pPr>
    </w:p>
    <w:p>
      <w:pPr>
        <w:jc w:val="both"/>
        <w:ind w:right="20" w:firstLine="432"/>
        <w:spacing w:after="0" w:line="274" w:lineRule="auto"/>
        <w:rPr>
          <w:sz w:val="20"/>
          <w:szCs w:val="20"/>
          <w:color w:val="auto"/>
        </w:rPr>
      </w:pPr>
      <w:r>
        <w:rPr>
          <w:rFonts w:ascii="Times New Roman" w:cs="Times New Roman" w:eastAsia="Times New Roman" w:hAnsi="Times New Roman"/>
          <w:sz w:val="17"/>
          <w:szCs w:val="17"/>
          <w:color w:val="auto"/>
        </w:rPr>
        <w:t>To the fullest extent permitted by law, a director or officer of this Corporation shall not be personally liable to this Corporation or its stockholders for monetary damages for breach of fiduciary duty as a director or officer. If the General Corporation Law is amended after approval by the stockholders of this Article IX to authorize corporate action further eliminating or limiting the personal liability of directors or officers, then the liability of a director or officer of this Corporation shall be eliminated or limited to the fullest extent permitted by the General Corporation Law as so amended.</w:t>
      </w:r>
    </w:p>
    <w:p>
      <w:pPr>
        <w:spacing w:after="0" w:line="167" w:lineRule="exact"/>
        <w:rPr>
          <w:sz w:val="20"/>
          <w:szCs w:val="20"/>
          <w:color w:val="auto"/>
        </w:rPr>
      </w:pPr>
    </w:p>
    <w:p>
      <w:pPr>
        <w:jc w:val="both"/>
        <w:ind w:right="140" w:firstLine="432"/>
        <w:spacing w:after="0" w:line="282" w:lineRule="auto"/>
        <w:rPr>
          <w:sz w:val="20"/>
          <w:szCs w:val="20"/>
          <w:color w:val="auto"/>
        </w:rPr>
      </w:pPr>
      <w:r>
        <w:rPr>
          <w:rFonts w:ascii="Times New Roman" w:cs="Times New Roman" w:eastAsia="Times New Roman" w:hAnsi="Times New Roman"/>
          <w:sz w:val="17"/>
          <w:szCs w:val="17"/>
          <w:color w:val="auto"/>
        </w:rPr>
        <w:t>Any amendment, repeal or modification of the foregoing provisions of this Article IX by the stockholders of this Corporation shall not adversely affect any right or protection of a director or officer of this Corporation existing at the time of, or increase the liability of any director or officer of this Corporation with respect to any acts or omissions of such director or officer occurring prior to, such amendment, repeal or modification.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00"/>
          </w:cols>
          <w:pgMar w:left="540" w:top="267" w:right="559" w:bottom="1440" w:gutter="0" w:footer="0" w:header="0"/>
        </w:sectPr>
      </w:pPr>
    </w:p>
    <w:bookmarkStart w:id="254" w:name="page255"/>
    <w:bookmarkEnd w:id="254"/>
    <w:p>
      <w:pPr>
        <w:jc w:val="center"/>
        <w:ind w:right="-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ARTICLE X.</w:t>
      </w:r>
    </w:p>
    <w:p>
      <w:pPr>
        <w:spacing w:after="0" w:line="219" w:lineRule="exact"/>
        <w:rPr>
          <w:sz w:val="20"/>
          <w:szCs w:val="20"/>
          <w:color w:val="auto"/>
        </w:rPr>
      </w:pPr>
    </w:p>
    <w:p>
      <w:pPr>
        <w:ind w:left="2" w:right="320" w:firstLine="432"/>
        <w:spacing w:after="0" w:line="259" w:lineRule="auto"/>
        <w:rPr>
          <w:sz w:val="20"/>
          <w:szCs w:val="20"/>
          <w:color w:val="auto"/>
        </w:rPr>
      </w:pPr>
      <w:r>
        <w:rPr>
          <w:rFonts w:ascii="Times New Roman" w:cs="Times New Roman" w:eastAsia="Times New Roman" w:hAnsi="Times New Roman"/>
          <w:sz w:val="18"/>
          <w:szCs w:val="18"/>
          <w:color w:val="auto"/>
        </w:rPr>
        <w:t>This corporation reserves the right to amend, alter, change or repeal any provision contained in this Certificate of Incorporation, in the manner now or hereafter prescribed by statute, and, subject to the requirements of Section 6 of Article IV(B) hereof, all rights conferred upon stockholders herein are granted subject to this reservation.</w:t>
      </w:r>
    </w:p>
    <w:p>
      <w:pPr>
        <w:spacing w:after="0" w:line="38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19" w:lineRule="exact"/>
        <w:rPr>
          <w:sz w:val="20"/>
          <w:szCs w:val="20"/>
          <w:color w:val="auto"/>
        </w:rPr>
      </w:pPr>
    </w:p>
    <w:p>
      <w:pPr>
        <w:ind w:left="2" w:firstLine="432"/>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applicable law, this Corporation is authorized to provide indemnification of (and advancement of expenses to) directors, officers, employees and agents of this Corporation (and any other persons to which General Corporation Law permits this Corporation to provide indemnification) through Bylaw provisions, agreements with such persons, vote of stockholders or disinterested directors or otherwise, in excess of the indemnification and advancement otherwise permitted by Section 145 of the General Corporation Law.</w:t>
      </w:r>
    </w:p>
    <w:p>
      <w:pPr>
        <w:spacing w:after="0" w:line="180" w:lineRule="exact"/>
        <w:rPr>
          <w:sz w:val="20"/>
          <w:szCs w:val="20"/>
          <w:color w:val="auto"/>
        </w:rPr>
      </w:pPr>
    </w:p>
    <w:p>
      <w:pPr>
        <w:ind w:left="2" w:right="40" w:firstLine="432"/>
        <w:spacing w:after="0" w:line="259" w:lineRule="auto"/>
        <w:rPr>
          <w:sz w:val="20"/>
          <w:szCs w:val="20"/>
          <w:color w:val="auto"/>
        </w:rPr>
      </w:pPr>
      <w:r>
        <w:rPr>
          <w:rFonts w:ascii="Times New Roman" w:cs="Times New Roman" w:eastAsia="Times New Roman" w:hAnsi="Times New Roman"/>
          <w:sz w:val="18"/>
          <w:szCs w:val="18"/>
          <w:color w:val="auto"/>
        </w:rPr>
        <w:t>Any amendment, repeal or modification of the foregoing provisions of this Article XI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w:t>
      </w:r>
    </w:p>
    <w:p>
      <w:pPr>
        <w:spacing w:after="0" w:line="38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19" w:lineRule="exact"/>
        <w:rPr>
          <w:sz w:val="20"/>
          <w:szCs w:val="20"/>
          <w:color w:val="auto"/>
        </w:rPr>
      </w:pPr>
    </w:p>
    <w:p>
      <w:pPr>
        <w:ind w:left="2" w:right="100" w:firstLine="432"/>
        <w:spacing w:after="0" w:line="265" w:lineRule="auto"/>
        <w:rPr>
          <w:sz w:val="20"/>
          <w:szCs w:val="20"/>
          <w:color w:val="auto"/>
        </w:rPr>
      </w:pPr>
      <w:r>
        <w:rPr>
          <w:rFonts w:ascii="Times New Roman" w:cs="Times New Roman" w:eastAsia="Times New Roman" w:hAnsi="Times New Roman"/>
          <w:sz w:val="17"/>
          <w:szCs w:val="17"/>
          <w:color w:val="auto"/>
        </w:rPr>
        <w:t>This Corporation renounces, to the fullest extent permitted by law, any interest or expectancy of this Corporation in, or in being offered an opportunity to participate in, any Excluded Opportunity. An “</w:t>
      </w:r>
      <w:r>
        <w:rPr>
          <w:rFonts w:ascii="Times New Roman" w:cs="Times New Roman" w:eastAsia="Times New Roman" w:hAnsi="Times New Roman"/>
          <w:sz w:val="17"/>
          <w:szCs w:val="17"/>
          <w:u w:val="single" w:color="auto"/>
          <w:color w:val="auto"/>
        </w:rPr>
        <w:t>Excluded Opportunity</w:t>
      </w:r>
      <w:r>
        <w:rPr>
          <w:rFonts w:ascii="Times New Roman" w:cs="Times New Roman" w:eastAsia="Times New Roman" w:hAnsi="Times New Roman"/>
          <w:sz w:val="17"/>
          <w:szCs w:val="17"/>
          <w:color w:val="auto"/>
        </w:rPr>
        <w:t xml:space="preserve">”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partner, member, director, stockholder, employee, affiliate or agent of any such holder, other than someone who is an employee of this Corporation or any of its subsidiaries (collectively, the persons referred to in </w:t>
      </w:r>
      <w:r>
        <w:rPr>
          <w:rFonts w:ascii="Times New Roman" w:cs="Times New Roman" w:eastAsia="Times New Roman" w:hAnsi="Times New Roman"/>
          <w:sz w:val="17"/>
          <w:szCs w:val="17"/>
          <w:u w:val="single" w:color="auto"/>
          <w:color w:val="auto"/>
        </w:rPr>
        <w:t>clauses</w:t>
      </w:r>
    </w:p>
    <w:p>
      <w:pPr>
        <w:ind w:left="2" w:hanging="2"/>
        <w:spacing w:after="0" w:line="246" w:lineRule="auto"/>
        <w:tabs>
          <w:tab w:leader="none" w:pos="213" w:val="left"/>
        </w:tabs>
        <w:numPr>
          <w:ilvl w:val="0"/>
          <w:numId w:val="1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are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this Corporation while such Covered Person is performing services in such capacity. Any repeal or modification of this Article XII will only be prospective and will not affect the rights under this Article XII in effect at the time of the occurrence of any actions or omissions to act giving rise to liability. Notwithstanding anything to the contrary contained elsewhere in this Amended and Restated Certificate of Incorporation, the affirmative vote of the Requisite Holders will be required to amend or repeal, or to adopt any provisions inconsistent with this Article XII.</w:t>
      </w:r>
    </w:p>
    <w:p>
      <w:pPr>
        <w:spacing w:after="0" w:line="200" w:lineRule="exact"/>
        <w:rPr>
          <w:sz w:val="20"/>
          <w:szCs w:val="20"/>
          <w:color w:val="auto"/>
        </w:rPr>
      </w:pPr>
    </w:p>
    <w:p>
      <w:pPr>
        <w:spacing w:after="0" w:line="20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19" w:lineRule="exact"/>
        <w:rPr>
          <w:sz w:val="20"/>
          <w:szCs w:val="20"/>
          <w:color w:val="auto"/>
        </w:rPr>
      </w:pPr>
    </w:p>
    <w:p>
      <w:pPr>
        <w:ind w:left="2" w:right="60" w:firstLine="432"/>
        <w:spacing w:after="0" w:line="251" w:lineRule="auto"/>
        <w:rPr>
          <w:sz w:val="20"/>
          <w:szCs w:val="20"/>
          <w:color w:val="auto"/>
        </w:rPr>
      </w:pPr>
      <w:r>
        <w:rPr>
          <w:rFonts w:ascii="Times New Roman" w:cs="Times New Roman" w:eastAsia="Times New Roman" w:hAnsi="Times New Roman"/>
          <w:sz w:val="18"/>
          <w:szCs w:val="18"/>
          <w:color w:val="auto"/>
        </w:rPr>
        <w:t>In connection with repurchases by this Corporation of its Common Stock from employees, officers, directors, advisors, consultants or other persons performing services for this Corporation or any subsidiary pursuant to agreements under which this Corporation has the option to repurchase such shares at cost upon the occurrence of certain events, such as the termination of employment, Section 500 of the California Corporations Code shall not apply in all or in part with respect to such repurchases. In the case of any such repurchases, distributions by the corporation may be made without regard to the “preferential dividends arrears amount” or any “preferential rights amount,” as such terms are defined in Section 500(b) of the California Corporations Code.</w:t>
      </w:r>
    </w:p>
    <w:p>
      <w:pPr>
        <w:spacing w:after="0" w:line="1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02"/>
          </w:cols>
          <w:pgMar w:left="538" w:top="265" w:right="55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ARTICLE XIV.</w:t>
      </w:r>
    </w:p>
    <w:p>
      <w:pPr>
        <w:spacing w:after="0" w:line="219" w:lineRule="exact"/>
        <w:rPr>
          <w:sz w:val="20"/>
          <w:szCs w:val="20"/>
          <w:color w:val="auto"/>
        </w:rPr>
      </w:pPr>
    </w:p>
    <w:p>
      <w:pPr>
        <w:ind w:firstLine="432"/>
        <w:spacing w:after="0" w:line="24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Forum Selection</w:t>
      </w:r>
      <w:r>
        <w:rPr>
          <w:rFonts w:ascii="Times New Roman" w:cs="Times New Roman" w:eastAsia="Times New Roman" w:hAnsi="Times New Roman"/>
          <w:sz w:val="18"/>
          <w:szCs w:val="18"/>
          <w:color w:val="auto"/>
        </w:rPr>
        <w:t>. Unless this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this Corporation, (ii) any action asserting a claim of breach of a fiduciary duty owed by any director, officer or other employee of this Corporation to this Corporation or this Corporation’s stockholders, (iii) any action arising pursuant to any provision of the General Corporation Law or this Certificate of Incorporation or the Bylaws (as either may be amended from time to time), or (iv) any action asserting a claim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Any person or entity purchasing or otherwise acquiring or holding any interest in shares of capital stock of this Corporation shall be deemed to have notice of and consented to the provisions of this Article XIV.</w:t>
      </w:r>
    </w:p>
    <w:p>
      <w:pPr>
        <w:spacing w:after="0" w:line="191" w:lineRule="exact"/>
        <w:rPr>
          <w:sz w:val="20"/>
          <w:szCs w:val="20"/>
          <w:color w:val="auto"/>
        </w:rPr>
      </w:pPr>
    </w:p>
    <w:p>
      <w:pPr>
        <w:ind w:right="60" w:firstLine="432"/>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Personal Jurisdiction</w:t>
      </w:r>
      <w:r>
        <w:rPr>
          <w:rFonts w:ascii="Times New Roman" w:cs="Times New Roman" w:eastAsia="Times New Roman" w:hAnsi="Times New Roman"/>
          <w:sz w:val="18"/>
          <w:szCs w:val="18"/>
          <w:color w:val="auto"/>
        </w:rPr>
        <w:t>. If any action the subject matter of which is within the scope of Article XIV(A) is filed in a court other than a court located within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(i) the personal jurisdiction of the state and federal courts located within the State of Delaware in connection with any action brought in any such court to enforce Article XIV(A) (an “</w:t>
      </w:r>
      <w:r>
        <w:rPr>
          <w:rFonts w:ascii="Times New Roman" w:cs="Times New Roman" w:eastAsia="Times New Roman" w:hAnsi="Times New Roman"/>
          <w:sz w:val="18"/>
          <w:szCs w:val="18"/>
          <w:u w:val="single" w:color="auto"/>
          <w:color w:val="auto"/>
        </w:rPr>
        <w:t>FSC Enforcement Action</w:t>
      </w:r>
      <w:r>
        <w:rPr>
          <w:rFonts w:ascii="Times New Roman" w:cs="Times New Roman" w:eastAsia="Times New Roman" w:hAnsi="Times New Roman"/>
          <w:sz w:val="18"/>
          <w:szCs w:val="18"/>
          <w:color w:val="auto"/>
        </w:rPr>
        <w:t>”) and (ii) having service of process made upon such stockholder in any such FSC Enforcement Action by service upon such stockholder’s counsel in the Foreign Action as agent for such stockholder.</w:t>
      </w:r>
    </w:p>
    <w:p>
      <w:pPr>
        <w:spacing w:after="0" w:line="185" w:lineRule="exact"/>
        <w:rPr>
          <w:sz w:val="20"/>
          <w:szCs w:val="20"/>
          <w:color w:val="auto"/>
        </w:rPr>
      </w:pPr>
    </w:p>
    <w:p>
      <w:pPr>
        <w:ind w:right="20" w:firstLine="432"/>
        <w:spacing w:after="0" w:line="271"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Savings</w:t>
      </w:r>
      <w:r>
        <w:rPr>
          <w:rFonts w:ascii="Times New Roman" w:cs="Times New Roman" w:eastAsia="Times New Roman" w:hAnsi="Times New Roman"/>
          <w:sz w:val="17"/>
          <w:szCs w:val="17"/>
          <w:color w:val="auto"/>
        </w:rPr>
        <w:t>. If any provision or provisions of this Article XIV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XIV (including, without limitation, each portion of any sentence of this Article XIV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00"/>
          </w:cols>
          <w:pgMar w:left="540" w:top="265" w:right="559" w:bottom="1440" w:gutter="0" w:footer="0" w:header="0"/>
        </w:sectPr>
      </w:pPr>
    </w:p>
    <w:bookmarkStart w:id="256" w:name="page257"/>
    <w:bookmarkEnd w:id="256"/>
    <w:p>
      <w:pPr>
        <w:ind w:firstLine="432"/>
        <w:spacing w:after="0" w:line="29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Amended and Restated Certificate of Incorporation has been executed by a duly authorized officer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on this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July, 2023.</w:t>
      </w:r>
    </w:p>
    <w:p>
      <w:pPr>
        <w:spacing w:after="0" w:line="5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14605</wp:posOffset>
            </wp:positionV>
            <wp:extent cx="27425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1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Arthur Kuan, Chief Executive Officer</w:t>
      </w:r>
    </w:p>
    <w:p>
      <w:pPr>
        <w:sectPr>
          <w:pgSz w:w="11900" w:h="16838" w:orient="portrait"/>
          <w:cols w:equalWidth="0" w:num="1">
            <w:col w:w="10280"/>
          </w:cols>
          <w:pgMar w:left="540" w:top="265" w:right="107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1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21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COLD GENESYS, INC.</w:t>
      </w:r>
    </w:p>
    <w:p>
      <w:pPr>
        <w:spacing w:after="0" w:line="2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9920"/>
          </w:cols>
          <w:pgMar w:left="1440" w:top="119" w:right="5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33"/>
        </w:trPr>
        <w:tc>
          <w:tcPr>
            <w:tcW w:w="880" w:type="dxa"/>
            <w:vAlign w:val="bottom"/>
          </w:tcPr>
          <w:p>
            <w:pPr>
              <w:spacing w:after="0"/>
              <w:rPr>
                <w:sz w:val="20"/>
                <w:szCs w:val="20"/>
                <w:color w:val="auto"/>
              </w:rPr>
            </w:pPr>
          </w:p>
        </w:tc>
        <w:tc>
          <w:tcPr>
            <w:tcW w:w="772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r>
      <w:tr>
        <w:trPr>
          <w:trHeight w:val="365"/>
        </w:trPr>
        <w:tc>
          <w:tcPr>
            <w:tcW w:w="8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1"/>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OFFICES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1"/>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MEETINGS OF STOCKHOLDERS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9"/>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2.1</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Location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2.2</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2.3</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2.4</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Stockholders’ Records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Meetings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2.6</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2.7</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Transacted at Special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2.8</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Quorum; Meeting Adjournment; Presence by Remote Means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2.9</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Voting Thresholds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2.10</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Votes Per Share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1"/>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2.11</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Action by Written Consent of Stockholders; Electronic Consent; Notice of Action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DIRECTORS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9"/>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Directors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3.2</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Vacancies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3.3</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Authority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3.4</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Location of Meetings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3.5</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3.6</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Regular Meetings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3.7</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Meetings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3.8</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Quorum</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3.9</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Action Without a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3.10</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Telephonic Meetings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3.11</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3.12</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Minutes of Meetings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3.13</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1"/>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3.14</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Removal of Directors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NOTICES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99"/>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4.1</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4.2</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Notice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1"/>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4.3</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Electronic Notice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OFFICERS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99"/>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Required and Permitted Officers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5.2</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 of Required Officers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1"/>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5.3</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 of Permitted Officers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760"/>
          </w:cols>
          <w:pgMar w:left="540" w:top="265" w:right="5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5.4</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Compensation</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5.5</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of Office; Vacancies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5.6</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Presides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5.7</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Chairman</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5.8</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Powers of Chief Executive Officer</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5.9</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Officer’s Signature Authority</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5.10</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Chief Executive Officer</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5.11</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Powers of President</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5.12</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President</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5.13</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Duties of Secretary</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5.14</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Duties of Assistant Secretary</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5.15</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Duties of Treasurer</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5.16</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Disbursements and Financial Reports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5.17</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Treasurer’s Bond</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1"/>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5.18</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Duties of Assistant Treasurer</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8"/>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CERTIFICATE OF STOCK</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99"/>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6.1</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Certificates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6.2</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Facsimile Signatures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6.3</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Lost Certificates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6.4</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of Stock</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6.5</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Fixing a Record Date</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1"/>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6.6</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Stockholders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8"/>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GENERAL PROVISIONS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99"/>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7.1</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7.2</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 for Dividends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7.3</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Checks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7.4</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Fiscal Year</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7.5</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Seal</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7.6</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1"/>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7.7</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Conflicts with Certificate of Incorporation</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31"/>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AMENDMENTS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31"/>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RESTRICTIONS ON TRANSFER</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31"/>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LOANS TO OFFICERS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31"/>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RECORDS AND REPORTS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58"/>
        </w:trPr>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980" w:type="dxa"/>
            <w:vAlign w:val="bottom"/>
          </w:tcPr>
          <w:p>
            <w:pPr>
              <w:jc w:val="right"/>
              <w:ind w:right="5212"/>
              <w:spacing w:after="0"/>
              <w:rPr>
                <w:sz w:val="20"/>
                <w:szCs w:val="20"/>
                <w:color w:val="auto"/>
              </w:rPr>
            </w:pPr>
            <w:r>
              <w:rPr>
                <w:rFonts w:ascii="Times New Roman" w:cs="Times New Roman" w:eastAsia="Times New Roman" w:hAnsi="Times New Roman"/>
                <w:sz w:val="18"/>
                <w:szCs w:val="18"/>
                <w:color w:val="auto"/>
              </w:rPr>
              <w:t>ii</w:t>
            </w:r>
          </w:p>
        </w:tc>
      </w:tr>
    </w:tbl>
    <w:p>
      <w:pPr>
        <w:jc w:val="right"/>
        <w:ind w:right="5212"/>
        <w:spacing w:after="0"/>
        <w:rPr>
          <w:sz w:val="20"/>
          <w:szCs w:val="20"/>
          <w:color w:val="auto"/>
        </w:rPr>
        <w:sectPr>
          <w:pgSz w:w="11900" w:h="16838" w:orient="portrait"/>
          <w:cols w:equalWidth="0" w:num="1">
            <w:col w:w="10760"/>
          </w:cols>
          <w:pgMar w:left="540" w:top="267" w:right="59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bookmarkStart w:id="260" w:name="page261"/>
    <w:bookmarkEnd w:id="260"/>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AMENDED AND RESTATED BYLAWS</w:t>
      </w:r>
    </w:p>
    <w:p>
      <w:pPr>
        <w:spacing w:after="0" w:line="2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5"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COLD GENESYS, INC.</w:t>
      </w:r>
    </w:p>
    <w:p>
      <w:pPr>
        <w:spacing w:after="0" w:line="9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196"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Registered Office</w:t>
      </w:r>
      <w:r>
        <w:rPr>
          <w:rFonts w:ascii="Times New Roman" w:cs="Times New Roman" w:eastAsia="Times New Roman" w:hAnsi="Times New Roman"/>
          <w:sz w:val="18"/>
          <w:szCs w:val="18"/>
          <w:color w:val="auto"/>
        </w:rPr>
        <w:t>. The registered office shall be in the City of Dover, County of Kent, State of Delaware.</w:t>
      </w:r>
    </w:p>
    <w:p>
      <w:pPr>
        <w:spacing w:after="0" w:line="217" w:lineRule="exact"/>
        <w:rPr>
          <w:sz w:val="20"/>
          <w:szCs w:val="20"/>
          <w:color w:val="auto"/>
        </w:rPr>
      </w:pPr>
    </w:p>
    <w:p>
      <w:pPr>
        <w:ind w:left="2" w:right="360" w:firstLine="973"/>
        <w:spacing w:after="0" w:line="27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37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196" w:lineRule="exact"/>
        <w:rPr>
          <w:sz w:val="20"/>
          <w:szCs w:val="20"/>
          <w:color w:val="auto"/>
        </w:rPr>
      </w:pPr>
    </w:p>
    <w:p>
      <w:pPr>
        <w:ind w:left="2" w:firstLine="973"/>
        <w:spacing w:after="0" w:line="250"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Location</w:t>
      </w:r>
      <w:r>
        <w:rPr>
          <w:rFonts w:ascii="Times New Roman" w:cs="Times New Roman" w:eastAsia="Times New Roman" w:hAnsi="Times New Roman"/>
          <w:sz w:val="18"/>
          <w:szCs w:val="18"/>
          <w:color w:val="auto"/>
        </w:rPr>
        <w:t>. All meetings of the stockholders for the election of directors shall be held in the City of Santa Ana, State of California,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187" w:lineRule="exact"/>
        <w:rPr>
          <w:sz w:val="20"/>
          <w:szCs w:val="20"/>
          <w:color w:val="auto"/>
        </w:rPr>
      </w:pPr>
    </w:p>
    <w:p>
      <w:pPr>
        <w:ind w:left="2" w:firstLine="973"/>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18"/>
          <w:szCs w:val="18"/>
          <w:color w:val="auto"/>
        </w:rPr>
        <w:t>. Annual meetings of stockholders, commencing with the year 2017,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173" w:lineRule="exact"/>
        <w:rPr>
          <w:sz w:val="20"/>
          <w:szCs w:val="20"/>
          <w:color w:val="auto"/>
        </w:rPr>
      </w:pPr>
    </w:p>
    <w:p>
      <w:pPr>
        <w:ind w:left="2" w:right="40" w:firstLine="973"/>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Notice of Meeting</w:t>
      </w:r>
      <w:r>
        <w:rPr>
          <w:rFonts w:ascii="Times New Roman" w:cs="Times New Roman" w:eastAsia="Times New Roman" w:hAnsi="Times New Roman"/>
          <w:sz w:val="18"/>
          <w:szCs w:val="18"/>
          <w:color w:val="auto"/>
        </w:rPr>
        <w:t>.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173"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Stockholders’ Records</w:t>
      </w:r>
      <w:r>
        <w:rPr>
          <w:rFonts w:ascii="Times New Roman" w:cs="Times New Roman" w:eastAsia="Times New Roman" w:hAnsi="Times New Roman"/>
          <w:sz w:val="18"/>
          <w:szCs w:val="18"/>
          <w:color w:val="auto"/>
        </w:rPr>
        <w:t>. The officer who has charge of the stock ledger of the corporation shall prepare and make, at least ten</w:t>
      </w:r>
    </w:p>
    <w:p>
      <w:pPr>
        <w:spacing w:after="0" w:line="26" w:lineRule="exact"/>
        <w:rPr>
          <w:sz w:val="20"/>
          <w:szCs w:val="20"/>
          <w:color w:val="auto"/>
        </w:rPr>
      </w:pPr>
    </w:p>
    <w:p>
      <w:pPr>
        <w:ind w:left="2" w:right="180" w:hanging="2"/>
        <w:spacing w:after="0" w:line="248"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 stockholder. Such list</w:t>
      </w:r>
    </w:p>
    <w:p>
      <w:pPr>
        <w:sectPr>
          <w:pgSz w:w="11900" w:h="16838" w:orient="portrait"/>
          <w:cols w:equalWidth="0" w:num="1">
            <w:col w:w="10782"/>
          </w:cols>
          <w:pgMar w:left="538" w:top="265" w:right="579" w:bottom="1440" w:gutter="0" w:footer="0" w:header="0"/>
        </w:sectPr>
      </w:pPr>
    </w:p>
    <w:bookmarkStart w:id="261" w:name="page262"/>
    <w:bookmarkEnd w:id="261"/>
    <w:p>
      <w:pPr>
        <w:ind w:left="2"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w:t>
      </w:r>
    </w:p>
    <w:p>
      <w:pPr>
        <w:jc w:val="both"/>
        <w:ind w:left="2" w:right="280" w:hanging="2"/>
        <w:spacing w:after="0" w:line="246" w:lineRule="auto"/>
        <w:tabs>
          <w:tab w:leader="none" w:pos="26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90" w:lineRule="exact"/>
        <w:rPr>
          <w:sz w:val="20"/>
          <w:szCs w:val="20"/>
          <w:color w:val="auto"/>
        </w:rPr>
      </w:pPr>
    </w:p>
    <w:p>
      <w:pPr>
        <w:ind w:left="2" w:right="20" w:firstLine="973"/>
        <w:spacing w:after="0" w:line="275"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b w:val="1"/>
          <w:bCs w:val="1"/>
          <w:color w:val="auto"/>
        </w:rPr>
        <w:t>Special Meetings</w:t>
      </w:r>
      <w:r>
        <w:rPr>
          <w:rFonts w:ascii="Times New Roman" w:cs="Times New Roman" w:eastAsia="Times New Roman" w:hAnsi="Times New Roman"/>
          <w:sz w:val="17"/>
          <w:szCs w:val="17"/>
          <w:color w:val="auto"/>
        </w:rPr>
        <w:t>. Special meetings of the stockholders, for any purpose or purposes, unless otherwise prescribed by statute or by the certificate of incorporation, may be called by the Chief Executive Officer and shall be called by the Chief Executive Officer or secretary at the request in writing of a majority of the Board of Directors, or at the request in writing of stockholders owning at least fifty percent (50%) in amount of the entire capital stock of the corporation issued and outstanding and entitled to vote. Such request shall state the purpose or purposes of the proposed meeting.</w:t>
      </w:r>
    </w:p>
    <w:p>
      <w:pPr>
        <w:spacing w:after="0" w:line="164" w:lineRule="exact"/>
        <w:rPr>
          <w:sz w:val="20"/>
          <w:szCs w:val="20"/>
          <w:color w:val="auto"/>
        </w:rPr>
      </w:pPr>
    </w:p>
    <w:p>
      <w:pPr>
        <w:ind w:left="2" w:right="100" w:firstLine="973"/>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Notice of Meeting</w:t>
      </w:r>
      <w:r>
        <w:rPr>
          <w:rFonts w:ascii="Times New Roman" w:cs="Times New Roman" w:eastAsia="Times New Roman" w:hAnsi="Times New Roman"/>
          <w:sz w:val="18"/>
          <w:szCs w:val="18"/>
          <w:color w:val="auto"/>
        </w:rPr>
        <w:t>.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177" w:lineRule="exact"/>
        <w:rPr>
          <w:sz w:val="20"/>
          <w:szCs w:val="20"/>
          <w:color w:val="auto"/>
        </w:rPr>
      </w:pPr>
    </w:p>
    <w:p>
      <w:pPr>
        <w:ind w:left="2" w:right="120" w:firstLine="973"/>
        <w:spacing w:after="0" w:line="27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color w:val="auto"/>
        </w:rPr>
        <w:t>Business Transacted at Special Meeting</w:t>
      </w:r>
      <w:r>
        <w:rPr>
          <w:rFonts w:ascii="Times New Roman" w:cs="Times New Roman" w:eastAsia="Times New Roman" w:hAnsi="Times New Roman"/>
          <w:sz w:val="18"/>
          <w:szCs w:val="18"/>
          <w:color w:val="auto"/>
        </w:rPr>
        <w:t>. Business transacted at any special meeting of stockholders shall be limited to the purposes stated in the notice.</w:t>
      </w:r>
    </w:p>
    <w:p>
      <w:pPr>
        <w:spacing w:after="0" w:line="160"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Quorum; Meeting Adjournment; Presence by Remote Means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firstLine="1404"/>
        <w:spacing w:after="0" w:line="250" w:lineRule="auto"/>
        <w:tabs>
          <w:tab w:leader="none" w:pos="164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Quorum; Meeting Adjournment</w:t>
      </w:r>
      <w:r>
        <w:rPr>
          <w:rFonts w:ascii="Times New Roman" w:cs="Times New Roman" w:eastAsia="Times New Roman" w:hAnsi="Times New Roman"/>
          <w:sz w:val="18"/>
          <w:szCs w:val="18"/>
          <w:color w:val="auto"/>
        </w:rPr>
        <w:t>. The holders of a majority of the stock issued and outstanding and entitled to vote thereat,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2"/>
          </w:cols>
          <w:pgMar w:left="538" w:top="267" w:right="559" w:bottom="1440" w:gutter="0" w:footer="0" w:header="0"/>
        </w:sectPr>
      </w:pPr>
    </w:p>
    <w:bookmarkStart w:id="262" w:name="page263"/>
    <w:bookmarkEnd w:id="262"/>
    <w:p>
      <w:pPr>
        <w:ind w:right="240" w:firstLine="1404"/>
        <w:spacing w:after="0" w:line="261" w:lineRule="auto"/>
        <w:tabs>
          <w:tab w:leader="none" w:pos="1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Presence by Remote Means</w:t>
      </w:r>
      <w:r>
        <w:rPr>
          <w:rFonts w:ascii="Times New Roman" w:cs="Times New Roman" w:eastAsia="Times New Roman" w:hAnsi="Times New Roman"/>
          <w:sz w:val="18"/>
          <w:szCs w:val="18"/>
          <w:color w:val="auto"/>
        </w:rPr>
        <w:t>. If authorized by the Board of Directors in its sole discretion, and subject to such guidelines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as the Board of Directors may adopt, stockholders and proxyholders not physically present at a meeting of stockholders may, by means of remote communication:</w:t>
      </w:r>
    </w:p>
    <w:p>
      <w:pPr>
        <w:spacing w:after="0" w:line="68" w:lineRule="exact"/>
        <w:rPr>
          <w:rFonts w:ascii="Times New Roman" w:cs="Times New Roman" w:eastAsia="Times New Roman" w:hAnsi="Times New Roman"/>
          <w:sz w:val="18"/>
          <w:szCs w:val="18"/>
          <w:color w:val="auto"/>
        </w:rPr>
      </w:pPr>
    </w:p>
    <w:p>
      <w:pPr>
        <w:ind w:left="2200" w:hanging="256"/>
        <w:spacing w:after="0"/>
        <w:tabs>
          <w:tab w:leader="none" w:pos="22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217" w:lineRule="exact"/>
        <w:rPr>
          <w:rFonts w:ascii="Times New Roman" w:cs="Times New Roman" w:eastAsia="Times New Roman" w:hAnsi="Times New Roman"/>
          <w:sz w:val="18"/>
          <w:szCs w:val="18"/>
          <w:color w:val="auto"/>
        </w:rPr>
      </w:pPr>
    </w:p>
    <w:p>
      <w:pPr>
        <w:ind w:right="140" w:firstLine="1944"/>
        <w:spacing w:after="0" w:line="250" w:lineRule="auto"/>
        <w:tabs>
          <w:tab w:leader="none" w:pos="219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5" w:lineRule="exact"/>
        <w:rPr>
          <w:sz w:val="20"/>
          <w:szCs w:val="20"/>
          <w:color w:val="auto"/>
        </w:rPr>
      </w:pPr>
    </w:p>
    <w:p>
      <w:pPr>
        <w:ind w:right="120" w:firstLine="973"/>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color w:val="auto"/>
        </w:rPr>
        <w:t>Voting Thresholds</w:t>
      </w:r>
      <w:r>
        <w:rPr>
          <w:rFonts w:ascii="Times New Roman" w:cs="Times New Roman" w:eastAsia="Times New Roman" w:hAnsi="Times New Roman"/>
          <w:sz w:val="18"/>
          <w:szCs w:val="18"/>
          <w:color w:val="auto"/>
        </w:rPr>
        <w:t>.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177" w:lineRule="exact"/>
        <w:rPr>
          <w:sz w:val="20"/>
          <w:szCs w:val="20"/>
          <w:color w:val="auto"/>
        </w:rPr>
      </w:pPr>
    </w:p>
    <w:p>
      <w:pPr>
        <w:ind w:firstLine="973"/>
        <w:spacing w:after="0" w:line="261"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color w:val="auto"/>
        </w:rPr>
        <w:t>Number of Votes Per Share</w:t>
      </w:r>
      <w:r>
        <w:rPr>
          <w:rFonts w:ascii="Times New Roman" w:cs="Times New Roman" w:eastAsia="Times New Roman" w:hAnsi="Times New Roman"/>
          <w:sz w:val="18"/>
          <w:szCs w:val="18"/>
          <w:color w:val="auto"/>
        </w:rPr>
        <w:t>.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Action by Written Consent of Stockholders; Electronic Consent; Notice of Action</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1404"/>
        <w:spacing w:after="0" w:line="250" w:lineRule="auto"/>
        <w:tabs>
          <w:tab w:leader="none" w:pos="164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 by Written Consent of Stockholders</w:t>
      </w:r>
      <w:r>
        <w:rPr>
          <w:rFonts w:ascii="Times New Roman" w:cs="Times New Roman" w:eastAsia="Times New Roman" w:hAnsi="Times New Roman"/>
          <w:sz w:val="18"/>
          <w:szCs w:val="18"/>
          <w:color w:val="auto"/>
        </w:rPr>
        <w:t>. Unless otherwise provided by the certificate of incorporation, any action required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540" w:top="265" w:right="559" w:bottom="1440" w:gutter="0" w:footer="0" w:header="0"/>
        </w:sectPr>
      </w:pPr>
    </w:p>
    <w:bookmarkStart w:id="263" w:name="page264"/>
    <w:bookmarkEnd w:id="263"/>
    <w:p>
      <w:pPr>
        <w:ind w:right="20" w:firstLine="1404"/>
        <w:spacing w:after="0" w:line="248" w:lineRule="auto"/>
        <w:tabs>
          <w:tab w:leader="none" w:pos="16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Electronic Consent</w:t>
      </w:r>
      <w:r>
        <w:rPr>
          <w:rFonts w:ascii="Times New Roman" w:cs="Times New Roman" w:eastAsia="Times New Roman" w:hAnsi="Times New Roman"/>
          <w:sz w:val="18"/>
          <w:szCs w:val="18"/>
          <w:color w:val="auto"/>
        </w:rPr>
        <w:t>. A telegram, cablegram or other electronic transmission consenting to an action to be taken and transmitted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185" w:lineRule="exact"/>
        <w:rPr>
          <w:rFonts w:ascii="Times New Roman" w:cs="Times New Roman" w:eastAsia="Times New Roman" w:hAnsi="Times New Roman"/>
          <w:sz w:val="18"/>
          <w:szCs w:val="18"/>
          <w:color w:val="auto"/>
        </w:rPr>
      </w:pPr>
    </w:p>
    <w:p>
      <w:pPr>
        <w:ind w:right="600" w:firstLine="1404"/>
        <w:spacing w:after="0" w:line="276" w:lineRule="auto"/>
        <w:tabs>
          <w:tab w:leader="none" w:pos="164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Action</w:t>
      </w:r>
      <w:r>
        <w:rPr>
          <w:rFonts w:ascii="Times New Roman" w:cs="Times New Roman" w:eastAsia="Times New Roman" w:hAnsi="Times New Roman"/>
          <w:sz w:val="18"/>
          <w:szCs w:val="18"/>
          <w:color w:val="auto"/>
        </w:rPr>
        <w:t>. Prompt notice of any action taken pursuant to this Section 2.11 shall be provided to the stockholders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Section 228(e) of the DGCL.</w:t>
      </w:r>
    </w:p>
    <w:p>
      <w:pPr>
        <w:spacing w:after="0" w:line="37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96" w:lineRule="exact"/>
        <w:rPr>
          <w:sz w:val="20"/>
          <w:szCs w:val="20"/>
          <w:color w:val="auto"/>
        </w:rPr>
      </w:pPr>
    </w:p>
    <w:p>
      <w:pPr>
        <w:ind w:firstLine="973"/>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Authorized Directors</w:t>
      </w:r>
      <w:r>
        <w:rPr>
          <w:rFonts w:ascii="Times New Roman" w:cs="Times New Roman" w:eastAsia="Times New Roman" w:hAnsi="Times New Roman"/>
          <w:sz w:val="18"/>
          <w:szCs w:val="18"/>
          <w:color w:val="auto"/>
        </w:rPr>
        <w:t>.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or her successor is elected and qualified. Directors need not be stockholders.</w:t>
      </w:r>
    </w:p>
    <w:p>
      <w:pPr>
        <w:spacing w:after="0" w:line="173" w:lineRule="exact"/>
        <w:rPr>
          <w:sz w:val="20"/>
          <w:szCs w:val="20"/>
          <w:color w:val="auto"/>
        </w:rPr>
      </w:pPr>
    </w:p>
    <w:p>
      <w:pPr>
        <w:ind w:firstLine="973"/>
        <w:spacing w:after="0" w:line="24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40"/>
          </w:cols>
          <w:pgMar w:left="540" w:top="265" w:right="619" w:bottom="1440" w:gutter="0" w:footer="0" w:header="0"/>
        </w:sectPr>
      </w:pPr>
    </w:p>
    <w:bookmarkStart w:id="264" w:name="page265"/>
    <w:bookmarkEnd w:id="264"/>
    <w:p>
      <w:pPr>
        <w:jc w:val="both"/>
        <w:ind w:left="2" w:right="200" w:firstLine="97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3.3 </w:t>
      </w:r>
      <w:r>
        <w:rPr>
          <w:rFonts w:ascii="Times New Roman" w:cs="Times New Roman" w:eastAsia="Times New Roman" w:hAnsi="Times New Roman"/>
          <w:sz w:val="18"/>
          <w:szCs w:val="18"/>
          <w:b w:val="1"/>
          <w:bCs w:val="1"/>
          <w:color w:val="auto"/>
        </w:rPr>
        <w:t>Board Authority</w:t>
      </w:r>
      <w:r>
        <w:rPr>
          <w:rFonts w:ascii="Times New Roman" w:cs="Times New Roman" w:eastAsia="Times New Roman" w:hAnsi="Times New Roman"/>
          <w:sz w:val="18"/>
          <w:szCs w:val="18"/>
          <w:color w:val="auto"/>
        </w:rPr>
        <w:t>.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73" w:lineRule="exact"/>
        <w:rPr>
          <w:sz w:val="20"/>
          <w:szCs w:val="20"/>
          <w:color w:val="auto"/>
        </w:rPr>
      </w:pPr>
    </w:p>
    <w:p>
      <w:pPr>
        <w:ind w:left="2" w:firstLine="973"/>
        <w:spacing w:after="0" w:line="27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Location of Meetings</w:t>
      </w:r>
      <w:r>
        <w:rPr>
          <w:rFonts w:ascii="Times New Roman" w:cs="Times New Roman" w:eastAsia="Times New Roman" w:hAnsi="Times New Roman"/>
          <w:sz w:val="18"/>
          <w:szCs w:val="18"/>
          <w:color w:val="auto"/>
        </w:rPr>
        <w:t>. The Board of Directors of the corporation may hold meetings, both regular and special, either within or without the State of Delaware.</w:t>
      </w:r>
    </w:p>
    <w:p>
      <w:pPr>
        <w:spacing w:after="0" w:line="160" w:lineRule="exact"/>
        <w:rPr>
          <w:sz w:val="20"/>
          <w:szCs w:val="20"/>
          <w:color w:val="auto"/>
        </w:rPr>
      </w:pPr>
    </w:p>
    <w:p>
      <w:pPr>
        <w:ind w:left="2" w:right="60" w:firstLine="973"/>
        <w:spacing w:after="0" w:line="25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First Meeting</w:t>
      </w:r>
      <w:r>
        <w:rPr>
          <w:rFonts w:ascii="Times New Roman" w:cs="Times New Roman" w:eastAsia="Times New Roman" w:hAnsi="Times New Roman"/>
          <w:sz w:val="18"/>
          <w:szCs w:val="18"/>
          <w:color w:val="auto"/>
        </w:rPr>
        <w:t>.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85" w:lineRule="exact"/>
        <w:rPr>
          <w:sz w:val="20"/>
          <w:szCs w:val="20"/>
          <w:color w:val="auto"/>
        </w:rPr>
      </w:pPr>
    </w:p>
    <w:p>
      <w:pPr>
        <w:ind w:left="2" w:firstLine="973"/>
        <w:spacing w:after="0" w:line="27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Regular Meetings</w:t>
      </w:r>
      <w:r>
        <w:rPr>
          <w:rFonts w:ascii="Times New Roman" w:cs="Times New Roman" w:eastAsia="Times New Roman" w:hAnsi="Times New Roman"/>
          <w:sz w:val="18"/>
          <w:szCs w:val="18"/>
          <w:color w:val="auto"/>
        </w:rPr>
        <w:t>. Regular meetings of the Board of Directors may be held without notice at such time and at such place as shall from time to time be determined by the Board of Directors.</w:t>
      </w:r>
    </w:p>
    <w:p>
      <w:pPr>
        <w:spacing w:after="0" w:line="160" w:lineRule="exact"/>
        <w:rPr>
          <w:sz w:val="20"/>
          <w:szCs w:val="20"/>
          <w:color w:val="auto"/>
        </w:rPr>
      </w:pPr>
    </w:p>
    <w:p>
      <w:pPr>
        <w:ind w:left="2" w:right="400" w:firstLine="973"/>
        <w:spacing w:after="0" w:line="273"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b w:val="1"/>
          <w:bCs w:val="1"/>
          <w:color w:val="auto"/>
        </w:rPr>
        <w:t>Special Meetings</w:t>
      </w:r>
      <w:r>
        <w:rPr>
          <w:rFonts w:ascii="Times New Roman" w:cs="Times New Roman" w:eastAsia="Times New Roman" w:hAnsi="Times New Roman"/>
          <w:sz w:val="17"/>
          <w:szCs w:val="17"/>
          <w:color w:val="auto"/>
        </w:rPr>
        <w:t>. Special meetings of the Board of Directors may be called by the Chief Executive Officer upon notice to each director; special meetings shall be called by the Chief Executive Officer or secretary in like manner and on like notice on the written request of two</w:t>
      </w:r>
    </w:p>
    <w:p>
      <w:pPr>
        <w:spacing w:after="0" w:line="1" w:lineRule="exact"/>
        <w:rPr>
          <w:sz w:val="20"/>
          <w:szCs w:val="20"/>
          <w:color w:val="auto"/>
        </w:rPr>
      </w:pPr>
    </w:p>
    <w:p>
      <w:pPr>
        <w:ind w:left="2" w:right="60" w:hanging="2"/>
        <w:spacing w:after="0" w:line="260" w:lineRule="auto"/>
        <w:tabs>
          <w:tab w:leader="none" w:pos="252"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unless the Board of Directors consists of only one director, in which case special meetings shall be called by the Chief Executive Officer or secretary in like manner and on like notice on the written request of the sole director. Notice of any special meeting shall be given to each director at his or her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w:t>
      </w:r>
    </w:p>
    <w:p>
      <w:pPr>
        <w:spacing w:after="0" w:line="1" w:lineRule="exact"/>
        <w:rPr>
          <w:rFonts w:ascii="Times New Roman" w:cs="Times New Roman" w:eastAsia="Times New Roman" w:hAnsi="Times New Roman"/>
          <w:sz w:val="17"/>
          <w:szCs w:val="17"/>
          <w:color w:val="auto"/>
        </w:rPr>
      </w:pPr>
    </w:p>
    <w:p>
      <w:pPr>
        <w:jc w:val="both"/>
        <w:ind w:left="2" w:hanging="2"/>
        <w:spacing w:after="0" w:line="260" w:lineRule="auto"/>
        <w:tabs>
          <w:tab w:leader="none" w:pos="252"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If by telephone, the notice shall be given at least twelve (12) hours prior to the time set for the meeting.</w:t>
      </w:r>
    </w:p>
    <w:p>
      <w:pPr>
        <w:ind w:left="2"/>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Neither the business to be transacted at, nor the purpose of, any regular or special meeting of the Board of Directors need be specified in the notice of such meeting, except for amendments to these Amended and Restated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12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2"/>
          </w:cols>
          <w:pgMar w:left="538" w:top="265" w:right="559" w:bottom="1440" w:gutter="0" w:footer="0" w:header="0"/>
        </w:sectPr>
      </w:pPr>
    </w:p>
    <w:bookmarkStart w:id="265" w:name="page266"/>
    <w:bookmarkEnd w:id="265"/>
    <w:p>
      <w:pPr>
        <w:ind w:right="60" w:firstLine="97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3.8 </w:t>
      </w: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181" w:lineRule="exact"/>
        <w:rPr>
          <w:sz w:val="20"/>
          <w:szCs w:val="20"/>
          <w:color w:val="auto"/>
        </w:rPr>
      </w:pPr>
    </w:p>
    <w:p>
      <w:pPr>
        <w:ind w:right="40" w:firstLine="973"/>
        <w:spacing w:after="0" w:line="25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color w:val="auto"/>
        </w:rPr>
        <w:t>Action Without a Meeting</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177" w:lineRule="exact"/>
        <w:rPr>
          <w:sz w:val="20"/>
          <w:szCs w:val="20"/>
          <w:color w:val="auto"/>
        </w:rPr>
      </w:pPr>
    </w:p>
    <w:p>
      <w:pPr>
        <w:ind w:right="120" w:firstLine="973"/>
        <w:spacing w:after="0" w:line="25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b w:val="1"/>
          <w:bCs w:val="1"/>
          <w:color w:val="auto"/>
        </w:rPr>
        <w:t>Telephonic Meetings</w:t>
      </w:r>
      <w:r>
        <w:rPr>
          <w:rFonts w:ascii="Times New Roman" w:cs="Times New Roman" w:eastAsia="Times New Roman" w:hAnsi="Times New Roman"/>
          <w:sz w:val="18"/>
          <w:szCs w:val="18"/>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177" w:lineRule="exact"/>
        <w:rPr>
          <w:sz w:val="20"/>
          <w:szCs w:val="20"/>
          <w:color w:val="auto"/>
        </w:rPr>
      </w:pPr>
    </w:p>
    <w:p>
      <w:pPr>
        <w:ind w:right="120" w:firstLine="973"/>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75" w:lineRule="exact"/>
        <w:rPr>
          <w:sz w:val="20"/>
          <w:szCs w:val="20"/>
          <w:color w:val="auto"/>
        </w:rPr>
      </w:pPr>
    </w:p>
    <w:p>
      <w:pPr>
        <w:ind w:firstLine="973"/>
        <w:spacing w:after="0" w:line="259" w:lineRule="auto"/>
        <w:rPr>
          <w:sz w:val="20"/>
          <w:szCs w:val="20"/>
          <w:color w:val="auto"/>
        </w:rPr>
      </w:pPr>
      <w:r>
        <w:rPr>
          <w:rFonts w:ascii="Times New Roman" w:cs="Times New Roman" w:eastAsia="Times New Roman" w:hAnsi="Times New Roman"/>
          <w:sz w:val="18"/>
          <w:szCs w:val="18"/>
          <w:color w:val="auto"/>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78" w:lineRule="exact"/>
        <w:rPr>
          <w:sz w:val="20"/>
          <w:szCs w:val="20"/>
          <w:color w:val="auto"/>
        </w:rPr>
      </w:pPr>
    </w:p>
    <w:p>
      <w:pPr>
        <w:ind w:firstLine="973"/>
        <w:spacing w:after="0" w:line="252" w:lineRule="auto"/>
        <w:rPr>
          <w:sz w:val="20"/>
          <w:szCs w:val="20"/>
          <w:color w:val="auto"/>
        </w:rPr>
      </w:pPr>
      <w:r>
        <w:rPr>
          <w:rFonts w:ascii="Times New Roman" w:cs="Times New Roman" w:eastAsia="Times New Roman" w:hAnsi="Times New Roman"/>
          <w:sz w:val="18"/>
          <w:szCs w:val="18"/>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b w:val="1"/>
          <w:bCs w:val="1"/>
          <w:color w:val="auto"/>
        </w:rPr>
        <w:t>Minutes of Meetings</w:t>
      </w:r>
      <w:r>
        <w:rPr>
          <w:rFonts w:ascii="Times New Roman" w:cs="Times New Roman" w:eastAsia="Times New Roman" w:hAnsi="Times New Roman"/>
          <w:sz w:val="17"/>
          <w:szCs w:val="17"/>
          <w:color w:val="auto"/>
        </w:rPr>
        <w:t>. Each committee shall keep regular minutes of its meetings and report the same to the Board of Directors when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540" w:top="265" w:right="559" w:bottom="1440" w:gutter="0" w:footer="0" w:header="0"/>
        </w:sectPr>
      </w:pPr>
    </w:p>
    <w:bookmarkStart w:id="266" w:name="page267"/>
    <w:bookmarkEnd w:id="266"/>
    <w:p>
      <w:pPr>
        <w:ind w:left="2" w:right="20" w:firstLine="97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3.13 </w:t>
      </w:r>
      <w:r>
        <w:rPr>
          <w:rFonts w:ascii="Times New Roman" w:cs="Times New Roman" w:eastAsia="Times New Roman" w:hAnsi="Times New Roman"/>
          <w:sz w:val="18"/>
          <w:szCs w:val="18"/>
          <w:b w:val="1"/>
          <w:bCs w:val="1"/>
          <w:color w:val="auto"/>
        </w:rPr>
        <w:t>Compensation of Directors</w:t>
      </w:r>
      <w:r>
        <w:rPr>
          <w:rFonts w:ascii="Times New Roman" w:cs="Times New Roman" w:eastAsia="Times New Roman" w:hAnsi="Times New Roman"/>
          <w:sz w:val="18"/>
          <w:szCs w:val="18"/>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1" w:lineRule="exact"/>
        <w:rPr>
          <w:sz w:val="20"/>
          <w:szCs w:val="20"/>
          <w:color w:val="auto"/>
        </w:rPr>
      </w:pPr>
    </w:p>
    <w:p>
      <w:pPr>
        <w:ind w:left="2" w:right="20" w:firstLine="973"/>
        <w:spacing w:after="0" w:line="276"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b w:val="1"/>
          <w:bCs w:val="1"/>
          <w:color w:val="auto"/>
        </w:rPr>
        <w:t>Removal of Directors</w:t>
      </w:r>
      <w:r>
        <w:rPr>
          <w:rFonts w:ascii="Times New Roman" w:cs="Times New Roman" w:eastAsia="Times New Roman" w:hAnsi="Times New Roman"/>
          <w:sz w:val="18"/>
          <w:szCs w:val="18"/>
          <w:color w:val="auto"/>
        </w:rPr>
        <w:t>.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37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96" w:lineRule="exact"/>
        <w:rPr>
          <w:sz w:val="20"/>
          <w:szCs w:val="20"/>
          <w:color w:val="auto"/>
        </w:rPr>
      </w:pPr>
    </w:p>
    <w:p>
      <w:pPr>
        <w:ind w:left="2" w:right="20" w:firstLine="973"/>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181" w:lineRule="exact"/>
        <w:rPr>
          <w:sz w:val="20"/>
          <w:szCs w:val="20"/>
          <w:color w:val="auto"/>
        </w:rPr>
      </w:pPr>
    </w:p>
    <w:p>
      <w:pPr>
        <w:ind w:left="2" w:firstLine="973"/>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Waiver of Notice</w:t>
      </w:r>
      <w:r>
        <w:rPr>
          <w:rFonts w:ascii="Times New Roman" w:cs="Times New Roman" w:eastAsia="Times New Roman" w:hAnsi="Times New Roman"/>
          <w:sz w:val="18"/>
          <w:szCs w:val="18"/>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173"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Electronic Notice</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right="40" w:firstLine="1404"/>
        <w:spacing w:after="0" w:line="265" w:lineRule="auto"/>
        <w:tabs>
          <w:tab w:leader="none" w:pos="1647"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Electronic Transmission</w:t>
      </w:r>
      <w:r>
        <w:rPr>
          <w:rFonts w:ascii="Times New Roman" w:cs="Times New Roman" w:eastAsia="Times New Roman" w:hAnsi="Times New Roman"/>
          <w:sz w:val="17"/>
          <w:szCs w:val="17"/>
          <w:color w:val="auto"/>
        </w:rPr>
        <w:t>. Without limiting the manner by which notice otherwise may be given effectively to stockholders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 accordance with such consent and</w:t>
      </w:r>
    </w:p>
    <w:p>
      <w:pPr>
        <w:spacing w:after="0" w:line="2" w:lineRule="exact"/>
        <w:rPr>
          <w:rFonts w:ascii="Times New Roman" w:cs="Times New Roman" w:eastAsia="Times New Roman" w:hAnsi="Times New Roman"/>
          <w:sz w:val="17"/>
          <w:szCs w:val="17"/>
          <w:color w:val="auto"/>
        </w:rPr>
      </w:pPr>
    </w:p>
    <w:p>
      <w:pPr>
        <w:ind w:left="2" w:right="100" w:hanging="2"/>
        <w:spacing w:after="0" w:line="280" w:lineRule="auto"/>
        <w:tabs>
          <w:tab w:leader="none" w:pos="252"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158" w:lineRule="exact"/>
        <w:rPr>
          <w:rFonts w:ascii="Times New Roman" w:cs="Times New Roman" w:eastAsia="Times New Roman" w:hAnsi="Times New Roman"/>
          <w:sz w:val="17"/>
          <w:szCs w:val="17"/>
          <w:color w:val="auto"/>
        </w:rPr>
      </w:pPr>
    </w:p>
    <w:p>
      <w:pPr>
        <w:ind w:left="2" w:right="60" w:firstLine="1404"/>
        <w:spacing w:after="0" w:line="250" w:lineRule="auto"/>
        <w:tabs>
          <w:tab w:leader="none" w:pos="1657"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Date of Notice</w:t>
      </w:r>
      <w:r>
        <w:rPr>
          <w:rFonts w:ascii="Times New Roman" w:cs="Times New Roman" w:eastAsia="Times New Roman" w:hAnsi="Times New Roman"/>
          <w:sz w:val="18"/>
          <w:szCs w:val="18"/>
          <w:color w:val="auto"/>
        </w:rPr>
        <w:t>. Notice given pursuant to subsection (a) of this section shall be deemed given: (1) if by facsimile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when directed to a 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12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2"/>
          </w:cols>
          <w:pgMar w:left="538" w:top="265" w:right="559" w:bottom="1440" w:gutter="0" w:footer="0" w:header="0"/>
        </w:sectPr>
      </w:pPr>
    </w:p>
    <w:bookmarkStart w:id="267" w:name="page268"/>
    <w:bookmarkEnd w:id="267"/>
    <w:p>
      <w:pPr>
        <w:jc w:val="both"/>
        <w:ind w:right="200" w:firstLine="1404"/>
        <w:spacing w:after="0" w:line="261" w:lineRule="auto"/>
        <w:tabs>
          <w:tab w:leader="none" w:pos="164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Form of Electronic Transmission</w:t>
      </w:r>
      <w:r>
        <w:rPr>
          <w:rFonts w:ascii="Times New Roman" w:cs="Times New Roman" w:eastAsia="Times New Roman" w:hAnsi="Times New Roman"/>
          <w:sz w:val="18"/>
          <w:szCs w:val="18"/>
          <w:color w:val="auto"/>
        </w:rPr>
        <w:t>. For purposes of these bylaws,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8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96" w:lineRule="exact"/>
        <w:rPr>
          <w:sz w:val="20"/>
          <w:szCs w:val="20"/>
          <w:color w:val="auto"/>
        </w:rPr>
      </w:pPr>
    </w:p>
    <w:p>
      <w:pPr>
        <w:ind w:right="240" w:firstLine="973"/>
        <w:spacing w:after="0" w:line="275"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b w:val="1"/>
          <w:bCs w:val="1"/>
          <w:color w:val="auto"/>
        </w:rPr>
        <w:t>Required and Permitted Officers</w:t>
      </w:r>
      <w:r>
        <w:rPr>
          <w:rFonts w:ascii="Times New Roman" w:cs="Times New Roman" w:eastAsia="Times New Roman" w:hAnsi="Times New Roman"/>
          <w:sz w:val="17"/>
          <w:szCs w:val="17"/>
          <w:color w:val="auto"/>
        </w:rPr>
        <w:t>. The officers of the corporation shall be chosen by the Board of Directors and shall be a Chief Executive Officer and/or a president, a treasurer and a secretary. The Board of Directors may elect from among its members a Chairman of the Board and a Vice-Chairman of the Board. The Board of Directors may also choose one or more vice-presidents, assistant secretaries and assistant treasurers. Any number of offices may be held by the same person, unless the certificate of incorporation or these bylaws otherwise provide.</w:t>
      </w:r>
    </w:p>
    <w:p>
      <w:pPr>
        <w:spacing w:after="0" w:line="164" w:lineRule="exact"/>
        <w:rPr>
          <w:sz w:val="20"/>
          <w:szCs w:val="20"/>
          <w:color w:val="auto"/>
        </w:rPr>
      </w:pPr>
    </w:p>
    <w:p>
      <w:pPr>
        <w:ind w:right="20" w:firstLine="973"/>
        <w:spacing w:after="0" w:line="27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Appointment of Required Officers</w:t>
      </w:r>
      <w:r>
        <w:rPr>
          <w:rFonts w:ascii="Times New Roman" w:cs="Times New Roman" w:eastAsia="Times New Roman" w:hAnsi="Times New Roman"/>
          <w:sz w:val="18"/>
          <w:szCs w:val="18"/>
          <w:color w:val="auto"/>
        </w:rPr>
        <w:t>. The Board of Directors at its first meeting after each annual meeting of stockholders shall choose a Chief Executive Officer and/or a president, a treasurer, and a secretary and may choose vice-presidents.</w:t>
      </w:r>
    </w:p>
    <w:p>
      <w:pPr>
        <w:spacing w:after="0" w:line="160" w:lineRule="exact"/>
        <w:rPr>
          <w:sz w:val="20"/>
          <w:szCs w:val="20"/>
          <w:color w:val="auto"/>
        </w:rPr>
      </w:pPr>
    </w:p>
    <w:p>
      <w:pPr>
        <w:ind w:firstLine="973"/>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Appointment of Permitted Officers</w:t>
      </w:r>
      <w:r>
        <w:rPr>
          <w:rFonts w:ascii="Times New Roman" w:cs="Times New Roman" w:eastAsia="Times New Roman" w:hAnsi="Times New Roman"/>
          <w:sz w:val="18"/>
          <w:szCs w:val="18"/>
          <w:color w:val="auto"/>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Officer Compensation</w:t>
      </w:r>
      <w:r>
        <w:rPr>
          <w:rFonts w:ascii="Times New Roman" w:cs="Times New Roman" w:eastAsia="Times New Roman" w:hAnsi="Times New Roman"/>
          <w:sz w:val="18"/>
          <w:szCs w:val="18"/>
          <w:color w:val="auto"/>
        </w:rPr>
        <w:t>. The salaries of all officers and agents of the corporation shall be fixed by the Board of Directors.</w:t>
      </w:r>
    </w:p>
    <w:p>
      <w:pPr>
        <w:spacing w:after="0" w:line="217" w:lineRule="exact"/>
        <w:rPr>
          <w:sz w:val="20"/>
          <w:szCs w:val="20"/>
          <w:color w:val="auto"/>
        </w:rPr>
      </w:pPr>
    </w:p>
    <w:p>
      <w:pPr>
        <w:ind w:right="20" w:firstLine="973"/>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Term of Office; Vacancies</w:t>
      </w:r>
      <w:r>
        <w:rPr>
          <w:rFonts w:ascii="Times New Roman" w:cs="Times New Roman" w:eastAsia="Times New Roman" w:hAnsi="Times New Roman"/>
          <w:sz w:val="18"/>
          <w:szCs w:val="18"/>
          <w:color w:val="auto"/>
        </w:rPr>
        <w:t>.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CHAIRMAN OF THE BOARD</w:t>
      </w:r>
    </w:p>
    <w:p>
      <w:pPr>
        <w:spacing w:after="0" w:line="217" w:lineRule="exact"/>
        <w:rPr>
          <w:sz w:val="20"/>
          <w:szCs w:val="20"/>
          <w:color w:val="auto"/>
        </w:rPr>
      </w:pPr>
    </w:p>
    <w:p>
      <w:pPr>
        <w:ind w:right="160" w:firstLine="973"/>
        <w:spacing w:after="0" w:line="25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Chairman Presides</w:t>
      </w:r>
      <w:r>
        <w:rPr>
          <w:rFonts w:ascii="Times New Roman" w:cs="Times New Roman" w:eastAsia="Times New Roman" w:hAnsi="Times New Roman"/>
          <w:sz w:val="18"/>
          <w:szCs w:val="18"/>
          <w:color w:val="auto"/>
        </w:rPr>
        <w:t>. Unless the Board of Directors appoints a Chairman of the Board, the Chief Executive Officer shall be the Chairman of the Board, so long as the Chief Executive Officer is a director of the corporation. The Chairman of the Board shall preside at all meetings of the Board of Directors and of the stockholders at which he or she shall be present. He or she shall have and may exercise such powers as are, from time to time, assigned to him or her by the Board of Directors and as may be provided by law.</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0"/>
          </w:cols>
          <w:pgMar w:left="540" w:top="265" w:right="559" w:bottom="1440" w:gutter="0" w:footer="0" w:header="0"/>
        </w:sectPr>
      </w:pPr>
    </w:p>
    <w:bookmarkStart w:id="268" w:name="page269"/>
    <w:bookmarkEnd w:id="268"/>
    <w:p>
      <w:pPr>
        <w:ind w:right="240" w:firstLine="97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5.7 </w:t>
      </w:r>
      <w:r>
        <w:rPr>
          <w:rFonts w:ascii="Times New Roman" w:cs="Times New Roman" w:eastAsia="Times New Roman" w:hAnsi="Times New Roman"/>
          <w:sz w:val="18"/>
          <w:szCs w:val="18"/>
          <w:b w:val="1"/>
          <w:bCs w:val="1"/>
          <w:color w:val="auto"/>
        </w:rPr>
        <w:t>Absence of Chairman</w:t>
      </w:r>
      <w:r>
        <w:rPr>
          <w:rFonts w:ascii="Times New Roman" w:cs="Times New Roman" w:eastAsia="Times New Roman" w:hAnsi="Times New Roman"/>
          <w:sz w:val="18"/>
          <w:szCs w:val="18"/>
          <w:color w:val="auto"/>
        </w:rPr>
        <w:t>.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or her by the Board of Directors and as may be provided by law.</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CHIEF EXECUTIVE OFFICER</w:t>
      </w:r>
    </w:p>
    <w:p>
      <w:pPr>
        <w:spacing w:after="0" w:line="217" w:lineRule="exact"/>
        <w:rPr>
          <w:sz w:val="20"/>
          <w:szCs w:val="20"/>
          <w:color w:val="auto"/>
        </w:rPr>
      </w:pPr>
    </w:p>
    <w:p>
      <w:pPr>
        <w:ind w:right="280" w:firstLine="973"/>
        <w:spacing w:after="0" w:line="27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Powers of Chief Executive Officer</w:t>
      </w:r>
      <w:r>
        <w:rPr>
          <w:rFonts w:ascii="Times New Roman" w:cs="Times New Roman" w:eastAsia="Times New Roman" w:hAnsi="Times New Roman"/>
          <w:sz w:val="18"/>
          <w:szCs w:val="18"/>
          <w:color w:val="auto"/>
        </w:rPr>
        <w:t>. The Chief Executive Officer shall have general and active management of the business of the corporation and shall see that all orders and resolutions of the Board of Directors are carried into effect.</w:t>
      </w:r>
    </w:p>
    <w:p>
      <w:pPr>
        <w:spacing w:after="0" w:line="160" w:lineRule="exact"/>
        <w:rPr>
          <w:sz w:val="20"/>
          <w:szCs w:val="20"/>
          <w:color w:val="auto"/>
        </w:rPr>
      </w:pPr>
    </w:p>
    <w:p>
      <w:pPr>
        <w:ind w:right="60" w:firstLine="973"/>
        <w:spacing w:after="0" w:line="25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Chief Executive Officer’s Signature Authority</w:t>
      </w:r>
      <w:r>
        <w:rPr>
          <w:rFonts w:ascii="Times New Roman" w:cs="Times New Roman" w:eastAsia="Times New Roman" w:hAnsi="Times New Roman"/>
          <w:sz w:val="18"/>
          <w:szCs w:val="18"/>
          <w:color w:val="auto"/>
        </w:rPr>
        <w:t>.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Chief Executive Officer may sign certificates for shares of stock of the corporation.</w:t>
      </w:r>
    </w:p>
    <w:p>
      <w:pPr>
        <w:spacing w:after="0" w:line="177" w:lineRule="exact"/>
        <w:rPr>
          <w:sz w:val="20"/>
          <w:szCs w:val="20"/>
          <w:color w:val="auto"/>
        </w:rPr>
      </w:pPr>
    </w:p>
    <w:p>
      <w:pPr>
        <w:ind w:right="20" w:firstLine="973"/>
        <w:spacing w:after="0" w:line="26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Absence of Chief Executive Officer</w:t>
      </w:r>
      <w:r>
        <w:rPr>
          <w:rFonts w:ascii="Times New Roman" w:cs="Times New Roman" w:eastAsia="Times New Roman" w:hAnsi="Times New Roman"/>
          <w:sz w:val="18"/>
          <w:szCs w:val="18"/>
          <w:color w:val="auto"/>
        </w:rPr>
        <w:t>. In the absence of the Chief Executive Officer or in the event of his or her inability or refusal to act, the president shall perform the duties of the Chief Executive Officer, and when so acting, shall have all the powers of and be subject to all the restrictions upon the Chief Executive Officer.</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PRESIDENT AND VICE-PRESIDENTS</w:t>
      </w:r>
    </w:p>
    <w:p>
      <w:pPr>
        <w:spacing w:after="0" w:line="217" w:lineRule="exact"/>
        <w:rPr>
          <w:sz w:val="20"/>
          <w:szCs w:val="20"/>
          <w:color w:val="auto"/>
        </w:rPr>
      </w:pPr>
    </w:p>
    <w:p>
      <w:pPr>
        <w:ind w:right="100" w:firstLine="973"/>
        <w:spacing w:after="0" w:line="26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color w:val="auto"/>
        </w:rPr>
        <w:t>Powers of President</w:t>
      </w:r>
      <w:r>
        <w:rPr>
          <w:rFonts w:ascii="Times New Roman" w:cs="Times New Roman" w:eastAsia="Times New Roman" w:hAnsi="Times New Roman"/>
          <w:sz w:val="18"/>
          <w:szCs w:val="18"/>
          <w:color w:val="auto"/>
        </w:rPr>
        <w:t>. Unless the Board of Directors appoints a president of the corporation, the Chief Executive Officer shall be the president of the corporation. The president of the corporation shall have such powers as required by law and shall perform such other duties and have such other powers as the Board of Directors may from time to time prescribe.</w:t>
      </w:r>
    </w:p>
    <w:p>
      <w:pPr>
        <w:spacing w:after="0" w:line="173" w:lineRule="exact"/>
        <w:rPr>
          <w:sz w:val="20"/>
          <w:szCs w:val="20"/>
          <w:color w:val="auto"/>
        </w:rPr>
      </w:pPr>
    </w:p>
    <w:p>
      <w:pPr>
        <w:ind w:firstLine="973"/>
        <w:spacing w:after="0" w:line="253"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Absence of President</w:t>
      </w:r>
      <w:r>
        <w:rPr>
          <w:rFonts w:ascii="Times New Roman" w:cs="Times New Roman" w:eastAsia="Times New Roman" w:hAnsi="Times New Roman"/>
          <w:sz w:val="18"/>
          <w:szCs w:val="18"/>
          <w:color w:val="auto"/>
        </w:rPr>
        <w:t>. In the absence of the president or in the event of his or her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SECRETARY AND ASSISTANT SECRETARY</w:t>
      </w:r>
    </w:p>
    <w:p>
      <w:pPr>
        <w:spacing w:after="0" w:line="217" w:lineRule="exact"/>
        <w:rPr>
          <w:sz w:val="20"/>
          <w:szCs w:val="20"/>
          <w:color w:val="auto"/>
        </w:rPr>
      </w:pPr>
    </w:p>
    <w:p>
      <w:pPr>
        <w:ind w:firstLine="973"/>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Duties of Secretary</w:t>
      </w:r>
      <w:r>
        <w:rPr>
          <w:rFonts w:ascii="Times New Roman" w:cs="Times New Roman" w:eastAsia="Times New Roman" w:hAnsi="Times New Roman"/>
          <w:sz w:val="18"/>
          <w:szCs w:val="18"/>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the Chief Executive Officer, under whose supervision he or she shall be. He or she shall have custody of the corporate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60"/>
          </w:cols>
          <w:pgMar w:left="540" w:top="265" w:right="599" w:bottom="1440" w:gutter="0" w:footer="0" w:header="0"/>
        </w:sectPr>
      </w:pPr>
    </w:p>
    <w:bookmarkStart w:id="269" w:name="page270"/>
    <w:bookmarkEnd w:id="269"/>
    <w:p>
      <w:pPr>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76" w:lineRule="exact"/>
        <w:rPr>
          <w:sz w:val="20"/>
          <w:szCs w:val="20"/>
          <w:color w:val="auto"/>
        </w:rPr>
      </w:pPr>
    </w:p>
    <w:p>
      <w:pPr>
        <w:ind w:right="60" w:firstLine="973"/>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color w:val="auto"/>
        </w:rPr>
        <w:t>Duties of Assistant Secretary</w:t>
      </w:r>
      <w:r>
        <w:rPr>
          <w:rFonts w:ascii="Times New Roman" w:cs="Times New Roman" w:eastAsia="Times New Roman" w:hAnsi="Times New Roman"/>
          <w:sz w:val="18"/>
          <w:szCs w:val="18"/>
          <w:color w:val="auto"/>
        </w:rPr>
        <w:t>. The assistant secretary,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may from time to time prescribe.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TREASURER AND ASSISTANT TREASURERS</w:t>
      </w:r>
    </w:p>
    <w:p>
      <w:pPr>
        <w:spacing w:after="0" w:line="217" w:lineRule="exact"/>
        <w:rPr>
          <w:sz w:val="20"/>
          <w:szCs w:val="20"/>
          <w:color w:val="auto"/>
        </w:rPr>
      </w:pPr>
    </w:p>
    <w:p>
      <w:pPr>
        <w:ind w:right="100" w:firstLine="973"/>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color w:val="auto"/>
        </w:rPr>
        <w:t>Duties of Treasurer</w:t>
      </w:r>
      <w:r>
        <w:rPr>
          <w:rFonts w:ascii="Times New Roman" w:cs="Times New Roman" w:eastAsia="Times New Roman" w:hAnsi="Times New Roman"/>
          <w:sz w:val="18"/>
          <w:szCs w:val="18"/>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3" w:lineRule="exact"/>
        <w:rPr>
          <w:sz w:val="20"/>
          <w:szCs w:val="20"/>
          <w:color w:val="auto"/>
        </w:rPr>
      </w:pPr>
    </w:p>
    <w:p>
      <w:pPr>
        <w:ind w:right="380" w:firstLine="973"/>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b w:val="1"/>
          <w:bCs w:val="1"/>
          <w:color w:val="auto"/>
        </w:rPr>
        <w:t>Disbursements and Financial Reports</w:t>
      </w:r>
      <w:r>
        <w:rPr>
          <w:rFonts w:ascii="Times New Roman" w:cs="Times New Roman" w:eastAsia="Times New Roman" w:hAnsi="Times New Roman"/>
          <w:sz w:val="18"/>
          <w:szCs w:val="18"/>
          <w:color w:val="auto"/>
        </w:rPr>
        <w:t>. He or she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or her transactions as treasurer and of the financial condition of the corporation.</w:t>
      </w:r>
    </w:p>
    <w:p>
      <w:pPr>
        <w:spacing w:after="0" w:line="177" w:lineRule="exact"/>
        <w:rPr>
          <w:sz w:val="20"/>
          <w:szCs w:val="20"/>
          <w:color w:val="auto"/>
        </w:rPr>
      </w:pPr>
    </w:p>
    <w:p>
      <w:pPr>
        <w:ind w:right="140" w:firstLine="973"/>
        <w:spacing w:after="0" w:line="275" w:lineRule="auto"/>
        <w:rPr>
          <w:sz w:val="20"/>
          <w:szCs w:val="20"/>
          <w:color w:val="auto"/>
        </w:rPr>
      </w:pPr>
      <w:r>
        <w:rPr>
          <w:rFonts w:ascii="Times New Roman" w:cs="Times New Roman" w:eastAsia="Times New Roman" w:hAnsi="Times New Roman"/>
          <w:sz w:val="17"/>
          <w:szCs w:val="17"/>
          <w:color w:val="auto"/>
        </w:rPr>
        <w:t xml:space="preserve">5.17 </w:t>
      </w:r>
      <w:r>
        <w:rPr>
          <w:rFonts w:ascii="Times New Roman" w:cs="Times New Roman" w:eastAsia="Times New Roman" w:hAnsi="Times New Roman"/>
          <w:sz w:val="17"/>
          <w:szCs w:val="17"/>
          <w:b w:val="1"/>
          <w:bCs w:val="1"/>
          <w:color w:val="auto"/>
        </w:rPr>
        <w:t>Treasurer’s Bond</w:t>
      </w:r>
      <w:r>
        <w:rPr>
          <w:rFonts w:ascii="Times New Roman" w:cs="Times New Roman" w:eastAsia="Times New Roman" w:hAnsi="Times New Roman"/>
          <w:sz w:val="17"/>
          <w:szCs w:val="17"/>
          <w:color w:val="auto"/>
        </w:rPr>
        <w:t>. If required by the Board of Directors, the treasurer shall give the corporation a bond (which shall be renewed every six years)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64" w:lineRule="exact"/>
        <w:rPr>
          <w:sz w:val="20"/>
          <w:szCs w:val="20"/>
          <w:color w:val="auto"/>
        </w:rPr>
      </w:pPr>
    </w:p>
    <w:p>
      <w:pPr>
        <w:ind w:right="80" w:firstLine="973"/>
        <w:spacing w:after="0" w:line="25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b w:val="1"/>
          <w:bCs w:val="1"/>
          <w:color w:val="auto"/>
        </w:rPr>
        <w:t>Duties of Assistant Treasurer</w:t>
      </w:r>
      <w:r>
        <w:rPr>
          <w:rFonts w:ascii="Times New Roman" w:cs="Times New Roman" w:eastAsia="Times New Roman" w:hAnsi="Times New Roman"/>
          <w:sz w:val="18"/>
          <w:szCs w:val="18"/>
          <w:color w:val="auto"/>
        </w:rPr>
        <w:t>.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STOCK</w:t>
      </w:r>
    </w:p>
    <w:p>
      <w:pPr>
        <w:spacing w:after="0" w:line="196" w:lineRule="exact"/>
        <w:rPr>
          <w:sz w:val="20"/>
          <w:szCs w:val="20"/>
          <w:color w:val="auto"/>
        </w:rPr>
      </w:pPr>
    </w:p>
    <w:p>
      <w:pPr>
        <w:ind w:right="100" w:firstLine="973"/>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Stock Certificates</w:t>
      </w:r>
      <w:r>
        <w:rPr>
          <w:rFonts w:ascii="Times New Roman" w:cs="Times New Roman" w:eastAsia="Times New Roman" w:hAnsi="Times New Roman"/>
          <w:sz w:val="18"/>
          <w:szCs w:val="18"/>
          <w:color w:val="auto"/>
        </w:rPr>
        <w:t>.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or her in the corporation.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00"/>
          </w:cols>
          <w:pgMar w:left="540" w:top="267" w:right="559" w:bottom="1440" w:gutter="0" w:footer="0" w:header="0"/>
        </w:sectPr>
      </w:pPr>
    </w:p>
    <w:bookmarkStart w:id="270" w:name="page271"/>
    <w:bookmarkEnd w:id="270"/>
    <w:p>
      <w:pPr>
        <w:ind w:right="340" w:firstLine="97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63" w:lineRule="exact"/>
        <w:rPr>
          <w:sz w:val="20"/>
          <w:szCs w:val="20"/>
          <w:color w:val="auto"/>
        </w:rPr>
      </w:pPr>
    </w:p>
    <w:p>
      <w:pPr>
        <w:ind w:right="40" w:firstLine="973"/>
        <w:spacing w:after="0" w:line="249" w:lineRule="auto"/>
        <w:rPr>
          <w:sz w:val="20"/>
          <w:szCs w:val="20"/>
          <w:color w:val="auto"/>
        </w:rPr>
      </w:pPr>
      <w:r>
        <w:rPr>
          <w:rFonts w:ascii="Times New Roman" w:cs="Times New Roman" w:eastAsia="Times New Roman" w:hAnsi="Times New Roman"/>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jc w:val="both"/>
        <w:ind w:right="120" w:firstLine="973"/>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Facsimile Signatures</w:t>
      </w:r>
      <w:r>
        <w:rPr>
          <w:rFonts w:ascii="Times New Roman" w:cs="Times New Roman" w:eastAsia="Times New Roman" w:hAnsi="Times New Roman"/>
          <w:sz w:val="18"/>
          <w:szCs w:val="18"/>
          <w:color w:val="auto"/>
        </w:rPr>
        <w:t>.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177" w:lineRule="exact"/>
        <w:rPr>
          <w:sz w:val="20"/>
          <w:szCs w:val="20"/>
          <w:color w:val="auto"/>
        </w:rPr>
      </w:pPr>
    </w:p>
    <w:p>
      <w:pPr>
        <w:ind w:firstLine="973"/>
        <w:spacing w:after="0" w:line="269"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b w:val="1"/>
          <w:bCs w:val="1"/>
          <w:color w:val="auto"/>
        </w:rPr>
        <w:t>Lost Certificates</w:t>
      </w:r>
      <w:r>
        <w:rPr>
          <w:rFonts w:ascii="Times New Roman" w:cs="Times New Roman" w:eastAsia="Times New Roman" w:hAnsi="Times New Roman"/>
          <w:sz w:val="17"/>
          <w:szCs w:val="17"/>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69" w:lineRule="exact"/>
        <w:rPr>
          <w:sz w:val="20"/>
          <w:szCs w:val="20"/>
          <w:color w:val="auto"/>
        </w:rPr>
      </w:pPr>
    </w:p>
    <w:p>
      <w:pPr>
        <w:jc w:val="both"/>
        <w:ind w:right="60" w:firstLine="973"/>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Transfer of Stock</w:t>
      </w:r>
      <w:r>
        <w:rPr>
          <w:rFonts w:ascii="Times New Roman" w:cs="Times New Roman" w:eastAsia="Times New Roman" w:hAnsi="Times New Roman"/>
          <w:sz w:val="18"/>
          <w:szCs w:val="18"/>
          <w:color w:val="auto"/>
        </w:rPr>
        <w:t>.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73" w:lineRule="exact"/>
        <w:rPr>
          <w:sz w:val="20"/>
          <w:szCs w:val="20"/>
          <w:color w:val="auto"/>
        </w:rPr>
      </w:pPr>
    </w:p>
    <w:p>
      <w:pPr>
        <w:jc w:val="both"/>
        <w:ind w:right="120" w:firstLine="973"/>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Fixing a 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60"/>
          </w:cols>
          <w:pgMar w:left="540" w:top="267" w:right="599" w:bottom="1440" w:gutter="0" w:footer="0" w:header="0"/>
        </w:sectPr>
      </w:pPr>
    </w:p>
    <w:bookmarkStart w:id="271" w:name="page272"/>
    <w:bookmarkEnd w:id="271"/>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8" w:lineRule="exact"/>
        <w:rPr>
          <w:sz w:val="20"/>
          <w:szCs w:val="20"/>
          <w:color w:val="auto"/>
        </w:rPr>
      </w:pPr>
    </w:p>
    <w:p>
      <w:pPr>
        <w:ind w:right="120" w:firstLine="973"/>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Registered Stockholders</w:t>
      </w:r>
      <w:r>
        <w:rPr>
          <w:rFonts w:ascii="Times New Roman" w:cs="Times New Roman" w:eastAsia="Times New Roman" w:hAnsi="Times New Roman"/>
          <w:sz w:val="18"/>
          <w:szCs w:val="18"/>
          <w:color w:val="auto"/>
        </w:rPr>
        <w:t>.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96" w:lineRule="exact"/>
        <w:rPr>
          <w:sz w:val="20"/>
          <w:szCs w:val="20"/>
          <w:color w:val="auto"/>
        </w:rPr>
      </w:pPr>
    </w:p>
    <w:p>
      <w:pPr>
        <w:ind w:firstLine="973"/>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173" w:lineRule="exact"/>
        <w:rPr>
          <w:sz w:val="20"/>
          <w:szCs w:val="20"/>
          <w:color w:val="auto"/>
        </w:rPr>
      </w:pPr>
    </w:p>
    <w:p>
      <w:pPr>
        <w:ind w:right="20" w:firstLine="973"/>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Reserve for Dividends</w:t>
      </w:r>
      <w:r>
        <w:rPr>
          <w:rFonts w:ascii="Times New Roman" w:cs="Times New Roman" w:eastAsia="Times New Roman" w:hAnsi="Times New Roman"/>
          <w:sz w:val="18"/>
          <w:szCs w:val="18"/>
          <w:color w:val="auto"/>
        </w:rPr>
        <w:t>.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177" w:lineRule="exact"/>
        <w:rPr>
          <w:sz w:val="20"/>
          <w:szCs w:val="20"/>
          <w:color w:val="auto"/>
        </w:rPr>
      </w:pPr>
    </w:p>
    <w:p>
      <w:pPr>
        <w:ind w:right="40" w:firstLine="973"/>
        <w:spacing w:after="0" w:line="27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Checks</w:t>
      </w:r>
      <w:r>
        <w:rPr>
          <w:rFonts w:ascii="Times New Roman" w:cs="Times New Roman" w:eastAsia="Times New Roman" w:hAnsi="Times New Roman"/>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The fiscal year of the corporation shall be fixed by resolution of the Board of Directors.</w:t>
      </w:r>
    </w:p>
    <w:p>
      <w:pPr>
        <w:spacing w:after="0" w:line="217" w:lineRule="exact"/>
        <w:rPr>
          <w:sz w:val="20"/>
          <w:szCs w:val="20"/>
          <w:color w:val="auto"/>
        </w:rPr>
      </w:pPr>
    </w:p>
    <w:p>
      <w:pPr>
        <w:ind w:right="100" w:firstLine="973"/>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Corporate Seal</w:t>
      </w:r>
      <w:r>
        <w:rPr>
          <w:rFonts w:ascii="Times New Roman" w:cs="Times New Roman" w:eastAsia="Times New Roman" w:hAnsi="Times New Roman"/>
          <w:sz w:val="18"/>
          <w:szCs w:val="18"/>
          <w:color w:val="auto"/>
        </w:rPr>
        <w:t>.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173" w:lineRule="exact"/>
        <w:rPr>
          <w:sz w:val="20"/>
          <w:szCs w:val="20"/>
          <w:color w:val="auto"/>
        </w:rPr>
      </w:pPr>
    </w:p>
    <w:p>
      <w:pPr>
        <w:ind w:right="80" w:firstLine="973"/>
        <w:spacing w:after="0" w:line="25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80"/>
          </w:cols>
          <w:pgMar w:left="540" w:top="267" w:right="579" w:bottom="1440" w:gutter="0" w:footer="0" w:header="0"/>
        </w:sectPr>
      </w:pPr>
    </w:p>
    <w:bookmarkStart w:id="272" w:name="page273"/>
    <w:bookmarkEnd w:id="272"/>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w:t>
      </w:r>
    </w:p>
    <w:p>
      <w:pPr>
        <w:spacing w:after="0" w:line="190" w:lineRule="exact"/>
        <w:rPr>
          <w:sz w:val="20"/>
          <w:szCs w:val="20"/>
          <w:color w:val="auto"/>
        </w:rPr>
      </w:pPr>
    </w:p>
    <w:p>
      <w:pPr>
        <w:ind w:right="20" w:firstLine="973"/>
        <w:spacing w:after="0" w:line="249" w:lineRule="auto"/>
        <w:rPr>
          <w:sz w:val="20"/>
          <w:szCs w:val="20"/>
          <w:color w:val="auto"/>
        </w:rPr>
      </w:pPr>
      <w:r>
        <w:rPr>
          <w:rFonts w:ascii="Times New Roman" w:cs="Times New Roman" w:eastAsia="Times New Roman" w:hAnsi="Times New Roman"/>
          <w:sz w:val="18"/>
          <w:szCs w:val="18"/>
          <w:color w:val="auto"/>
        </w:rPr>
        <w:t>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190" w:lineRule="exact"/>
        <w:rPr>
          <w:sz w:val="20"/>
          <w:szCs w:val="20"/>
          <w:color w:val="auto"/>
        </w:rPr>
      </w:pPr>
    </w:p>
    <w:p>
      <w:pPr>
        <w:ind w:right="20" w:firstLine="973"/>
        <w:spacing w:after="0" w:line="255" w:lineRule="auto"/>
        <w:rPr>
          <w:sz w:val="20"/>
          <w:szCs w:val="20"/>
          <w:color w:val="auto"/>
        </w:rPr>
      </w:pPr>
      <w:r>
        <w:rPr>
          <w:rFonts w:ascii="Times New Roman" w:cs="Times New Roman" w:eastAsia="Times New Roman" w:hAnsi="Times New Roman"/>
          <w:sz w:val="18"/>
          <w:szCs w:val="18"/>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80" w:lineRule="exact"/>
        <w:rPr>
          <w:sz w:val="20"/>
          <w:szCs w:val="20"/>
          <w:color w:val="auto"/>
        </w:rPr>
      </w:pPr>
    </w:p>
    <w:p>
      <w:pPr>
        <w:jc w:val="both"/>
        <w:ind w:right="140" w:firstLine="973"/>
        <w:spacing w:after="0" w:line="259" w:lineRule="auto"/>
        <w:rPr>
          <w:sz w:val="20"/>
          <w:szCs w:val="20"/>
          <w:color w:val="auto"/>
        </w:rPr>
      </w:pPr>
      <w:r>
        <w:rPr>
          <w:rFonts w:ascii="Times New Roman" w:cs="Times New Roman" w:eastAsia="Times New Roman" w:hAnsi="Times New Roman"/>
          <w:sz w:val="18"/>
          <w:szCs w:val="18"/>
          <w:color w:val="auto"/>
        </w:rPr>
        <w:t>The Board of Directors in its sole discretion shall have power on behalf of the corporation to indemnify any person, other than a director, made a party to any action, suit or proceeding by reason of the fact that he or she, his or her testator or intestate, is or was an officer or employee of the corporation.</w:t>
      </w:r>
    </w:p>
    <w:p>
      <w:pPr>
        <w:spacing w:after="0" w:line="178" w:lineRule="exact"/>
        <w:rPr>
          <w:sz w:val="20"/>
          <w:szCs w:val="20"/>
          <w:color w:val="auto"/>
        </w:rPr>
      </w:pPr>
    </w:p>
    <w:p>
      <w:pPr>
        <w:ind w:firstLine="973"/>
        <w:spacing w:after="0" w:line="249" w:lineRule="auto"/>
        <w:rPr>
          <w:sz w:val="20"/>
          <w:szCs w:val="20"/>
          <w:color w:val="auto"/>
        </w:rPr>
      </w:pPr>
      <w:r>
        <w:rPr>
          <w:rFonts w:ascii="Times New Roman" w:cs="Times New Roman" w:eastAsia="Times New Roman" w:hAnsi="Times New Roman"/>
          <w:sz w:val="18"/>
          <w:szCs w:val="18"/>
          <w:color w:val="auto"/>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or her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00"/>
          </w:cols>
          <w:pgMar w:left="540" w:top="267" w:right="559" w:bottom="1440" w:gutter="0" w:footer="0" w:header="0"/>
        </w:sectPr>
      </w:pPr>
    </w:p>
    <w:bookmarkStart w:id="273" w:name="page274"/>
    <w:bookmarkEnd w:id="27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CERTIFICATE OF INCORPORATION GOVERNS</w:t>
      </w:r>
    </w:p>
    <w:p>
      <w:pPr>
        <w:spacing w:after="0" w:line="217" w:lineRule="exact"/>
        <w:rPr>
          <w:sz w:val="20"/>
          <w:szCs w:val="20"/>
          <w:color w:val="auto"/>
        </w:rPr>
      </w:pPr>
    </w:p>
    <w:p>
      <w:pPr>
        <w:ind w:right="320" w:firstLine="973"/>
        <w:spacing w:after="0" w:line="27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Conflicts with Certificate of Incorporation</w:t>
      </w:r>
      <w:r>
        <w:rPr>
          <w:rFonts w:ascii="Times New Roman" w:cs="Times New Roman" w:eastAsia="Times New Roman" w:hAnsi="Times New Roman"/>
          <w:sz w:val="18"/>
          <w:szCs w:val="18"/>
          <w:color w:val="auto"/>
        </w:rPr>
        <w:t>. In the event of any conflict between the provisions of the corporation’s certificate of incorporation and these bylaws, the provisions of the certificate of incorporation shall govern.</w:t>
      </w:r>
    </w:p>
    <w:p>
      <w:pPr>
        <w:spacing w:after="0" w:line="3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98" w:lineRule="exact"/>
        <w:rPr>
          <w:sz w:val="20"/>
          <w:szCs w:val="20"/>
          <w:color w:val="auto"/>
        </w:rPr>
      </w:pPr>
    </w:p>
    <w:p>
      <w:pPr>
        <w:jc w:val="both"/>
        <w:ind w:firstLine="973"/>
        <w:spacing w:after="0" w:line="252" w:lineRule="auto"/>
        <w:rPr>
          <w:sz w:val="20"/>
          <w:szCs w:val="20"/>
          <w:color w:val="auto"/>
        </w:rPr>
      </w:pPr>
      <w:r>
        <w:rPr>
          <w:rFonts w:ascii="Times New Roman" w:cs="Times New Roman" w:eastAsia="Times New Roman" w:hAnsi="Times New Roman"/>
          <w:sz w:val="18"/>
          <w:szCs w:val="18"/>
          <w:color w:val="auto"/>
        </w:rPr>
        <w:t>8.1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198" w:lineRule="exact"/>
        <w:rPr>
          <w:sz w:val="20"/>
          <w:szCs w:val="20"/>
          <w:color w:val="auto"/>
        </w:rPr>
      </w:pPr>
    </w:p>
    <w:p>
      <w:pPr>
        <w:jc w:val="both"/>
        <w:ind w:right="500" w:firstLine="973"/>
        <w:spacing w:after="0" w:line="282" w:lineRule="auto"/>
        <w:rPr>
          <w:sz w:val="20"/>
          <w:szCs w:val="20"/>
          <w:color w:val="auto"/>
        </w:rPr>
      </w:pPr>
      <w:r>
        <w:rPr>
          <w:rFonts w:ascii="Times New Roman" w:cs="Times New Roman" w:eastAsia="Times New Roman" w:hAnsi="Times New Roman"/>
          <w:sz w:val="17"/>
          <w:szCs w:val="17"/>
          <w:color w:val="auto"/>
        </w:rPr>
        <w:t>9.1 In addition to any other restrictions on transfer created by law or contract with any stockholder, no stockholder shall sell, assign, pledge, or in any manner transfer any of the shares of Common Stock of the corporation or any right or interest therein, whether voluntarily or by operation of law, or by gift or otherwise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except by a Transfer which meets the requirements hereinafter set forth in this Article IX:</w:t>
      </w:r>
    </w:p>
    <w:p>
      <w:pPr>
        <w:spacing w:after="0" w:line="157" w:lineRule="exact"/>
        <w:rPr>
          <w:sz w:val="20"/>
          <w:szCs w:val="20"/>
          <w:color w:val="auto"/>
        </w:rPr>
      </w:pPr>
    </w:p>
    <w:p>
      <w:pPr>
        <w:ind w:right="180" w:firstLine="1404"/>
        <w:spacing w:after="0" w:line="261" w:lineRule="auto"/>
        <w:tabs>
          <w:tab w:leader="none" w:pos="164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Proposed Transfer</w:t>
      </w:r>
      <w:r>
        <w:rPr>
          <w:rFonts w:ascii="Times New Roman" w:cs="Times New Roman" w:eastAsia="Times New Roman" w:hAnsi="Times New Roman"/>
          <w:sz w:val="18"/>
          <w:szCs w:val="18"/>
          <w:color w:val="auto"/>
        </w:rPr>
        <w:t>. If the stockholder desires to sell or otherwise Transfer any of his or her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0"/>
          </w:cols>
          <w:pgMar w:left="540" w:top="265" w:right="559" w:bottom="1440" w:gutter="0" w:footer="0" w:header="0"/>
        </w:sectPr>
      </w:pPr>
    </w:p>
    <w:bookmarkStart w:id="274" w:name="page275"/>
    <w:bookmarkEnd w:id="274"/>
    <w:p>
      <w:pPr>
        <w:ind w:firstLine="1404"/>
        <w:spacing w:after="0" w:line="275" w:lineRule="auto"/>
        <w:tabs>
          <w:tab w:leader="none" w:pos="1655"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 Transfers Without Consent</w:t>
      </w:r>
      <w:r>
        <w:rPr>
          <w:rFonts w:ascii="Times New Roman" w:cs="Times New Roman" w:eastAsia="Times New Roman" w:hAnsi="Times New Roman"/>
          <w:sz w:val="17"/>
          <w:szCs w:val="17"/>
          <w:color w:val="auto"/>
        </w:rPr>
        <w:t>. Subject to this Article IX, no stockholder may Transfer shares of Common Stock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 without the approval of the Board of Directors or any committee provided with the power and authority in a resolution of the Board of Directors to consent to such Transfer thereof. In the case of any Transfer consented to by the corporation, the transferee, assignee or other recipient shall receive and hold such stock subject to the provisions of this bylaw, and there shall be no further Transfer of such shares except in accord with this bylaw.</w:t>
      </w:r>
    </w:p>
    <w:p>
      <w:pPr>
        <w:spacing w:after="0" w:line="164" w:lineRule="exact"/>
        <w:rPr>
          <w:rFonts w:ascii="Times New Roman" w:cs="Times New Roman" w:eastAsia="Times New Roman" w:hAnsi="Times New Roman"/>
          <w:sz w:val="17"/>
          <w:szCs w:val="17"/>
          <w:color w:val="auto"/>
        </w:rPr>
      </w:pPr>
    </w:p>
    <w:p>
      <w:pPr>
        <w:ind w:right="40" w:firstLine="1404"/>
        <w:spacing w:after="0" w:line="256" w:lineRule="auto"/>
        <w:tabs>
          <w:tab w:leader="none" w:pos="164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Option to Purchase</w:t>
      </w:r>
      <w:r>
        <w:rPr>
          <w:rFonts w:ascii="Times New Roman" w:cs="Times New Roman" w:eastAsia="Times New Roman" w:hAnsi="Times New Roman"/>
          <w:sz w:val="18"/>
          <w:szCs w:val="18"/>
          <w:color w:val="auto"/>
        </w:rPr>
        <w:t>. In addition to and without limiting the effect of subsection (b) above, for fifteen (15)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receipt of such notice, the corporation shall have the option to purchase all or any part of the shares specified in the notice at the price and upon the terms set forth in such notice. In the event the corporation elects to purchase all the shares, it shall give written notice to the selling stockholder of its election and settlement for said shares shall be made as provided below in paragraph (e).</w:t>
      </w:r>
    </w:p>
    <w:p>
      <w:pPr>
        <w:spacing w:after="0" w:line="178" w:lineRule="exact"/>
        <w:rPr>
          <w:rFonts w:ascii="Times New Roman" w:cs="Times New Roman" w:eastAsia="Times New Roman" w:hAnsi="Times New Roman"/>
          <w:sz w:val="18"/>
          <w:szCs w:val="18"/>
          <w:color w:val="auto"/>
        </w:rPr>
      </w:pPr>
    </w:p>
    <w:p>
      <w:pPr>
        <w:ind w:left="1660" w:hanging="256"/>
        <w:spacing w:after="0"/>
        <w:tabs>
          <w:tab w:leader="none" w:pos="1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assign its rights hereunder.</w:t>
      </w:r>
    </w:p>
    <w:p>
      <w:pPr>
        <w:spacing w:after="0" w:line="215" w:lineRule="exact"/>
        <w:rPr>
          <w:rFonts w:ascii="Times New Roman" w:cs="Times New Roman" w:eastAsia="Times New Roman" w:hAnsi="Times New Roman"/>
          <w:sz w:val="18"/>
          <w:szCs w:val="18"/>
          <w:color w:val="auto"/>
        </w:rPr>
      </w:pPr>
    </w:p>
    <w:p>
      <w:pPr>
        <w:ind w:right="160" w:firstLine="1404"/>
        <w:spacing w:after="0" w:line="253" w:lineRule="auto"/>
        <w:tabs>
          <w:tab w:leader="none" w:pos="164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of Corporate Purchase</w:t>
      </w:r>
      <w:r>
        <w:rPr>
          <w:rFonts w:ascii="Times New Roman" w:cs="Times New Roman" w:eastAsia="Times New Roman" w:hAnsi="Times New Roman"/>
          <w:sz w:val="18"/>
          <w:szCs w:val="18"/>
          <w:color w:val="auto"/>
        </w:rPr>
        <w:t>. In the event the corporation elects to acquire any of the shares of the selling stockholder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said selling stockholder’s notice, the corporation shall so notify the selling stockholder and settlement thereof shall be made in cash within thirty (30) days after the corporation receives said selling stockholder’s notice; provided that if the terms of payment set forth in said selling stockholder’s notice were other than cash against delivery, the corporation shall pay for said shares on the same terms and conditions set forth in said selling stockholder’s notice.</w:t>
      </w:r>
    </w:p>
    <w:p>
      <w:pPr>
        <w:spacing w:after="0" w:line="181" w:lineRule="exact"/>
        <w:rPr>
          <w:rFonts w:ascii="Times New Roman" w:cs="Times New Roman" w:eastAsia="Times New Roman" w:hAnsi="Times New Roman"/>
          <w:sz w:val="18"/>
          <w:szCs w:val="18"/>
          <w:color w:val="auto"/>
        </w:rPr>
      </w:pPr>
    </w:p>
    <w:p>
      <w:pPr>
        <w:ind w:right="20" w:firstLine="1404"/>
        <w:spacing w:after="0" w:line="251" w:lineRule="auto"/>
        <w:tabs>
          <w:tab w:leader="none" w:pos="162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by Selling Stockholder</w:t>
      </w:r>
      <w:r>
        <w:rPr>
          <w:rFonts w:ascii="Times New Roman" w:cs="Times New Roman" w:eastAsia="Times New Roman" w:hAnsi="Times New Roman"/>
          <w:sz w:val="18"/>
          <w:szCs w:val="18"/>
          <w:color w:val="auto"/>
        </w:rPr>
        <w:t>. In the event the corporation does not elect to acquire all of the shares specified in the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notice, said selling stockholder may, within the sixty (60) day period following the expiration of the option rights granted to the corporation, sell elsewhere the shares specified in said selling stockholder’s notice which were not acquired by the corporation, in accordance with the provisions of paragraph (e) of this Section 9.1, provided that said sale shall not be on terms and conditions more favorable to the purchaser than those contained in said selling stockholder’s notice. All shares so sold by said selling stockholder shall continue to be subject to the provisions of this bylaw in the same manner as before said Transfer.</w:t>
      </w:r>
    </w:p>
    <w:p>
      <w:pPr>
        <w:spacing w:after="0" w:line="185" w:lineRule="exact"/>
        <w:rPr>
          <w:rFonts w:ascii="Times New Roman" w:cs="Times New Roman" w:eastAsia="Times New Roman" w:hAnsi="Times New Roman"/>
          <w:sz w:val="18"/>
          <w:szCs w:val="18"/>
          <w:color w:val="auto"/>
        </w:rPr>
      </w:pPr>
    </w:p>
    <w:p>
      <w:pPr>
        <w:ind w:right="200" w:firstLine="1404"/>
        <w:spacing w:after="0" w:line="276" w:lineRule="auto"/>
        <w:tabs>
          <w:tab w:leader="none" w:pos="16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Permitted Transactions</w:t>
      </w:r>
      <w:r>
        <w:rPr>
          <w:rFonts w:ascii="Times New Roman" w:cs="Times New Roman" w:eastAsia="Times New Roman" w:hAnsi="Times New Roman"/>
          <w:sz w:val="18"/>
          <w:szCs w:val="18"/>
          <w:color w:val="auto"/>
        </w:rPr>
        <w:t>. Anything to the contrary contained herein notwithstanding, the following transactions shall be exempt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provisions of this bylaw:</w:t>
      </w:r>
    </w:p>
    <w:p>
      <w:pPr>
        <w:spacing w:after="0" w:line="55" w:lineRule="exact"/>
        <w:rPr>
          <w:rFonts w:ascii="Times New Roman" w:cs="Times New Roman" w:eastAsia="Times New Roman" w:hAnsi="Times New Roman"/>
          <w:sz w:val="18"/>
          <w:szCs w:val="18"/>
          <w:color w:val="auto"/>
        </w:rPr>
      </w:pPr>
    </w:p>
    <w:p>
      <w:pPr>
        <w:ind w:left="2200" w:hanging="256"/>
        <w:spacing w:after="0"/>
        <w:tabs>
          <w:tab w:leader="none" w:pos="22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shares of Common Stock of the corporation issued upon conversion of shares of any series of Preferred</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of the corporation;</w:t>
      </w:r>
    </w:p>
    <w:p>
      <w:pPr>
        <w:spacing w:after="0" w:line="197" w:lineRule="exact"/>
        <w:rPr>
          <w:rFonts w:ascii="Times New Roman" w:cs="Times New Roman" w:eastAsia="Times New Roman" w:hAnsi="Times New Roman"/>
          <w:sz w:val="18"/>
          <w:szCs w:val="18"/>
          <w:color w:val="auto"/>
        </w:rPr>
      </w:pPr>
    </w:p>
    <w:p>
      <w:pPr>
        <w:ind w:right="360" w:firstLine="1944"/>
        <w:spacing w:after="0" w:line="255" w:lineRule="auto"/>
        <w:tabs>
          <w:tab w:leader="none" w:pos="219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“Immediate family” as used herein shall mean spouse, lineal descendant, father, mother, brother, or sister of the stockholder making such Transfer;</w:t>
      </w:r>
    </w:p>
    <w:p>
      <w:pPr>
        <w:spacing w:after="0" w:line="180" w:lineRule="exact"/>
        <w:rPr>
          <w:rFonts w:ascii="Times New Roman" w:cs="Times New Roman" w:eastAsia="Times New Roman" w:hAnsi="Times New Roman"/>
          <w:sz w:val="18"/>
          <w:szCs w:val="18"/>
          <w:color w:val="auto"/>
        </w:rPr>
      </w:pPr>
    </w:p>
    <w:p>
      <w:pPr>
        <w:ind w:right="360" w:firstLine="1944"/>
        <w:spacing w:after="0" w:line="274" w:lineRule="auto"/>
        <w:tabs>
          <w:tab w:leader="none" w:pos="219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bona fide pledge or mortgage of any shares with a commercial lending institution, provided that any subsequent Transfer of said shares by said institution shall be conducted in the manner set forth in this bylaw;</w:t>
      </w:r>
    </w:p>
    <w:p>
      <w:pPr>
        <w:spacing w:after="0" w:line="163" w:lineRule="exact"/>
        <w:rPr>
          <w:rFonts w:ascii="Times New Roman" w:cs="Times New Roman" w:eastAsia="Times New Roman" w:hAnsi="Times New Roman"/>
          <w:sz w:val="18"/>
          <w:szCs w:val="18"/>
          <w:color w:val="auto"/>
        </w:rPr>
      </w:pPr>
    </w:p>
    <w:p>
      <w:pPr>
        <w:ind w:left="2200" w:hanging="256"/>
        <w:spacing w:after="0"/>
        <w:tabs>
          <w:tab w:leader="none" w:pos="22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Transfer of any or all of such stockholder’s shares to the corporation;</w:t>
      </w:r>
    </w:p>
    <w:p>
      <w:pPr>
        <w:spacing w:after="0" w:line="217" w:lineRule="exact"/>
        <w:rPr>
          <w:rFonts w:ascii="Times New Roman" w:cs="Times New Roman" w:eastAsia="Times New Roman" w:hAnsi="Times New Roman"/>
          <w:sz w:val="18"/>
          <w:szCs w:val="18"/>
          <w:color w:val="auto"/>
        </w:rPr>
      </w:pPr>
    </w:p>
    <w:p>
      <w:pPr>
        <w:jc w:val="both"/>
        <w:ind w:right="80" w:firstLine="1944"/>
        <w:spacing w:after="0" w:line="259" w:lineRule="auto"/>
        <w:tabs>
          <w:tab w:leader="none" w:pos="219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00"/>
          </w:cols>
          <w:pgMar w:left="540" w:top="265" w:right="559" w:bottom="1440" w:gutter="0" w:footer="0" w:header="0"/>
        </w:sectPr>
      </w:pPr>
    </w:p>
    <w:bookmarkStart w:id="275" w:name="page276"/>
    <w:bookmarkEnd w:id="275"/>
    <w:p>
      <w:pPr>
        <w:ind w:firstLine="1944"/>
        <w:spacing w:after="0" w:line="259" w:lineRule="auto"/>
        <w:tabs>
          <w:tab w:leader="none" w:pos="219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 entity stockholder’s Transfer of any or all of its shares to any or all of its (i) equity holders if such Transfer constitutes a distribution by the stockholder entity or (ii) a partner, member or affiliate (defined as a person or entity controlling, controlled by or under common control) of such stockholder entity; or</w:t>
      </w:r>
    </w:p>
    <w:p>
      <w:pPr>
        <w:spacing w:after="0" w:line="177" w:lineRule="exact"/>
        <w:rPr>
          <w:rFonts w:ascii="Times New Roman" w:cs="Times New Roman" w:eastAsia="Times New Roman" w:hAnsi="Times New Roman"/>
          <w:sz w:val="18"/>
          <w:szCs w:val="18"/>
          <w:color w:val="auto"/>
        </w:rPr>
      </w:pPr>
    </w:p>
    <w:p>
      <w:pPr>
        <w:ind w:left="2200" w:hanging="256"/>
        <w:spacing w:after="0"/>
        <w:tabs>
          <w:tab w:leader="none" w:pos="22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by a stockholder which is a limited or general partnership to any or all of its partners or former partners.</w:t>
      </w:r>
    </w:p>
    <w:p>
      <w:pPr>
        <w:spacing w:after="0" w:line="217" w:lineRule="exact"/>
        <w:rPr>
          <w:sz w:val="20"/>
          <w:szCs w:val="20"/>
          <w:color w:val="auto"/>
        </w:rPr>
      </w:pPr>
    </w:p>
    <w:p>
      <w:pPr>
        <w:ind w:right="220" w:firstLine="973"/>
        <w:spacing w:after="0" w:line="274" w:lineRule="auto"/>
        <w:rPr>
          <w:sz w:val="20"/>
          <w:szCs w:val="20"/>
          <w:color w:val="auto"/>
        </w:rPr>
      </w:pPr>
      <w:r>
        <w:rPr>
          <w:rFonts w:ascii="Times New Roman" w:cs="Times New Roman" w:eastAsia="Times New Roman" w:hAnsi="Times New Roman"/>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61" w:lineRule="exact"/>
        <w:rPr>
          <w:sz w:val="20"/>
          <w:szCs w:val="20"/>
          <w:color w:val="auto"/>
        </w:rPr>
      </w:pPr>
    </w:p>
    <w:p>
      <w:pPr>
        <w:ind w:right="40" w:firstLine="1404"/>
        <w:spacing w:after="0" w:line="250" w:lineRule="auto"/>
        <w:tabs>
          <w:tab w:leader="none" w:pos="1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Restrictions on Transfer</w:t>
      </w:r>
      <w:r>
        <w:rPr>
          <w:rFonts w:ascii="Times New Roman" w:cs="Times New Roman" w:eastAsia="Times New Roman" w:hAnsi="Times New Roman"/>
          <w:sz w:val="18"/>
          <w:szCs w:val="18"/>
          <w:color w:val="auto"/>
        </w:rPr>
        <w:t>. The provisions of this bylaw may be waived with respect to any Transfer by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duly authorized action of the Board of Directors or any committee provided with the power and authority in a resolution of the Board of Directors, including consent of the Series C Director, as such term is defined in the Restated Certificate of Incorporation of the corporation (as amended and/or restated from time to time), or by the stockholders, upon the express written consent of the owners of a majority of the voting power of the corporation (excluding the votes represented by those shares to be transferred by the transferring stockholder), to waive such restrictions on Transfers. This bylaw may be amended or repealed by a duly authorized action of the Board of Directors (including consent of the Series C Director) or by the stockholders, upon the express written consent of the owners of a majority of the voting power of the corporation.</w:t>
      </w:r>
    </w:p>
    <w:p>
      <w:pPr>
        <w:spacing w:after="0" w:line="186" w:lineRule="exact"/>
        <w:rPr>
          <w:rFonts w:ascii="Times New Roman" w:cs="Times New Roman" w:eastAsia="Times New Roman" w:hAnsi="Times New Roman"/>
          <w:sz w:val="18"/>
          <w:szCs w:val="18"/>
          <w:color w:val="auto"/>
        </w:rPr>
      </w:pPr>
    </w:p>
    <w:p>
      <w:pPr>
        <w:ind w:right="60" w:firstLine="1404"/>
        <w:spacing w:after="0" w:line="276" w:lineRule="auto"/>
        <w:tabs>
          <w:tab w:leader="none" w:pos="161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Void Transfers</w:t>
      </w:r>
      <w:r>
        <w:rPr>
          <w:rFonts w:ascii="Times New Roman" w:cs="Times New Roman" w:eastAsia="Times New Roman" w:hAnsi="Times New Roman"/>
          <w:sz w:val="18"/>
          <w:szCs w:val="18"/>
          <w:color w:val="auto"/>
        </w:rPr>
        <w:t>. Any sale or Transfer, or purported sale or Transfer, of securities of the corporation shall be null and void ab initio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terms, conditions and provisions of this bylaw are strictly observed and followed.</w:t>
      </w:r>
    </w:p>
    <w:p>
      <w:pPr>
        <w:spacing w:after="0" w:line="159" w:lineRule="exact"/>
        <w:rPr>
          <w:rFonts w:ascii="Times New Roman" w:cs="Times New Roman" w:eastAsia="Times New Roman" w:hAnsi="Times New Roman"/>
          <w:sz w:val="18"/>
          <w:szCs w:val="18"/>
          <w:color w:val="auto"/>
        </w:rPr>
      </w:pPr>
    </w:p>
    <w:p>
      <w:pPr>
        <w:ind w:right="320" w:firstLine="1404"/>
        <w:spacing w:after="0" w:line="276" w:lineRule="auto"/>
        <w:tabs>
          <w:tab w:leader="none" w:pos="161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Restrictions on Transfer</w:t>
      </w:r>
      <w:r>
        <w:rPr>
          <w:rFonts w:ascii="Times New Roman" w:cs="Times New Roman" w:eastAsia="Times New Roman" w:hAnsi="Times New Roman"/>
          <w:sz w:val="18"/>
          <w:szCs w:val="18"/>
          <w:color w:val="auto"/>
        </w:rPr>
        <w:t>. The foregoing restrictions on Transfer contained in this Article IX shall terminate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of the following dates, whichever shall first occur:</w:t>
      </w:r>
    </w:p>
    <w:p>
      <w:pPr>
        <w:spacing w:after="0" w:line="55" w:lineRule="exact"/>
        <w:rPr>
          <w:rFonts w:ascii="Times New Roman" w:cs="Times New Roman" w:eastAsia="Times New Roman" w:hAnsi="Times New Roman"/>
          <w:sz w:val="18"/>
          <w:szCs w:val="18"/>
          <w:color w:val="auto"/>
        </w:rPr>
      </w:pPr>
    </w:p>
    <w:p>
      <w:pPr>
        <w:ind w:right="80" w:firstLine="1944"/>
        <w:spacing w:after="0" w:line="274" w:lineRule="auto"/>
        <w:tabs>
          <w:tab w:leader="none" w:pos="219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Liquidation Event, as such term is defined in the Restated Certificate of Incorporation of the corporation (as amended and/or restated from time to time); or</w:t>
      </w:r>
    </w:p>
    <w:p>
      <w:pPr>
        <w:spacing w:after="0" w:line="163" w:lineRule="exact"/>
        <w:rPr>
          <w:rFonts w:ascii="Times New Roman" w:cs="Times New Roman" w:eastAsia="Times New Roman" w:hAnsi="Times New Roman"/>
          <w:sz w:val="18"/>
          <w:szCs w:val="18"/>
          <w:color w:val="auto"/>
        </w:rPr>
      </w:pPr>
    </w:p>
    <w:p>
      <w:pPr>
        <w:ind w:right="40" w:firstLine="1944"/>
        <w:spacing w:after="0" w:line="274" w:lineRule="auto"/>
        <w:tabs>
          <w:tab w:leader="none" w:pos="219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sale of Common Stock of the corporation to the general public pursuant to a registration statement filed with and declared effective by the U.S. Securities and Exchange Commission under the Securities Act of 1933, as amended.</w:t>
      </w:r>
    </w:p>
    <w:p>
      <w:pPr>
        <w:spacing w:after="0" w:line="161" w:lineRule="exact"/>
        <w:rPr>
          <w:rFonts w:ascii="Times New Roman" w:cs="Times New Roman" w:eastAsia="Times New Roman" w:hAnsi="Times New Roman"/>
          <w:sz w:val="18"/>
          <w:szCs w:val="18"/>
          <w:color w:val="auto"/>
        </w:rPr>
      </w:pPr>
    </w:p>
    <w:p>
      <w:pPr>
        <w:ind w:right="120" w:firstLine="1404"/>
        <w:spacing w:after="0" w:line="276" w:lineRule="auto"/>
        <w:tabs>
          <w:tab w:leader="none" w:pos="1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certificates representing shares of stock of the corporation shall bear on their face the following legend so long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foregoing restrictions on transfer remain in effect:</w:t>
      </w:r>
    </w:p>
    <w:p>
      <w:pPr>
        <w:spacing w:after="0" w:line="56" w:lineRule="exact"/>
        <w:rPr>
          <w:sz w:val="20"/>
          <w:szCs w:val="20"/>
          <w:color w:val="auto"/>
        </w:rPr>
      </w:pPr>
    </w:p>
    <w:p>
      <w:pPr>
        <w:jc w:val="both"/>
        <w:ind w:left="980" w:right="580"/>
        <w:spacing w:after="0" w:line="304" w:lineRule="auto"/>
        <w:rPr>
          <w:sz w:val="20"/>
          <w:szCs w:val="20"/>
          <w:color w:val="auto"/>
        </w:rPr>
      </w:pPr>
      <w:r>
        <w:rPr>
          <w:rFonts w:ascii="Times New Roman" w:cs="Times New Roman" w:eastAsia="Times New Roman" w:hAnsi="Times New Roman"/>
          <w:sz w:val="17"/>
          <w:szCs w:val="17"/>
          <w:color w:val="auto"/>
        </w:rPr>
        <w:t>“THE SHARES REPRESENTED BY THIS CERTIFICATE MAY BE TRANSFERRED ONLY IN ACCORDANCE WITH THE BYLAWS OF THE CORPORATION, A COPY OF WHICH IS ON FILE WITH THE SECRETARY OF THE CORPORATION.”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80"/>
          </w:cols>
          <w:pgMar w:left="540" w:top="267" w:right="579" w:bottom="1440" w:gutter="0" w:footer="0" w:header="0"/>
        </w:sectPr>
      </w:pPr>
    </w:p>
    <w:bookmarkStart w:id="276" w:name="page277"/>
    <w:bookmarkEnd w:id="27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ARTICLE X</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198" w:lineRule="exact"/>
        <w:rPr>
          <w:sz w:val="20"/>
          <w:szCs w:val="20"/>
          <w:color w:val="auto"/>
        </w:rPr>
      </w:pPr>
    </w:p>
    <w:p>
      <w:pPr>
        <w:ind w:firstLine="973"/>
        <w:spacing w:after="0" w:line="251" w:lineRule="auto"/>
        <w:rPr>
          <w:sz w:val="20"/>
          <w:szCs w:val="20"/>
          <w:color w:val="auto"/>
        </w:rPr>
      </w:pPr>
      <w:r>
        <w:rPr>
          <w:rFonts w:ascii="Times New Roman" w:cs="Times New Roman" w:eastAsia="Times New Roman" w:hAnsi="Times New Roman"/>
          <w:sz w:val="18"/>
          <w:szCs w:val="18"/>
          <w:color w:val="auto"/>
        </w:rPr>
        <w:t>10.1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RECORDS AND REPORTS</w:t>
      </w:r>
    </w:p>
    <w:p>
      <w:pPr>
        <w:spacing w:after="0" w:line="198" w:lineRule="exact"/>
        <w:rPr>
          <w:sz w:val="20"/>
          <w:szCs w:val="20"/>
          <w:color w:val="auto"/>
        </w:rPr>
      </w:pPr>
    </w:p>
    <w:p>
      <w:pPr>
        <w:ind w:right="360" w:firstLine="973"/>
        <w:spacing w:after="0" w:line="274" w:lineRule="auto"/>
        <w:rPr>
          <w:sz w:val="20"/>
          <w:szCs w:val="20"/>
          <w:color w:val="auto"/>
        </w:rPr>
      </w:pPr>
      <w:r>
        <w:rPr>
          <w:rFonts w:ascii="Times New Roman" w:cs="Times New Roman" w:eastAsia="Times New Roman" w:hAnsi="Times New Roman"/>
          <w:sz w:val="18"/>
          <w:szCs w:val="18"/>
          <w:color w:val="auto"/>
        </w:rPr>
        <w:t>11.1 The application and requirements of Section 1501 of the California General Corporation Law are hereby expressly waived to the fullest extent permitted thereunder</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 * *</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60"/>
          </w:cols>
          <w:pgMar w:left="540" w:top="265" w:right="599" w:bottom="1440" w:gutter="0" w:footer="0" w:header="0"/>
        </w:sectPr>
      </w:pPr>
    </w:p>
    <w:bookmarkStart w:id="277" w:name="page278"/>
    <w:bookmarkEnd w:id="27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CERTIFICATE OF SECRETARY OF</w:t>
      </w:r>
    </w:p>
    <w:p>
      <w:pPr>
        <w:spacing w:after="0" w:line="1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COLD GENESYS, INC.</w:t>
      </w:r>
    </w:p>
    <w:p>
      <w:pPr>
        <w:spacing w:after="0" w:line="217" w:lineRule="exact"/>
        <w:rPr>
          <w:sz w:val="20"/>
          <w:szCs w:val="20"/>
          <w:color w:val="auto"/>
        </w:rPr>
      </w:pPr>
    </w:p>
    <w:p>
      <w:pPr>
        <w:ind w:firstLine="973"/>
        <w:spacing w:after="0" w:line="261" w:lineRule="auto"/>
        <w:rPr>
          <w:sz w:val="20"/>
          <w:szCs w:val="20"/>
          <w:color w:val="auto"/>
        </w:rPr>
      </w:pPr>
      <w:r>
        <w:rPr>
          <w:rFonts w:ascii="Times New Roman" w:cs="Times New Roman" w:eastAsia="Times New Roman" w:hAnsi="Times New Roman"/>
          <w:sz w:val="18"/>
          <w:szCs w:val="18"/>
          <w:color w:val="auto"/>
        </w:rPr>
        <w:t xml:space="preserve">The undersigned, </w:t>
      </w:r>
      <w:r>
        <w:rPr>
          <w:rFonts w:ascii="Times New Roman" w:cs="Times New Roman" w:eastAsia="Times New Roman" w:hAnsi="Times New Roman"/>
          <w:sz w:val="18"/>
          <w:szCs w:val="18"/>
          <w:b w:val="1"/>
          <w:bCs w:val="1"/>
          <w:color w:val="auto"/>
        </w:rPr>
        <w:t>Arthur Kuan</w:t>
      </w:r>
      <w:r>
        <w:rPr>
          <w:rFonts w:ascii="Times New Roman" w:cs="Times New Roman" w:eastAsia="Times New Roman" w:hAnsi="Times New Roman"/>
          <w:sz w:val="18"/>
          <w:szCs w:val="18"/>
          <w:color w:val="auto"/>
        </w:rPr>
        <w:t xml:space="preserve">, hereby certifies that they are the duly elected and acting Secretary of </w:t>
      </w:r>
      <w:r>
        <w:rPr>
          <w:rFonts w:ascii="Times New Roman" w:cs="Times New Roman" w:eastAsia="Times New Roman" w:hAnsi="Times New Roman"/>
          <w:sz w:val="18"/>
          <w:szCs w:val="18"/>
          <w:b w:val="1"/>
          <w:bCs w:val="1"/>
          <w:color w:val="auto"/>
        </w:rPr>
        <w:t>Cold Genesys,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that the Amended and Restated Bylaws attached hereto constitute the bylaws of said Corporation as duly adopted by Action by Written Consent of the Board of Directors on December 5, 2017.</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subscribed their name this December 5, 2017.</w:t>
      </w:r>
    </w:p>
    <w:p>
      <w:pPr>
        <w:spacing w:after="0" w:line="2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14605</wp:posOffset>
            </wp:positionV>
            <wp:extent cx="27425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Arthur Kuan, Secretary</w:t>
      </w:r>
    </w:p>
    <w:p>
      <w:pPr>
        <w:sectPr>
          <w:pgSz w:w="11900" w:h="16838" w:orient="portrait"/>
          <w:cols w:equalWidth="0" w:num="1">
            <w:col w:w="10640"/>
          </w:cols>
          <w:pgMar w:left="540" w:top="265" w:right="71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1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1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1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INVESTORS’ RIGHTS AGREEMENT</w:t>
      </w:r>
    </w:p>
    <w:p>
      <w:pPr>
        <w:spacing w:after="0" w:line="2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DATED: July 28, 2023</w:t>
      </w:r>
    </w:p>
    <w:p>
      <w:pPr>
        <w:sectPr>
          <w:pgSz w:w="11900" w:h="16838" w:orient="portrait"/>
          <w:cols w:equalWidth="0" w:num="1">
            <w:col w:w="9920"/>
          </w:cols>
          <w:pgMar w:left="1440" w:top="119" w:right="5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CG ONCOLOGY,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19" w:lineRule="exact"/>
        <w:rPr>
          <w:sz w:val="20"/>
          <w:szCs w:val="20"/>
          <w:color w:val="auto"/>
        </w:rPr>
      </w:pPr>
    </w:p>
    <w:p>
      <w:pPr>
        <w:jc w:val="both"/>
        <w:ind w:right="380" w:firstLine="973"/>
        <w:spacing w:after="0" w:line="259" w:lineRule="auto"/>
        <w:rPr>
          <w:sz w:val="20"/>
          <w:szCs w:val="20"/>
          <w:color w:val="auto"/>
        </w:rPr>
      </w:pPr>
      <w:r>
        <w:rPr>
          <w:rFonts w:ascii="Times New Roman" w:cs="Times New Roman" w:eastAsia="Times New Roman" w:hAnsi="Times New Roman"/>
          <w:sz w:val="18"/>
          <w:szCs w:val="18"/>
          <w:color w:val="auto"/>
        </w:rPr>
        <w:t>THIS AMENDED AND RESTATED INVESTORS’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is made as of July 28, 2023 by and among </w:t>
      </w:r>
      <w:r>
        <w:rPr>
          <w:rFonts w:ascii="Times New Roman" w:cs="Times New Roman" w:eastAsia="Times New Roman" w:hAnsi="Times New Roman"/>
          <w:sz w:val="18"/>
          <w:szCs w:val="18"/>
          <w:b w:val="1"/>
          <w:bCs w:val="1"/>
          <w:color w:val="auto"/>
        </w:rPr>
        <w:t>CG ONCOLOGY,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investors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7" w:lineRule="exact"/>
        <w:rPr>
          <w:sz w:val="20"/>
          <w:szCs w:val="20"/>
          <w:color w:val="auto"/>
        </w:rPr>
      </w:pPr>
    </w:p>
    <w:p>
      <w:pPr>
        <w:ind w:right="20" w:firstLine="973"/>
        <w:spacing w:after="0" w:line="269"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certain of the Investors (the “</w:t>
      </w:r>
      <w:r>
        <w:rPr>
          <w:rFonts w:ascii="Times New Roman" w:cs="Times New Roman" w:eastAsia="Times New Roman" w:hAnsi="Times New Roman"/>
          <w:sz w:val="17"/>
          <w:szCs w:val="17"/>
          <w:u w:val="single" w:color="auto"/>
          <w:color w:val="auto"/>
        </w:rPr>
        <w:t>Existing Investors</w:t>
      </w:r>
      <w:r>
        <w:rPr>
          <w:rFonts w:ascii="Times New Roman" w:cs="Times New Roman" w:eastAsia="Times New Roman" w:hAnsi="Times New Roman"/>
          <w:sz w:val="17"/>
          <w:szCs w:val="17"/>
          <w:color w:val="auto"/>
        </w:rPr>
        <w:t>”) hold shares of Series A-1 Preferred Stock of the Company (the “</w:t>
      </w:r>
      <w:r>
        <w:rPr>
          <w:rFonts w:ascii="Times New Roman" w:cs="Times New Roman" w:eastAsia="Times New Roman" w:hAnsi="Times New Roman"/>
          <w:sz w:val="17"/>
          <w:szCs w:val="17"/>
          <w:u w:val="single" w:color="auto"/>
          <w:color w:val="auto"/>
        </w:rPr>
        <w:t>Series A-1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shares of Series B Preferred Stock of the Company (the “</w:t>
      </w:r>
      <w:r>
        <w:rPr>
          <w:rFonts w:ascii="Times New Roman" w:cs="Times New Roman" w:eastAsia="Times New Roman" w:hAnsi="Times New Roman"/>
          <w:sz w:val="17"/>
          <w:szCs w:val="17"/>
          <w:u w:val="single" w:color="auto"/>
          <w:color w:val="auto"/>
        </w:rPr>
        <w:t>Series B Preferred Stock</w:t>
      </w:r>
      <w:r>
        <w:rPr>
          <w:rFonts w:ascii="Times New Roman" w:cs="Times New Roman" w:eastAsia="Times New Roman" w:hAnsi="Times New Roman"/>
          <w:sz w:val="17"/>
          <w:szCs w:val="17"/>
          <w:color w:val="auto"/>
        </w:rPr>
        <w:t>”), shares of Series C Preferred Stock of the Company (the “</w:t>
      </w:r>
      <w:r>
        <w:rPr>
          <w:rFonts w:ascii="Times New Roman" w:cs="Times New Roman" w:eastAsia="Times New Roman" w:hAnsi="Times New Roman"/>
          <w:sz w:val="17"/>
          <w:szCs w:val="17"/>
          <w:u w:val="single" w:color="auto"/>
          <w:color w:val="auto"/>
        </w:rPr>
        <w:t>Series C Preferred Stock</w:t>
      </w:r>
      <w:r>
        <w:rPr>
          <w:rFonts w:ascii="Times New Roman" w:cs="Times New Roman" w:eastAsia="Times New Roman" w:hAnsi="Times New Roman"/>
          <w:sz w:val="17"/>
          <w:szCs w:val="17"/>
          <w:color w:val="auto"/>
        </w:rPr>
        <w:t>”), shares of Series D Preferred stock of the Company (the “</w:t>
      </w:r>
      <w:r>
        <w:rPr>
          <w:rFonts w:ascii="Times New Roman" w:cs="Times New Roman" w:eastAsia="Times New Roman" w:hAnsi="Times New Roman"/>
          <w:sz w:val="17"/>
          <w:szCs w:val="17"/>
          <w:u w:val="single" w:color="auto"/>
          <w:color w:val="auto"/>
        </w:rPr>
        <w:t>Series D Preferred Stock</w:t>
      </w:r>
      <w:r>
        <w:rPr>
          <w:rFonts w:ascii="Times New Roman" w:cs="Times New Roman" w:eastAsia="Times New Roman" w:hAnsi="Times New Roman"/>
          <w:sz w:val="17"/>
          <w:szCs w:val="17"/>
          <w:color w:val="auto"/>
        </w:rPr>
        <w:t>”), shares of Series E Preferred stock of the Company (the “</w:t>
      </w:r>
      <w:r>
        <w:rPr>
          <w:rFonts w:ascii="Times New Roman" w:cs="Times New Roman" w:eastAsia="Times New Roman" w:hAnsi="Times New Roman"/>
          <w:sz w:val="17"/>
          <w:szCs w:val="17"/>
          <w:u w:val="single" w:color="auto"/>
          <w:color w:val="auto"/>
        </w:rPr>
        <w:t>Series E Preferred Stock</w:t>
      </w:r>
      <w:r>
        <w:rPr>
          <w:rFonts w:ascii="Times New Roman" w:cs="Times New Roman" w:eastAsia="Times New Roman" w:hAnsi="Times New Roman"/>
          <w:sz w:val="17"/>
          <w:szCs w:val="17"/>
          <w:color w:val="auto"/>
        </w:rPr>
        <w:t>”) and/or shares of Common Stock of the Company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issued upon conversion thereof and possess registration rights, information rights, rights of first offer and other rights pursuant to that certain Amended and Restated Investors’ Rights Agreement dated as of September 30, 2022 by and among the Company and such Existing Investors (the “</w:t>
      </w:r>
      <w:r>
        <w:rPr>
          <w:rFonts w:ascii="Times New Roman" w:cs="Times New Roman" w:eastAsia="Times New Roman" w:hAnsi="Times New Roman"/>
          <w:sz w:val="17"/>
          <w:szCs w:val="17"/>
          <w:u w:val="single" w:color="auto"/>
          <w:color w:val="auto"/>
        </w:rPr>
        <w:t>Prior Agreement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right="16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Prior Agreement may be amended, and any provision therein waived, with the consent of the Company and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at least 75% of the Registrable Securities then outstanding (as such term is defined in the Prior Agreement);</w:t>
      </w:r>
    </w:p>
    <w:p>
      <w:pPr>
        <w:spacing w:after="0" w:line="160" w:lineRule="exact"/>
        <w:rPr>
          <w:sz w:val="20"/>
          <w:szCs w:val="20"/>
          <w:color w:val="auto"/>
        </w:rPr>
      </w:pPr>
    </w:p>
    <w:p>
      <w:pPr>
        <w:ind w:right="52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Existing Investors as holders of at least 75% of the Registrable Securities outstanding desire to terminate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to accept the rights created pursuant hereto in lieu of the rights granted to them under the Prior Agreement; and</w:t>
      </w:r>
    </w:p>
    <w:p>
      <w:pPr>
        <w:spacing w:after="0" w:line="160" w:lineRule="exact"/>
        <w:rPr>
          <w:sz w:val="20"/>
          <w:szCs w:val="20"/>
          <w:color w:val="auto"/>
        </w:rPr>
      </w:pPr>
    </w:p>
    <w:p>
      <w:pPr>
        <w:ind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Investors are parties to that certain Series F Preferred Stock Purchase Agreement of even date herewith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Company and certain of the Investors (the “</w:t>
      </w:r>
      <w:r>
        <w:rPr>
          <w:rFonts w:ascii="Times New Roman" w:cs="Times New Roman" w:eastAsia="Times New Roman" w:hAnsi="Times New Roman"/>
          <w:sz w:val="18"/>
          <w:szCs w:val="18"/>
          <w:u w:val="single" w:color="auto"/>
          <w:color w:val="auto"/>
        </w:rPr>
        <w:t>Series F Stock Purchase Agreement</w:t>
      </w:r>
      <w:r>
        <w:rPr>
          <w:rFonts w:ascii="Times New Roman" w:cs="Times New Roman" w:eastAsia="Times New Roman" w:hAnsi="Times New Roman"/>
          <w:sz w:val="18"/>
          <w:szCs w:val="18"/>
          <w:color w:val="auto"/>
        </w:rPr>
        <w:t>”), which provides that as a condition to the closing of the sale of the Series F Preferred Stock of the Company (the “</w:t>
      </w:r>
      <w:r>
        <w:rPr>
          <w:rFonts w:ascii="Times New Roman" w:cs="Times New Roman" w:eastAsia="Times New Roman" w:hAnsi="Times New Roman"/>
          <w:sz w:val="18"/>
          <w:szCs w:val="18"/>
          <w:u w:val="single" w:color="auto"/>
          <w:color w:val="auto"/>
        </w:rPr>
        <w:t>Series F Preferred Stock</w:t>
      </w:r>
      <w:r>
        <w:rPr>
          <w:rFonts w:ascii="Times New Roman" w:cs="Times New Roman" w:eastAsia="Times New Roman" w:hAnsi="Times New Roman"/>
          <w:sz w:val="18"/>
          <w:szCs w:val="18"/>
          <w:color w:val="auto"/>
        </w:rPr>
        <w:t>” and collectively with the Series A-1 Preferred Stock, Series B Preferred Stock, the Series C Preferred Stock, Series D Preferred Stock and the Series E Preferred Stock,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this Agreement must be executed and delivered by such Investors, Existing Investors holding at least 75% of the Registrable Securities outstanding, and the Company.</w:t>
      </w:r>
    </w:p>
    <w:p>
      <w:pPr>
        <w:sectPr>
          <w:pgSz w:w="11900" w:h="16838" w:orient="portrait"/>
          <w:cols w:equalWidth="0" w:num="1">
            <w:col w:w="10800"/>
          </w:cols>
          <w:pgMar w:left="540" w:top="265" w:right="559" w:bottom="1440" w:gutter="0" w:footer="0" w:header="0"/>
        </w:sectPr>
      </w:pPr>
    </w:p>
    <w:bookmarkStart w:id="280" w:name="page281"/>
    <w:bookmarkEnd w:id="280"/>
    <w:p>
      <w:pPr>
        <w:ind w:left="2" w:firstLine="973"/>
        <w:spacing w:after="0" w:line="306"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NOW, THEREFORE</w:t>
      </w:r>
      <w:r>
        <w:rPr>
          <w:rFonts w:ascii="Times New Roman" w:cs="Times New Roman" w:eastAsia="Times New Roman" w:hAnsi="Times New Roman"/>
          <w:sz w:val="17"/>
          <w:szCs w:val="17"/>
          <w:color w:val="auto"/>
        </w:rPr>
        <w:t>, in consideration of the mutual promises and covenants set forth herein, the Company and the Existing Investors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agree that the Prior Agreement shall be superseded and replaced in its entirety by this Agreement, and the parties hereto further agree as follows:</w:t>
      </w:r>
    </w:p>
    <w:p>
      <w:pPr>
        <w:spacing w:after="0" w:line="34"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Company covenants and agrees as follows:</w:t>
      </w:r>
    </w:p>
    <w:p>
      <w:pPr>
        <w:spacing w:after="0" w:line="217"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Section 1:</w:t>
      </w:r>
    </w:p>
    <w:p>
      <w:pPr>
        <w:spacing w:after="0" w:line="111" w:lineRule="exact"/>
        <w:rPr>
          <w:sz w:val="20"/>
          <w:szCs w:val="20"/>
          <w:color w:val="auto"/>
        </w:rPr>
      </w:pPr>
    </w:p>
    <w:p>
      <w:pPr>
        <w:ind w:left="2182" w:hanging="236"/>
        <w:spacing w:after="0"/>
        <w:tabs>
          <w:tab w:leader="none" w:pos="2182"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means the Securities Act of 1933, as amended.</w:t>
      </w:r>
    </w:p>
    <w:p>
      <w:pPr>
        <w:spacing w:after="0" w:line="217" w:lineRule="exact"/>
        <w:rPr>
          <w:rFonts w:ascii="Times New Roman" w:cs="Times New Roman" w:eastAsia="Times New Roman" w:hAnsi="Times New Roman"/>
          <w:sz w:val="18"/>
          <w:szCs w:val="18"/>
          <w:color w:val="auto"/>
        </w:rPr>
      </w:pPr>
    </w:p>
    <w:p>
      <w:pPr>
        <w:jc w:val="both"/>
        <w:ind w:left="2" w:right="240" w:firstLine="1944"/>
        <w:spacing w:after="0" w:line="259" w:lineRule="auto"/>
        <w:tabs>
          <w:tab w:leader="none" w:pos="219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spacing w:after="0" w:line="177" w:lineRule="exact"/>
        <w:rPr>
          <w:rFonts w:ascii="Times New Roman" w:cs="Times New Roman" w:eastAsia="Times New Roman" w:hAnsi="Times New Roman"/>
          <w:sz w:val="18"/>
          <w:szCs w:val="18"/>
          <w:color w:val="auto"/>
        </w:rPr>
      </w:pPr>
    </w:p>
    <w:p>
      <w:pPr>
        <w:ind w:left="2" w:firstLine="1944"/>
        <w:spacing w:after="0" w:line="274" w:lineRule="auto"/>
        <w:tabs>
          <w:tab w:leader="none" w:pos="218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person owning or having the right to acquire Registrable Securities or any assignee thereof in accordance with Section 1.11 hereof.</w:t>
      </w:r>
    </w:p>
    <w:p>
      <w:pPr>
        <w:spacing w:after="0" w:line="163" w:lineRule="exact"/>
        <w:rPr>
          <w:rFonts w:ascii="Times New Roman" w:cs="Times New Roman" w:eastAsia="Times New Roman" w:hAnsi="Times New Roman"/>
          <w:sz w:val="18"/>
          <w:szCs w:val="18"/>
          <w:color w:val="auto"/>
        </w:rPr>
      </w:pPr>
    </w:p>
    <w:p>
      <w:pPr>
        <w:jc w:val="both"/>
        <w:ind w:left="2" w:right="400" w:firstLine="1944"/>
        <w:spacing w:after="0" w:line="259" w:lineRule="auto"/>
        <w:tabs>
          <w:tab w:leader="none" w:pos="219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Initial Public Offering</w:t>
      </w:r>
      <w:r>
        <w:rPr>
          <w:rFonts w:ascii="Times New Roman" w:cs="Times New Roman" w:eastAsia="Times New Roman" w:hAnsi="Times New Roman"/>
          <w:sz w:val="18"/>
          <w:szCs w:val="18"/>
          <w:color w:val="auto"/>
        </w:rPr>
        <w:t>” means the first firm commitment underwritten public offering of securities of the Company pursuant to an effective registration statement under the Act (other than a registration statement relating either to the sale of securities to employees of the Company pursuant to a stock option, stock purchase or similar plan or an SEC Rule 145 transaction).</w:t>
      </w:r>
    </w:p>
    <w:p>
      <w:pPr>
        <w:spacing w:after="0" w:line="177" w:lineRule="exact"/>
        <w:rPr>
          <w:rFonts w:ascii="Times New Roman" w:cs="Times New Roman" w:eastAsia="Times New Roman" w:hAnsi="Times New Roman"/>
          <w:sz w:val="18"/>
          <w:szCs w:val="18"/>
          <w:color w:val="auto"/>
        </w:rPr>
      </w:pPr>
    </w:p>
    <w:p>
      <w:pPr>
        <w:ind w:left="2182" w:hanging="236"/>
        <w:spacing w:after="0"/>
        <w:tabs>
          <w:tab w:leader="none" w:pos="2182"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17" w:lineRule="exact"/>
        <w:rPr>
          <w:rFonts w:ascii="Times New Roman" w:cs="Times New Roman" w:eastAsia="Times New Roman" w:hAnsi="Times New Roman"/>
          <w:sz w:val="18"/>
          <w:szCs w:val="18"/>
          <w:color w:val="auto"/>
        </w:rPr>
      </w:pPr>
    </w:p>
    <w:p>
      <w:pPr>
        <w:jc w:val="both"/>
        <w:ind w:left="2" w:right="140" w:firstLine="1944"/>
        <w:spacing w:after="0" w:line="304" w:lineRule="auto"/>
        <w:tabs>
          <w:tab w:leader="none" w:pos="2169"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registered,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40" w:lineRule="exact"/>
        <w:rPr>
          <w:rFonts w:ascii="Times New Roman" w:cs="Times New Roman" w:eastAsia="Times New Roman" w:hAnsi="Times New Roman"/>
          <w:sz w:val="17"/>
          <w:szCs w:val="17"/>
          <w:color w:val="auto"/>
        </w:rPr>
      </w:pPr>
    </w:p>
    <w:p>
      <w:pPr>
        <w:ind w:left="2" w:right="160" w:firstLine="1944"/>
        <w:spacing w:after="0" w:line="266" w:lineRule="auto"/>
        <w:tabs>
          <w:tab w:leader="none" w:pos="2198"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means the Common Stock issuable or issued upon conversion of the Company’s Preferred Stock and any Common Stock of the Company issued as (or issuable upon the conversion or exercise of any warrant, right or other security that is issued as) a dividend or other distribution with respect to, or in exchange for, or in replacement of, the shares referenced above, excluding in all cases, however, any Registrable Securities sold by a person (x) in a transaction in which his, her or its rights under this Section 1 are not assigned,</w:t>
      </w:r>
    </w:p>
    <w:p>
      <w:pPr>
        <w:jc w:val="both"/>
        <w:ind w:left="2" w:right="60" w:hanging="2"/>
        <w:spacing w:after="0" w:line="248" w:lineRule="auto"/>
        <w:tabs>
          <w:tab w:leader="none" w:pos="25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under the Act that has been declared effective and such Registrable Securities have been disposed of pursuant to such effective registration statement, or (z) in a transaction in which such Registrable Securities are sold pursuant to Rule 144 (or any similar provision then in force) under the Act.</w:t>
      </w:r>
    </w:p>
    <w:p>
      <w:pPr>
        <w:spacing w:after="0" w:line="186" w:lineRule="exact"/>
        <w:rPr>
          <w:rFonts w:ascii="Times New Roman" w:cs="Times New Roman" w:eastAsia="Times New Roman" w:hAnsi="Times New Roman"/>
          <w:sz w:val="18"/>
          <w:szCs w:val="18"/>
          <w:color w:val="auto"/>
        </w:rPr>
      </w:pPr>
    </w:p>
    <w:p>
      <w:pPr>
        <w:ind w:left="2" w:right="40" w:firstLine="1944"/>
        <w:spacing w:after="0" w:line="259" w:lineRule="auto"/>
        <w:tabs>
          <w:tab w:leader="none" w:pos="219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w:t>
      </w:r>
      <w:r>
        <w:rPr>
          <w:rFonts w:ascii="Times New Roman" w:cs="Times New Roman" w:eastAsia="Times New Roman" w:hAnsi="Times New Roman"/>
          <w:sz w:val="18"/>
          <w:szCs w:val="18"/>
          <w:u w:val="single" w:color="auto"/>
          <w:color w:val="auto"/>
        </w:rPr>
        <w:t>Registrable Securities then outstanding</w:t>
      </w:r>
      <w:r>
        <w:rPr>
          <w:rFonts w:ascii="Times New Roman" w:cs="Times New Roman" w:eastAsia="Times New Roman" w:hAnsi="Times New Roman"/>
          <w:sz w:val="18"/>
          <w:szCs w:val="18"/>
          <w:color w:val="auto"/>
        </w:rPr>
        <w:t>” shall be determined by the number of shares of Common Stock outstanding that are, and the number of shares of Common Stock issuable pursuant to then exercisable or convertible securities that are, Registrable Securities.</w:t>
      </w:r>
    </w:p>
    <w:p>
      <w:pPr>
        <w:spacing w:after="0" w:line="112"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2"/>
          </w:cols>
          <w:pgMar w:left="538" w:top="265" w:right="599" w:bottom="1440" w:gutter="0" w:footer="0" w:header="0"/>
        </w:sectPr>
      </w:pPr>
    </w:p>
    <w:bookmarkStart w:id="281" w:name="page282"/>
    <w:bookmarkEnd w:id="281"/>
    <w:p>
      <w:pPr>
        <w:ind w:left="-20" w:right="40" w:firstLine="1944"/>
        <w:spacing w:after="0" w:line="274" w:lineRule="auto"/>
        <w:tabs>
          <w:tab w:leader="none" w:pos="213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term “</w:t>
      </w:r>
      <w:r>
        <w:rPr>
          <w:rFonts w:ascii="Times New Roman" w:cs="Times New Roman" w:eastAsia="Times New Roman" w:hAnsi="Times New Roman"/>
          <w:sz w:val="18"/>
          <w:szCs w:val="18"/>
          <w:u w:val="single" w:color="auto"/>
          <w:color w:val="auto"/>
        </w:rPr>
        <w:t>Restated Certificate</w:t>
      </w:r>
      <w:r>
        <w:rPr>
          <w:rFonts w:ascii="Times New Roman" w:cs="Times New Roman" w:eastAsia="Times New Roman" w:hAnsi="Times New Roman"/>
          <w:sz w:val="18"/>
          <w:szCs w:val="18"/>
          <w:color w:val="auto"/>
        </w:rPr>
        <w:t>” shall mean the Company’s current Amended and Restated Certificate of Incorporation, as duly filed with the Delaware Secretary of State.</w:t>
      </w:r>
    </w:p>
    <w:p>
      <w:pPr>
        <w:spacing w:after="0" w:line="163" w:lineRule="exact"/>
        <w:rPr>
          <w:rFonts w:ascii="Times New Roman" w:cs="Times New Roman" w:eastAsia="Times New Roman" w:hAnsi="Times New Roman"/>
          <w:sz w:val="18"/>
          <w:szCs w:val="18"/>
          <w:color w:val="auto"/>
        </w:rPr>
      </w:pPr>
    </w:p>
    <w:p>
      <w:pPr>
        <w:ind w:left="2140" w:hanging="216"/>
        <w:spacing w:after="0"/>
        <w:tabs>
          <w:tab w:leader="none" w:pos="21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Securities and Exchange Commission.</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Request for Registration.</w:t>
      </w:r>
    </w:p>
    <w:p>
      <w:pPr>
        <w:spacing w:after="0" w:line="217" w:lineRule="exact"/>
        <w:rPr>
          <w:sz w:val="20"/>
          <w:szCs w:val="20"/>
          <w:color w:val="auto"/>
        </w:rPr>
      </w:pPr>
    </w:p>
    <w:p>
      <w:pPr>
        <w:ind w:left="-20" w:right="40" w:firstLine="1944"/>
        <w:spacing w:after="0" w:line="250" w:lineRule="auto"/>
        <w:tabs>
          <w:tab w:leader="none" w:pos="216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of this Section 1.2, if the Company shall receive at any time after the earlier of (i) five (5) years after the date of this Agreement or (ii) six (6) months after the effective date of the Initial Public Offering, a written request from the Holders of twenty-five percent (25%) or more of the Registrable Securities then outstanding (the “</w:t>
      </w:r>
      <w:r>
        <w:rPr>
          <w:rFonts w:ascii="Times New Roman" w:cs="Times New Roman" w:eastAsia="Times New Roman" w:hAnsi="Times New Roman"/>
          <w:sz w:val="18"/>
          <w:szCs w:val="18"/>
          <w:u w:val="single" w:color="auto"/>
          <w:color w:val="auto"/>
        </w:rPr>
        <w:t>Initiating Holders</w:t>
      </w:r>
      <w:r>
        <w:rPr>
          <w:rFonts w:ascii="Times New Roman" w:cs="Times New Roman" w:eastAsia="Times New Roman" w:hAnsi="Times New Roman"/>
          <w:sz w:val="18"/>
          <w:szCs w:val="18"/>
          <w:color w:val="auto"/>
        </w:rPr>
        <w:t>”) that the Company file a registration statement under the Act covering the registration of Registrable Securities, then the Company shall, within twenty (20) days of the receipt thereof, give written notice of such request to all Holders, and subject to the limitations of this Section 1.2, use best efforts to effect, as soon as practicable, the registration under the Act of all Registrable Securities that the Holders request to be registered in a written request received by the Company within twenty (20) days of the mailing of the Company’s notice pursuant to this Section 1.2(a).</w:t>
      </w:r>
    </w:p>
    <w:p>
      <w:pPr>
        <w:spacing w:after="0" w:line="186" w:lineRule="exact"/>
        <w:rPr>
          <w:rFonts w:ascii="Times New Roman" w:cs="Times New Roman" w:eastAsia="Times New Roman" w:hAnsi="Times New Roman"/>
          <w:sz w:val="18"/>
          <w:szCs w:val="18"/>
          <w:color w:val="auto"/>
        </w:rPr>
      </w:pPr>
    </w:p>
    <w:p>
      <w:pPr>
        <w:ind w:left="-20" w:firstLine="1944"/>
        <w:spacing w:after="0" w:line="247" w:lineRule="auto"/>
        <w:tabs>
          <w:tab w:leader="none" w:pos="217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Initiating Holders intend to distribute the Registrable Securities covered by their request by means of an underwriting, they shall so advise the Company as a part of their request made pursuant to this Section 1.2 and the Company shall include such information in the written notice referred to in this Section 1.2(a).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a majority in interest of the Initiating Holders. Notwithstanding any other provision of this Section 1.2, if the underwriter advises the Company that marketing factors require a limitation of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pro rata basis (as nearly as practicable) based on the number of Registrable Securities held by all such Holders (including the Initiating Holders), provided that no Registrable Securities shall be excluded unless and until all other securities of the Company have been excluded; and provided further that at least 33% of the Registrable Securities requested to be included in such underwriting are in fact so included. Any Registrable Securities excluded or withdrawn from such underwriting shall be withdrawn from the registration.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560" w:top="267" w:right="579" w:bottom="1440" w:gutter="0" w:footer="0" w:header="0"/>
        </w:sectPr>
      </w:pPr>
    </w:p>
    <w:bookmarkStart w:id="282" w:name="page283"/>
    <w:bookmarkEnd w:id="282"/>
    <w:p>
      <w:pPr>
        <w:ind w:left="2180" w:hanging="236"/>
        <w:spacing w:after="0"/>
        <w:tabs>
          <w:tab w:leader="none" w:pos="21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addition, the Company shall not be required to effect a registration pursuant to this Section 1.2:</w:t>
      </w:r>
    </w:p>
    <w:p>
      <w:pPr>
        <w:spacing w:after="0" w:line="111" w:lineRule="exact"/>
        <w:rPr>
          <w:rFonts w:ascii="Times New Roman" w:cs="Times New Roman" w:eastAsia="Times New Roman" w:hAnsi="Times New Roman"/>
          <w:sz w:val="18"/>
          <w:szCs w:val="18"/>
          <w:color w:val="auto"/>
        </w:rPr>
      </w:pPr>
    </w:p>
    <w:p>
      <w:pPr>
        <w:ind w:left="2580" w:hanging="203"/>
        <w:spacing w:after="0"/>
        <w:tabs>
          <w:tab w:leader="none" w:pos="258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Company has effected three (3) registrations pursuant to this Section 1.2, and such registrations have been</w:t>
      </w:r>
    </w:p>
    <w:p>
      <w:pPr>
        <w:spacing w:after="0" w:line="3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declared or ordered effective;</w:t>
      </w:r>
    </w:p>
    <w:p>
      <w:pPr>
        <w:spacing w:after="0" w:line="197" w:lineRule="exact"/>
        <w:rPr>
          <w:rFonts w:ascii="Times New Roman" w:cs="Times New Roman" w:eastAsia="Times New Roman" w:hAnsi="Times New Roman"/>
          <w:sz w:val="17"/>
          <w:szCs w:val="17"/>
          <w:color w:val="auto"/>
        </w:rPr>
      </w:pPr>
    </w:p>
    <w:p>
      <w:pPr>
        <w:ind w:right="260" w:firstLine="2377"/>
        <w:spacing w:after="0" w:line="274" w:lineRule="auto"/>
        <w:tabs>
          <w:tab w:leader="none" w:pos="2638"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effected a registration pursuant to this Section 1.2 within the preceding twelve (12) months, and such registration has been declared or ordered effective;</w:t>
      </w:r>
    </w:p>
    <w:p>
      <w:pPr>
        <w:spacing w:after="0" w:line="163" w:lineRule="exact"/>
        <w:rPr>
          <w:rFonts w:ascii="Times New Roman" w:cs="Times New Roman" w:eastAsia="Times New Roman" w:hAnsi="Times New Roman"/>
          <w:sz w:val="18"/>
          <w:szCs w:val="18"/>
          <w:color w:val="auto"/>
        </w:rPr>
      </w:pPr>
    </w:p>
    <w:p>
      <w:pPr>
        <w:ind w:right="60" w:firstLine="2377"/>
        <w:spacing w:after="0" w:line="259" w:lineRule="auto"/>
        <w:tabs>
          <w:tab w:leader="none" w:pos="2688"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Initiating Holders, together with the holders of any other securities of the Company entitled to inclusion in such registration statement, propose to sell Registrable Securities and such other securities (if any) and the aggregate proceeds of which (after deduction for underwriter’s discounts and expenses related to the issuance) are less than US$5,000,000;</w:t>
      </w:r>
    </w:p>
    <w:p>
      <w:pPr>
        <w:spacing w:after="0" w:line="177" w:lineRule="exact"/>
        <w:rPr>
          <w:rFonts w:ascii="Times New Roman" w:cs="Times New Roman" w:eastAsia="Times New Roman" w:hAnsi="Times New Roman"/>
          <w:sz w:val="18"/>
          <w:szCs w:val="18"/>
          <w:color w:val="auto"/>
        </w:rPr>
      </w:pPr>
    </w:p>
    <w:p>
      <w:pPr>
        <w:jc w:val="both"/>
        <w:ind w:right="240" w:firstLine="2377"/>
        <w:spacing w:after="0" w:line="282" w:lineRule="auto"/>
        <w:tabs>
          <w:tab w:leader="none" w:pos="2678"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starting with the date sixty (60) says prior to the Company’s good faith estimate of the date of filing of, and ending on a date one hundred eighty (180) days following the effective date of, a Company-initiated registration subject to Section 1.3, provided that the Company is actively employing in good faith all reasonable efforts to cause such registration statement to become effective;</w:t>
      </w:r>
    </w:p>
    <w:p>
      <w:pPr>
        <w:spacing w:after="0" w:line="158" w:lineRule="exact"/>
        <w:rPr>
          <w:rFonts w:ascii="Times New Roman" w:cs="Times New Roman" w:eastAsia="Times New Roman" w:hAnsi="Times New Roman"/>
          <w:sz w:val="17"/>
          <w:szCs w:val="17"/>
          <w:color w:val="auto"/>
        </w:rPr>
      </w:pPr>
    </w:p>
    <w:p>
      <w:pPr>
        <w:ind w:left="2620" w:hanging="243"/>
        <w:spacing w:after="0"/>
        <w:tabs>
          <w:tab w:leader="none" w:pos="262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Initiating Holders propose to dispose of Registrable Securities that may be registered on Form S-3 pursuant to</w:t>
      </w:r>
    </w:p>
    <w:p>
      <w:pPr>
        <w:spacing w:after="0" w:line="3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1.4;</w:t>
      </w:r>
    </w:p>
    <w:p>
      <w:pPr>
        <w:spacing w:after="0" w:line="197" w:lineRule="exact"/>
        <w:rPr>
          <w:rFonts w:ascii="Times New Roman" w:cs="Times New Roman" w:eastAsia="Times New Roman" w:hAnsi="Times New Roman"/>
          <w:sz w:val="17"/>
          <w:szCs w:val="17"/>
          <w:color w:val="auto"/>
        </w:rPr>
      </w:pPr>
    </w:p>
    <w:p>
      <w:pPr>
        <w:ind w:firstLine="2377"/>
        <w:spacing w:after="0" w:line="251" w:lineRule="auto"/>
        <w:tabs>
          <w:tab w:leader="none" w:pos="2678"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furnish to Holders requesting a registration pursuant to this Section 1.2, a certificate signed by the Company’s Chief Executive Officer or Chairman of the Board stating that in the good faith judgment of the Board of Directors of the Company, it would be seriously detrimental to the Company and its stockholders for such registration to be effected at such time, in which event the Company shall have the right to defer such filing for a period of not more than ninety (90) days after receipt of the request of the Initiating Holders, provided that such right to delay a request shall be exercised by the Company not more than once in any twelve (12)-month period and provided further, that the Company shall not register any other of its shares during such ninety (90) days; or</w:t>
      </w:r>
    </w:p>
    <w:p>
      <w:pPr>
        <w:spacing w:after="0" w:line="185" w:lineRule="exact"/>
        <w:rPr>
          <w:rFonts w:ascii="Times New Roman" w:cs="Times New Roman" w:eastAsia="Times New Roman" w:hAnsi="Times New Roman"/>
          <w:sz w:val="18"/>
          <w:szCs w:val="18"/>
          <w:color w:val="auto"/>
        </w:rPr>
      </w:pPr>
    </w:p>
    <w:p>
      <w:pPr>
        <w:ind w:right="60" w:firstLine="2377"/>
        <w:spacing w:after="0" w:line="304" w:lineRule="auto"/>
        <w:tabs>
          <w:tab w:leader="none" w:pos="2727"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w:t>
      </w:r>
    </w:p>
    <w:p>
      <w:pPr>
        <w:spacing w:after="0" w:line="1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0" w:firstLine="1944"/>
        <w:spacing w:after="0" w:line="251" w:lineRule="auto"/>
        <w:tabs>
          <w:tab w:leader="none" w:pos="218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a registration relating solely to the sale of securities to participants in a Company stock plan, a registration relating to a corporate reorganization or other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540" w:top="267" w:right="559" w:bottom="1440" w:gutter="0" w:footer="0" w:header="0"/>
        </w:sectPr>
      </w:pPr>
    </w:p>
    <w:bookmarkStart w:id="283" w:name="page284"/>
    <w:bookmarkEnd w:id="283"/>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are also being registered), the Company shall, at such time, promptly give each Holder written notice of such registration. Upon the written request of each Holder given within ten (10) days after mailing of such notice by the Company, the Company shall, subject to the provisions of Section 1.5(e), use commercially reasonable efforts to cause to be registered under the Act all of the Registrable Securities that each such Holder has requested to be registered.</w:t>
      </w:r>
    </w:p>
    <w:p>
      <w:pPr>
        <w:spacing w:after="0" w:line="180" w:lineRule="exact"/>
        <w:rPr>
          <w:sz w:val="20"/>
          <w:szCs w:val="20"/>
          <w:color w:val="auto"/>
        </w:rPr>
      </w:pPr>
    </w:p>
    <w:p>
      <w:pPr>
        <w:ind w:right="60" w:firstLine="1944"/>
        <w:spacing w:after="0" w:line="259" w:lineRule="auto"/>
        <w:tabs>
          <w:tab w:leader="none" w:pos="21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Terminate Registration</w:t>
      </w:r>
      <w:r>
        <w:rPr>
          <w:rFonts w:ascii="Times New Roman" w:cs="Times New Roman" w:eastAsia="Times New Roman" w:hAnsi="Times New Roman"/>
          <w:sz w:val="18"/>
          <w:szCs w:val="18"/>
          <w:color w:val="auto"/>
        </w:rPr>
        <w:t>. The Company shall have the right to terminate or withdraw any registration initiated by it under this Section 1.3 prior to the effectiveness of such registration whether or not any Holder has elected to include securities in such registration. The expenses of such withdrawn registration shall be borne by the Company in accordance with Section 1.7 hereof.</w:t>
      </w:r>
    </w:p>
    <w:p>
      <w:pPr>
        <w:spacing w:after="0" w:line="178" w:lineRule="exact"/>
        <w:rPr>
          <w:sz w:val="20"/>
          <w:szCs w:val="20"/>
          <w:color w:val="auto"/>
        </w:rPr>
      </w:pPr>
    </w:p>
    <w:p>
      <w:pPr>
        <w:ind w:firstLine="1406"/>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Form S-3 Registration</w:t>
      </w:r>
      <w:r>
        <w:rPr>
          <w:rFonts w:ascii="Times New Roman" w:cs="Times New Roman" w:eastAsia="Times New Roman" w:hAnsi="Times New Roman"/>
          <w:sz w:val="18"/>
          <w:szCs w:val="18"/>
          <w:color w:val="auto"/>
        </w:rPr>
        <w:t>. In case the Company shall receive from any Holder of the Registrable Securities then outstanding a written request or requests that the Company effect a registration on Form S-3 and any related qualification or compliance with respect to all or a part of the Registrable Securities owned by such Holder, the Company shall:</w:t>
      </w:r>
    </w:p>
    <w:p>
      <w:pPr>
        <w:spacing w:after="0" w:line="7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 promptly give written notice of the proposed registration, and any related qualification or compliance, to all other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and</w:t>
      </w:r>
    </w:p>
    <w:p>
      <w:pPr>
        <w:spacing w:after="0" w:line="198" w:lineRule="exact"/>
        <w:rPr>
          <w:sz w:val="20"/>
          <w:szCs w:val="20"/>
          <w:color w:val="auto"/>
        </w:rPr>
      </w:pPr>
    </w:p>
    <w:p>
      <w:pPr>
        <w:ind w:right="120" w:firstLine="1944"/>
        <w:spacing w:after="0" w:line="252" w:lineRule="auto"/>
        <w:tabs>
          <w:tab w:leader="none" w:pos="219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best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twenty (20) days after receipt of such written notice from the Company, provided, however, that the Company shall not be obligated to effect any such registration, qualification or compliance, pursuant to this Section 1.4:</w:t>
      </w:r>
    </w:p>
    <w:p>
      <w:pPr>
        <w:spacing w:after="0" w:line="79" w:lineRule="exact"/>
        <w:rPr>
          <w:rFonts w:ascii="Times New Roman" w:cs="Times New Roman" w:eastAsia="Times New Roman" w:hAnsi="Times New Roman"/>
          <w:sz w:val="18"/>
          <w:szCs w:val="18"/>
          <w:color w:val="auto"/>
        </w:rPr>
      </w:pPr>
    </w:p>
    <w:p>
      <w:pPr>
        <w:ind w:left="2580" w:hanging="203"/>
        <w:spacing w:after="0"/>
        <w:tabs>
          <w:tab w:leader="none" w:pos="25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such offering by the Holders;</w:t>
      </w:r>
    </w:p>
    <w:p>
      <w:pPr>
        <w:spacing w:after="0" w:line="217" w:lineRule="exact"/>
        <w:rPr>
          <w:rFonts w:ascii="Times New Roman" w:cs="Times New Roman" w:eastAsia="Times New Roman" w:hAnsi="Times New Roman"/>
          <w:sz w:val="18"/>
          <w:szCs w:val="18"/>
          <w:color w:val="auto"/>
        </w:rPr>
      </w:pPr>
    </w:p>
    <w:p>
      <w:pPr>
        <w:jc w:val="both"/>
        <w:ind w:right="500" w:firstLine="2377"/>
        <w:spacing w:after="0" w:line="304" w:lineRule="auto"/>
        <w:tabs>
          <w:tab w:leader="none" w:pos="2638"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Holders, together with the holders of any other securities of the Company entitled to inclusion in such registration, propose to sell Registrable Securities and such other securities (if any) at an aggregate price to the public of less than US$1,000,000;</w:t>
      </w:r>
    </w:p>
    <w:p>
      <w:pPr>
        <w:spacing w:after="0" w:line="140" w:lineRule="exact"/>
        <w:rPr>
          <w:rFonts w:ascii="Times New Roman" w:cs="Times New Roman" w:eastAsia="Times New Roman" w:hAnsi="Times New Roman"/>
          <w:sz w:val="17"/>
          <w:szCs w:val="17"/>
          <w:color w:val="auto"/>
        </w:rPr>
      </w:pPr>
    </w:p>
    <w:p>
      <w:pPr>
        <w:ind w:left="2680" w:hanging="303"/>
        <w:spacing w:after="0"/>
        <w:tabs>
          <w:tab w:leader="none" w:pos="26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circumstances described in Sections 1.2(c)(iv) and 1.2(c)(vi); and</w:t>
      </w:r>
    </w:p>
    <w:p>
      <w:pPr>
        <w:spacing w:after="0" w:line="217" w:lineRule="exact"/>
        <w:rPr>
          <w:rFonts w:ascii="Times New Roman" w:cs="Times New Roman" w:eastAsia="Times New Roman" w:hAnsi="Times New Roman"/>
          <w:sz w:val="18"/>
          <w:szCs w:val="18"/>
          <w:color w:val="auto"/>
        </w:rPr>
      </w:pPr>
    </w:p>
    <w:p>
      <w:pPr>
        <w:ind w:firstLine="2377"/>
        <w:spacing w:after="0" w:line="274" w:lineRule="auto"/>
        <w:tabs>
          <w:tab w:leader="none" w:pos="267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earlier of (A) the five (5) year anniversary of the date of this Agreement or (B) six (6) months after the effective date of the Initial Public Offering.</w:t>
      </w:r>
    </w:p>
    <w:p>
      <w:pPr>
        <w:spacing w:after="0" w:line="163" w:lineRule="exact"/>
        <w:rPr>
          <w:rFonts w:ascii="Times New Roman" w:cs="Times New Roman" w:eastAsia="Times New Roman" w:hAnsi="Times New Roman"/>
          <w:sz w:val="18"/>
          <w:szCs w:val="18"/>
          <w:color w:val="auto"/>
        </w:rPr>
      </w:pPr>
    </w:p>
    <w:p>
      <w:pPr>
        <w:ind w:firstLine="1944"/>
        <w:spacing w:after="0" w:line="255" w:lineRule="auto"/>
        <w:tabs>
          <w:tab w:leader="none" w:pos="218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the Company shall file a registration statement covering the Registrable Securities and other securities so requested to be registered as soon as practicable after receipt of the request or requests of the Holders; provided, however, the provisions of Section 1.2(c)(vi) shall apply to any registration pursuant to this Section 1.4. Registrations effected pursuant to this Section 1.4 shall not be counted as requests for registration effected pursuant to Section 1.2 or Section 1.3.</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60"/>
          </w:cols>
          <w:pgMar w:left="540" w:top="267" w:right="599" w:bottom="1440" w:gutter="0" w:footer="0" w:header="0"/>
        </w:sectPr>
      </w:pPr>
    </w:p>
    <w:bookmarkStart w:id="284" w:name="page285"/>
    <w:bookmarkEnd w:id="284"/>
    <w:p>
      <w:pPr>
        <w:ind w:left="1402"/>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1.5 </w:t>
      </w:r>
      <w:r>
        <w:rPr>
          <w:rFonts w:ascii="Times New Roman" w:cs="Times New Roman" w:eastAsia="Times New Roman" w:hAnsi="Times New Roman"/>
          <w:sz w:val="17"/>
          <w:szCs w:val="17"/>
          <w:u w:val="single" w:color="auto"/>
          <w:color w:val="auto"/>
        </w:rPr>
        <w:t>Obligations of the Company</w:t>
      </w:r>
      <w:r>
        <w:rPr>
          <w:rFonts w:ascii="Times New Roman" w:cs="Times New Roman" w:eastAsia="Times New Roman" w:hAnsi="Times New Roman"/>
          <w:sz w:val="17"/>
          <w:szCs w:val="17"/>
          <w:color w:val="auto"/>
        </w:rPr>
        <w:t>. Whenever required under this Section 1 to effect the registration of any Registrable Securities, the</w:t>
      </w:r>
    </w:p>
    <w:p>
      <w:pPr>
        <w:spacing w:after="0" w:line="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92" w:lineRule="exact"/>
        <w:rPr>
          <w:sz w:val="20"/>
          <w:szCs w:val="20"/>
          <w:color w:val="auto"/>
        </w:rPr>
      </w:pPr>
    </w:p>
    <w:p>
      <w:pPr>
        <w:ind w:left="2" w:right="120" w:firstLine="1944"/>
        <w:spacing w:after="0" w:line="262" w:lineRule="auto"/>
        <w:tabs>
          <w:tab w:leader="none" w:pos="2188"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file with the SEC a registration statement with respect to such Registrable Securities and use best efforts to cause such registration statement to become effective, and, upon the request of the Holders of a majority of the Registrable Securities registered thereunder, keep such registration statement effective for a period of up to one hundred eighty (180) days or, if earlier, until the distribution contemplated in the registration statement has been completed; provided, however, that (i) such 180-day period shall be extended for a period of time equal to the period the Holder refrains from selling any securities included in such registration at the request of an underwriter of Common Stock (or other securities) of the Company; and (ii) in the case of any registration of Registrable Securities on Form S-3 which are intended to be offered on a continuous or delayed basis, such 180-day period shall be extended, if necessary, to keep the registration statement effective until all such Registrable Securities are sold, provided that Rule 415, or any successor rule under the Act, permits an offering on a continuous or delayed basis, and provided further that applicable rules under the Act governing the obligation to file a post-effective amendment permit, in lieu of filing a post-effective amendment which (I) includes any prospectus required by Section 10(a)(3) of the Act or (II) reflects facts or events representing a material or fundamental change in the information set forth in the registration statement, the incorporation by reference of information required to be included in</w:t>
      </w:r>
    </w:p>
    <w:p>
      <w:pPr>
        <w:spacing w:after="0" w:line="3" w:lineRule="exact"/>
        <w:rPr>
          <w:rFonts w:ascii="Times New Roman" w:cs="Times New Roman" w:eastAsia="Times New Roman" w:hAnsi="Times New Roman"/>
          <w:sz w:val="17"/>
          <w:szCs w:val="17"/>
          <w:color w:val="auto"/>
        </w:rPr>
      </w:pPr>
    </w:p>
    <w:p>
      <w:pPr>
        <w:ind w:left="222" w:hanging="222"/>
        <w:spacing w:after="0"/>
        <w:tabs>
          <w:tab w:leader="none" w:pos="22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to be contained in periodic reports filed pursuant to Section 13 or 15(d) of the 1934 Act in the registration statement;</w:t>
      </w:r>
    </w:p>
    <w:p>
      <w:pPr>
        <w:spacing w:after="0" w:line="197" w:lineRule="exact"/>
        <w:rPr>
          <w:rFonts w:ascii="Times New Roman" w:cs="Times New Roman" w:eastAsia="Times New Roman" w:hAnsi="Times New Roman"/>
          <w:sz w:val="18"/>
          <w:szCs w:val="18"/>
          <w:color w:val="auto"/>
        </w:rPr>
      </w:pPr>
    </w:p>
    <w:p>
      <w:pPr>
        <w:ind w:left="2" w:right="60" w:firstLine="1944"/>
        <w:spacing w:after="0" w:line="259" w:lineRule="auto"/>
        <w:tabs>
          <w:tab w:leader="none" w:pos="2198"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77" w:lineRule="exact"/>
        <w:rPr>
          <w:rFonts w:ascii="Times New Roman" w:cs="Times New Roman" w:eastAsia="Times New Roman" w:hAnsi="Times New Roman"/>
          <w:sz w:val="18"/>
          <w:szCs w:val="18"/>
          <w:color w:val="auto"/>
        </w:rPr>
      </w:pPr>
    </w:p>
    <w:p>
      <w:pPr>
        <w:ind w:left="2" w:right="120" w:firstLine="1944"/>
        <w:spacing w:after="0" w:line="259" w:lineRule="auto"/>
        <w:tabs>
          <w:tab w:leader="none" w:pos="2188"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(i) a draft copy of the registration statement, and (ii) such numbers of copies of a prospectus, including a preliminary prospectus, in conformity with the requirements of the Act, and such other documents as it may reasonably request in order to facilitate the disposition of Registrable Securities owned by it;</w:t>
      </w:r>
    </w:p>
    <w:p>
      <w:pPr>
        <w:spacing w:after="0" w:line="177" w:lineRule="exact"/>
        <w:rPr>
          <w:rFonts w:ascii="Times New Roman" w:cs="Times New Roman" w:eastAsia="Times New Roman" w:hAnsi="Times New Roman"/>
          <w:sz w:val="18"/>
          <w:szCs w:val="18"/>
          <w:color w:val="auto"/>
        </w:rPr>
      </w:pPr>
    </w:p>
    <w:p>
      <w:pPr>
        <w:ind w:left="2" w:firstLine="1944"/>
        <w:spacing w:after="0" w:line="274" w:lineRule="auto"/>
        <w:tabs>
          <w:tab w:leader="none" w:pos="2198"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best efforts to register and qualify the securities covered by such registration statement under such other securities or “</w:t>
      </w:r>
      <w:r>
        <w:rPr>
          <w:rFonts w:ascii="Times New Roman" w:cs="Times New Roman" w:eastAsia="Times New Roman" w:hAnsi="Times New Roman"/>
          <w:sz w:val="17"/>
          <w:szCs w:val="17"/>
          <w:u w:val="single" w:color="auto"/>
          <w:color w:val="auto"/>
        </w:rPr>
        <w:t>blue sky</w:t>
      </w:r>
      <w:r>
        <w:rPr>
          <w:rFonts w:ascii="Times New Roman" w:cs="Times New Roman" w:eastAsia="Times New Roman" w:hAnsi="Times New Roman"/>
          <w:sz w:val="17"/>
          <w:szCs w:val="17"/>
          <w:color w:val="auto"/>
        </w:rPr>
        <w:t>” laws of such jurisdictions as shall be reasonably requested by the Holders, provided that the Company shall not be required in connection therewith or as a condition thereto to qualify to do business, where not otherwise required, or to file a general consent to service of process in any such states or jurisdictions, unless the Company is already subject to service in such jurisdiction and except as may be required by the Act;</w:t>
      </w:r>
    </w:p>
    <w:p>
      <w:pPr>
        <w:spacing w:after="0" w:line="101" w:lineRule="exact"/>
        <w:rPr>
          <w:sz w:val="20"/>
          <w:szCs w:val="20"/>
          <w:color w:val="auto"/>
        </w:rPr>
      </w:pPr>
    </w:p>
    <w:p>
      <w:pPr>
        <w:jc w:val="center"/>
        <w:ind w:right="-10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2"/>
          </w:cols>
          <w:pgMar w:left="538" w:top="267" w:right="639" w:bottom="1440" w:gutter="0" w:footer="0" w:header="0"/>
        </w:sectPr>
      </w:pPr>
    </w:p>
    <w:bookmarkStart w:id="285" w:name="page286"/>
    <w:bookmarkEnd w:id="285"/>
    <w:p>
      <w:pPr>
        <w:ind w:left="2" w:right="20" w:firstLine="1944"/>
        <w:spacing w:after="0" w:line="262" w:lineRule="auto"/>
        <w:tabs>
          <w:tab w:leader="none" w:pos="2188"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 In connection with any offering involving an underwriting of shares of the Company’s capital stock, the Company shall not be required to include any of the Holders’ securities in such underwriting unless they accept the terms of the underwriting as agreed upon between the Company and the underwriters selected by a majority of the Holders and enter into an underwriting agreement in customary form with the underwriters.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subject to Section 1.2 above, the Company shall be required to include in the offering only that number of such securities, including Registrable Securities, that the underwriters determine in their sole discretion will not jeopardize the success of the offering (the securities so included to be apportioned pro rata among the selling stockholders according to the total amount of securities entitled to be included therein owned by each selling stockholder or in such other proportions as shall mutually be agreed to by such selling stockholders, except that no Registrable Securities of Holders shall be excluded until all Common Stock held by directors, officers and employees of the Company have been excluded), but in no event shall the amount of securities of the selling Holders included in the offering be reduced below thirty-three percent (33%) of the total amount of securities included in such offering, unless such offering is the Initial Public Offering of the Company’s securities, in which case the selling stockholders may be excluded if the underwriters make the determination described above and no other stockholder’s securities are included. For purposes of the preceding parenthetical concerning apportionment, for any selling stockholder that is a Holder of Registrable Securities and that is a partnership, limited liability company or corporation, the partners, retired partners, members, retired members and stockholders of such Holder, or the estates and family members of any such partners, retired partners, members, retired members, and any trusts for the benefit of any of the foregoing persons shall be deemed to be a single “</w:t>
      </w:r>
      <w:r>
        <w:rPr>
          <w:rFonts w:ascii="Times New Roman" w:cs="Times New Roman" w:eastAsia="Times New Roman" w:hAnsi="Times New Roman"/>
          <w:sz w:val="17"/>
          <w:szCs w:val="17"/>
          <w:u w:val="single" w:color="auto"/>
          <w:color w:val="auto"/>
        </w:rPr>
        <w:t>selling stockholder,</w:t>
      </w:r>
      <w:r>
        <w:rPr>
          <w:rFonts w:ascii="Times New Roman" w:cs="Times New Roman" w:eastAsia="Times New Roman" w:hAnsi="Times New Roman"/>
          <w:sz w:val="17"/>
          <w:szCs w:val="17"/>
          <w:color w:val="auto"/>
        </w:rPr>
        <w:t>” and any pro rata reduction with respect to such “</w:t>
      </w:r>
      <w:r>
        <w:rPr>
          <w:rFonts w:ascii="Times New Roman" w:cs="Times New Roman" w:eastAsia="Times New Roman" w:hAnsi="Times New Roman"/>
          <w:sz w:val="17"/>
          <w:szCs w:val="17"/>
          <w:u w:val="single" w:color="auto"/>
          <w:color w:val="auto"/>
        </w:rPr>
        <w:t>selling stockholder</w:t>
      </w:r>
      <w:r>
        <w:rPr>
          <w:rFonts w:ascii="Times New Roman" w:cs="Times New Roman" w:eastAsia="Times New Roman" w:hAnsi="Times New Roman"/>
          <w:sz w:val="17"/>
          <w:szCs w:val="17"/>
          <w:color w:val="auto"/>
        </w:rPr>
        <w:t>” shall be based upon the aggregate amount of Registrable Securities owned by all entities and individuals included in such “</w:t>
      </w:r>
      <w:r>
        <w:rPr>
          <w:rFonts w:ascii="Times New Roman" w:cs="Times New Roman" w:eastAsia="Times New Roman" w:hAnsi="Times New Roman"/>
          <w:sz w:val="17"/>
          <w:szCs w:val="17"/>
          <w:u w:val="single" w:color="auto"/>
          <w:color w:val="auto"/>
        </w:rPr>
        <w:t>selling stockholder,</w:t>
      </w:r>
      <w:r>
        <w:rPr>
          <w:rFonts w:ascii="Times New Roman" w:cs="Times New Roman" w:eastAsia="Times New Roman" w:hAnsi="Times New Roman"/>
          <w:sz w:val="17"/>
          <w:szCs w:val="17"/>
          <w:color w:val="auto"/>
        </w:rPr>
        <w:t>” as defined in this sentence;</w:t>
      </w:r>
    </w:p>
    <w:p>
      <w:pPr>
        <w:spacing w:after="0" w:line="183" w:lineRule="exact"/>
        <w:rPr>
          <w:rFonts w:ascii="Times New Roman" w:cs="Times New Roman" w:eastAsia="Times New Roman" w:hAnsi="Times New Roman"/>
          <w:sz w:val="17"/>
          <w:szCs w:val="17"/>
          <w:color w:val="auto"/>
        </w:rPr>
      </w:pPr>
    </w:p>
    <w:p>
      <w:pPr>
        <w:ind w:left="2" w:right="300" w:firstLine="1944"/>
        <w:spacing w:after="0" w:line="272" w:lineRule="auto"/>
        <w:tabs>
          <w:tab w:leader="none" w:pos="2169"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each Holder of Registrable Securities covered by such registration statement, at any time when a prospectus relating thereto is required to be delivered under the Act, of (i) the issuance of any stop order by the SEC in respect of such registration statement, or</w:t>
      </w:r>
    </w:p>
    <w:p>
      <w:pPr>
        <w:ind w:left="2" w:right="80" w:hanging="2"/>
        <w:spacing w:after="0" w:line="248" w:lineRule="auto"/>
        <w:tabs>
          <w:tab w:leader="none" w:pos="26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86" w:lineRule="exact"/>
        <w:rPr>
          <w:rFonts w:ascii="Times New Roman" w:cs="Times New Roman" w:eastAsia="Times New Roman" w:hAnsi="Times New Roman"/>
          <w:sz w:val="18"/>
          <w:szCs w:val="18"/>
          <w:color w:val="auto"/>
        </w:rPr>
      </w:pPr>
    </w:p>
    <w:p>
      <w:pPr>
        <w:ind w:left="2" w:right="280" w:firstLine="1944"/>
        <w:spacing w:after="0" w:line="255" w:lineRule="auto"/>
        <w:tabs>
          <w:tab w:leader="none" w:pos="219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such Registrable Securities registered pursuant hereunder to be listed on each securities exchange on which similar securities issued by the Company are then listed; provided that in the case of a registration effected pursuant to Section 1.2 above, which registration constitutes the Initial Public Offering, the Registrable Securities shall be listed on a national securities exchange or the NASDAQ Global Market system; and</w:t>
      </w:r>
    </w:p>
    <w:p>
      <w:pPr>
        <w:spacing w:after="0" w:line="180" w:lineRule="exact"/>
        <w:rPr>
          <w:rFonts w:ascii="Times New Roman" w:cs="Times New Roman" w:eastAsia="Times New Roman" w:hAnsi="Times New Roman"/>
          <w:sz w:val="18"/>
          <w:szCs w:val="18"/>
          <w:color w:val="auto"/>
        </w:rPr>
      </w:pPr>
    </w:p>
    <w:p>
      <w:pPr>
        <w:ind w:left="2" w:firstLine="1944"/>
        <w:spacing w:after="0" w:line="274" w:lineRule="auto"/>
        <w:tabs>
          <w:tab w:leader="none" w:pos="219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9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2"/>
          </w:cols>
          <w:pgMar w:left="538" w:top="267" w:right="559" w:bottom="1440" w:gutter="0" w:footer="0" w:header="0"/>
        </w:sectPr>
      </w:pPr>
    </w:p>
    <w:bookmarkStart w:id="286" w:name="page287"/>
    <w:bookmarkEnd w:id="286"/>
    <w:p>
      <w:pPr>
        <w:ind w:left="1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1.6 </w:t>
      </w:r>
      <w:r>
        <w:rPr>
          <w:rFonts w:ascii="Times New Roman" w:cs="Times New Roman" w:eastAsia="Times New Roman" w:hAnsi="Times New Roman"/>
          <w:sz w:val="18"/>
          <w:szCs w:val="18"/>
          <w:u w:val="single" w:color="auto"/>
          <w:color w:val="auto"/>
        </w:rPr>
        <w:t>Information from Holder</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60" w:firstLine="1944"/>
        <w:spacing w:after="0" w:line="255" w:lineRule="auto"/>
        <w:tabs>
          <w:tab w:leader="none" w:pos="218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80" w:lineRule="exact"/>
        <w:rPr>
          <w:rFonts w:ascii="Times New Roman" w:cs="Times New Roman" w:eastAsia="Times New Roman" w:hAnsi="Times New Roman"/>
          <w:sz w:val="18"/>
          <w:szCs w:val="18"/>
          <w:color w:val="auto"/>
        </w:rPr>
      </w:pPr>
    </w:p>
    <w:p>
      <w:pPr>
        <w:ind w:right="260" w:firstLine="1944"/>
        <w:spacing w:after="0" w:line="255" w:lineRule="auto"/>
        <w:tabs>
          <w:tab w:leader="none" w:pos="219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with respect to any registration requested pursuant to Section 1.2 if, due to the operation of subsection 1.6(a),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w:t>
      </w:r>
    </w:p>
    <w:p>
      <w:pPr>
        <w:spacing w:after="0" w:line="180" w:lineRule="exact"/>
        <w:rPr>
          <w:sz w:val="20"/>
          <w:szCs w:val="20"/>
          <w:color w:val="auto"/>
        </w:rPr>
      </w:pPr>
    </w:p>
    <w:p>
      <w:pPr>
        <w:ind w:firstLine="1406"/>
        <w:spacing w:after="0" w:line="24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All expenses other than underwriting discounts and commissions incurred in connection with registrations, filings or qualifications pursuant to Sections 1.2 and 1.3, including, without limitation, all registration, filing and qualification fees (including “</w:t>
      </w: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fees), printers’ and accounting fees, fees and disbursements of counsel for the Company (including fees and disbursements of counsel for the Company in its capacity as counsel to the selling Holders hereunder; if Company counsel does not make itself available for this purpose, the Company will pay the reasonable fees and disbursements of one counsel for the selling Holders not to exceed US$50,000) shall be borne by the Company. Notwithstanding the foregoing, the Company shall not be required to pay for any expenses of any registration proceeding begun pursuant to Sections 1.2 and 1.4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registered in the withdrawn registration), provided, however,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1.2 or 1.4.</w:t>
      </w:r>
    </w:p>
    <w:p>
      <w:pPr>
        <w:spacing w:after="0" w:line="189" w:lineRule="exact"/>
        <w:rPr>
          <w:sz w:val="20"/>
          <w:szCs w:val="20"/>
          <w:color w:val="auto"/>
        </w:rPr>
      </w:pPr>
    </w:p>
    <w:p>
      <w:pPr>
        <w:ind w:right="80" w:firstLine="1406"/>
        <w:spacing w:after="0" w:line="274"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Delay of Registration</w:t>
      </w:r>
      <w:r>
        <w:rPr>
          <w:rFonts w:ascii="Times New Roman" w:cs="Times New Roman" w:eastAsia="Times New Roman" w:hAnsi="Times New Roman"/>
          <w:sz w:val="18"/>
          <w:szCs w:val="18"/>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the event any Registrable Securities are included in a registration statement under this Section 1:</w:t>
      </w:r>
    </w:p>
    <w:p>
      <w:pPr>
        <w:spacing w:after="0" w:line="111" w:lineRule="exact"/>
        <w:rPr>
          <w:sz w:val="20"/>
          <w:szCs w:val="20"/>
          <w:color w:val="auto"/>
        </w:rPr>
      </w:pPr>
    </w:p>
    <w:p>
      <w:pPr>
        <w:ind w:right="200" w:firstLine="1944"/>
        <w:spacing w:after="0" w:line="274" w:lineRule="auto"/>
        <w:tabs>
          <w:tab w:leader="none" w:pos="2186"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law, the Company will indemnify and hold harmless each Holder, the partners or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or any state securities laws, insofar as such</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60"/>
          </w:cols>
          <w:pgMar w:left="540" w:top="267" w:right="599" w:bottom="1440" w:gutter="0" w:footer="0" w:header="0"/>
        </w:sectPr>
      </w:pPr>
    </w:p>
    <w:bookmarkStart w:id="287" w:name="page288"/>
    <w:bookmarkEnd w:id="287"/>
    <w:p>
      <w:pPr>
        <w:ind w:right="4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losses, claims, damages or liabilities (or actions in respect thereof) arise out of or are based upon any of the following statements, omissions or violations (collectively a “</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partner, officer, director, stockholder, counsel, accountant, underwriter or controlling person for any legal or other expenses reasonably incurred by them in connection with investigating or defending any such loss, claim, damage, liability or action as such expenses are incurred; provided that the Company will not be liable in any such case to the extent that any such claim, loss, damage, liability, or action arises out of or is based on any untrue statement or omission based upon written information furnished to the Company by such Holder, any of such Holder’s officers, directors, partners, legal counsel or accountants, any person controlling such Holder, such underwriter or any person who controls any such underwriter, and stated to be specifically for use therein; and provided, further that the indemnity agreement contained in this Section 1.9(a)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information furnished expressly for use in connection with such registration by any such Holder, partner, officer, director, stockholder, counsel, accountant, underwriter or controlling person.</w:t>
      </w:r>
    </w:p>
    <w:p>
      <w:pPr>
        <w:spacing w:after="0" w:line="196" w:lineRule="exact"/>
        <w:rPr>
          <w:sz w:val="20"/>
          <w:szCs w:val="20"/>
          <w:color w:val="auto"/>
        </w:rPr>
      </w:pPr>
    </w:p>
    <w:p>
      <w:pPr>
        <w:ind w:firstLine="1944"/>
        <w:spacing w:after="0" w:line="248" w:lineRule="auto"/>
        <w:tabs>
          <w:tab w:leader="none" w:pos="219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each selling Holder, on a several and not joint basis, will indemnify and hold harmless the Company, each of its directors, each of its officers who has signed the registration statement, each person, if any, who controls the Company within the meaning of the Act, any underwriter, any other stockholder selling securities in such registration statement and any controlling person of any such underwriter or other stockholder, against any losses, claims, damages or liabilities (joint or several) to which any of the foregoing persons may become subject, under the Act, the 1934 Act or any state securities laws, insofar as such losses, claims, damages or liabilities (or actions in respect thereto) arise out of or are based upon any Violation (but excluding clause (iii) of the definition thereof), in each case to the extent (and only to the extent) that such Violation occurs in reliance upon and in conformity with information furnished by such Holder expressly for use in connection with such registration; and each such Holder will reimburse any person intended to be indemnified pursuant to this Section 1.9(b) for any legal or other expenses reasonably incurred by such person in connection with investigating or defending any such loss, claim, damage, liability or action; provided, however, that the indemnity agreement contained in this Section 1.9(b) shall not apply to amounts paid in settlement of any such loss, claim, damage, liability or action if such settlement is effected without the consent of the Holder, provided that in no event shall any indemnity under this Section 1.9(b) exceed the net proceeds from the offering received by such Holder.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0"/>
          </w:cols>
          <w:pgMar w:left="540" w:top="267" w:right="579" w:bottom="1440" w:gutter="0" w:footer="0" w:header="0"/>
        </w:sectPr>
      </w:pPr>
    </w:p>
    <w:bookmarkStart w:id="288" w:name="page289"/>
    <w:bookmarkEnd w:id="288"/>
    <w:p>
      <w:pPr>
        <w:ind w:firstLine="1944"/>
        <w:spacing w:after="0" w:line="248" w:lineRule="auto"/>
        <w:tabs>
          <w:tab w:leader="none" w:pos="218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Promptly after receipt by an indemnified party under this Section 1.9 of actual knowledge of the commencement of any action (including any governmental action), such indemnified party will, if a claim in respect thereof is to be made against any indemnifying party under this Section 1.9,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1.9 to the extent of such prejudice, but the omission to so deliver written notice to the indemnifying party will not relieve it of any liability that it may have to any indemnified party otherwise than under this Section 1.9.</w:t>
      </w:r>
    </w:p>
    <w:p>
      <w:pPr>
        <w:spacing w:after="0" w:line="189" w:lineRule="exact"/>
        <w:rPr>
          <w:rFonts w:ascii="Times New Roman" w:cs="Times New Roman" w:eastAsia="Times New Roman" w:hAnsi="Times New Roman"/>
          <w:sz w:val="18"/>
          <w:szCs w:val="18"/>
          <w:color w:val="auto"/>
        </w:rPr>
      </w:pPr>
    </w:p>
    <w:p>
      <w:pPr>
        <w:ind w:firstLine="1944"/>
        <w:spacing w:after="0" w:line="264" w:lineRule="auto"/>
        <w:tabs>
          <w:tab w:leader="none" w:pos="2196"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indemnification provided for in this Section 1.9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and the relative benefits received by the indemnifying party on the one hand and of the indemnified party on the other in connection with the statements or omissions that resulted in such loss, liability, claim, damage or expense, as well as any other relevant equitable considerations, provided that no person guilty of fraud shall be entitled to contribution.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relative benefits received by the indemnifying party and the indemnified party shall be determined by reference to the net proceeds and underwriting discounts and commissions from the offering received by each such party. In no event shall any contribution under this Section 1.9(d) exceed the net proceeds from the offering received by such Holder, less any amounts paid under subsection 1.9(b).</w:t>
      </w:r>
    </w:p>
    <w:p>
      <w:pPr>
        <w:spacing w:after="0" w:line="175" w:lineRule="exact"/>
        <w:rPr>
          <w:rFonts w:ascii="Times New Roman" w:cs="Times New Roman" w:eastAsia="Times New Roman" w:hAnsi="Times New Roman"/>
          <w:sz w:val="17"/>
          <w:szCs w:val="17"/>
          <w:color w:val="auto"/>
        </w:rPr>
      </w:pPr>
    </w:p>
    <w:p>
      <w:pPr>
        <w:ind w:right="140" w:firstLine="1944"/>
        <w:spacing w:after="0" w:line="259" w:lineRule="auto"/>
        <w:tabs>
          <w:tab w:leader="none" w:pos="218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7" w:lineRule="exact"/>
        <w:rPr>
          <w:rFonts w:ascii="Times New Roman" w:cs="Times New Roman" w:eastAsia="Times New Roman" w:hAnsi="Times New Roman"/>
          <w:sz w:val="18"/>
          <w:szCs w:val="18"/>
          <w:color w:val="auto"/>
        </w:rPr>
      </w:pPr>
    </w:p>
    <w:p>
      <w:pPr>
        <w:ind w:right="540" w:firstLine="1944"/>
        <w:spacing w:after="0" w:line="274" w:lineRule="auto"/>
        <w:tabs>
          <w:tab w:leader="none" w:pos="216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and Holders under this Section 1.9 shall survive the completion of any offering of Registrable Securities in a registration statement under this Section 1, and otherwise.</w:t>
      </w:r>
    </w:p>
    <w:p>
      <w:pPr>
        <w:spacing w:after="0" w:line="163" w:lineRule="exact"/>
        <w:rPr>
          <w:sz w:val="20"/>
          <w:szCs w:val="20"/>
          <w:color w:val="auto"/>
        </w:rPr>
      </w:pPr>
    </w:p>
    <w:p>
      <w:pPr>
        <w:ind w:right="360" w:firstLine="1406"/>
        <w:spacing w:after="0" w:line="259"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Reports Under Securities Exchange Act of 1934</w:t>
      </w:r>
      <w:r>
        <w:rPr>
          <w:rFonts w:ascii="Times New Roman" w:cs="Times New Roman" w:eastAsia="Times New Roman" w:hAnsi="Times New Roman"/>
          <w:sz w:val="18"/>
          <w:szCs w:val="18"/>
          <w:color w:val="auto"/>
        </w:rPr>
        <w:t>. With a view to making available to the Holders the benefits of Rule 144 promulgated under the Act and any other rule or regulation of the SEC that may at any time permit a Holder to sell securities of the Company to the public without registration or pursuant to a registration on Form S-3, the Company agrees to:</w:t>
      </w:r>
    </w:p>
    <w:p>
      <w:pPr>
        <w:spacing w:after="0" w:line="72" w:lineRule="exact"/>
        <w:rPr>
          <w:sz w:val="20"/>
          <w:szCs w:val="20"/>
          <w:color w:val="auto"/>
        </w:rPr>
      </w:pPr>
    </w:p>
    <w:p>
      <w:pPr>
        <w:ind w:right="60" w:firstLine="1944"/>
        <w:spacing w:after="0" w:line="274" w:lineRule="auto"/>
        <w:tabs>
          <w:tab w:leader="none" w:pos="218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SEC Rule 144, at all times and after ninety (90) days following the effective date of the Initial Public Offering;</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00"/>
          </w:cols>
          <w:pgMar w:left="540" w:top="267" w:right="559" w:bottom="1440" w:gutter="0" w:footer="0" w:header="0"/>
        </w:sectPr>
      </w:pPr>
    </w:p>
    <w:bookmarkStart w:id="289" w:name="page290"/>
    <w:bookmarkEnd w:id="289"/>
    <w:p>
      <w:pPr>
        <w:ind w:left="2" w:firstLine="1944"/>
        <w:spacing w:after="0" w:line="282" w:lineRule="auto"/>
        <w:tabs>
          <w:tab w:leader="none" w:pos="2198"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take such action, including the voluntary registration of its Common Stock under Section 12 of the 1934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158" w:lineRule="exact"/>
        <w:rPr>
          <w:rFonts w:ascii="Times New Roman" w:cs="Times New Roman" w:eastAsia="Times New Roman" w:hAnsi="Times New Roman"/>
          <w:sz w:val="17"/>
          <w:szCs w:val="17"/>
          <w:color w:val="auto"/>
        </w:rPr>
      </w:pPr>
    </w:p>
    <w:p>
      <w:pPr>
        <w:ind w:left="2182" w:hanging="236"/>
        <w:spacing w:after="0"/>
        <w:tabs>
          <w:tab w:leader="none" w:pos="218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Act and the</w:t>
      </w:r>
    </w:p>
    <w:p>
      <w:pPr>
        <w:spacing w:after="0" w:line="24"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Act; and</w:t>
      </w:r>
    </w:p>
    <w:p>
      <w:pPr>
        <w:spacing w:after="0" w:line="197" w:lineRule="exact"/>
        <w:rPr>
          <w:rFonts w:ascii="Times New Roman" w:cs="Times New Roman" w:eastAsia="Times New Roman" w:hAnsi="Times New Roman"/>
          <w:sz w:val="18"/>
          <w:szCs w:val="18"/>
          <w:color w:val="auto"/>
        </w:rPr>
      </w:pPr>
    </w:p>
    <w:p>
      <w:pPr>
        <w:ind w:left="2" w:right="80" w:firstLine="1944"/>
        <w:spacing w:after="0" w:line="269" w:lineRule="auto"/>
        <w:tabs>
          <w:tab w:leader="none" w:pos="2198"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any Holder, so long as the Holder owns any Registrable Securities, forthwith upon written request (i) a written statement by the Company that it has complied with the reporting requirements of SEC Rule 144 (at any time after ninety (90) days after the effective date of the Initial Public Offering),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or pursuant to such form.</w:t>
      </w:r>
    </w:p>
    <w:p>
      <w:pPr>
        <w:spacing w:after="0" w:line="169" w:lineRule="exact"/>
        <w:rPr>
          <w:sz w:val="20"/>
          <w:szCs w:val="20"/>
          <w:color w:val="auto"/>
        </w:rPr>
      </w:pPr>
    </w:p>
    <w:p>
      <w:pPr>
        <w:ind w:left="2" w:firstLine="1406"/>
        <w:spacing w:after="0" w:line="263"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Assignment of Registration Rights</w:t>
      </w:r>
      <w:r>
        <w:rPr>
          <w:rFonts w:ascii="Times New Roman" w:cs="Times New Roman" w:eastAsia="Times New Roman" w:hAnsi="Times New Roman"/>
          <w:sz w:val="17"/>
          <w:szCs w:val="17"/>
          <w:color w:val="auto"/>
        </w:rPr>
        <w:t>. The rights to cause the Company to register Registrable Securities pursuant to this Section 1 may be assigned (but only with all related obligations) by a Holder to a transferee, member, retired member or assignee of such securities that (i) is a subsidiary, affiliate, parent, partner, limited partner, retired partner, member, retired member, or stockholder of a Holder, (ii) is a Holder’s immediate family member (spouse or child) or trust for the benefit of an individual Holder, or (iii) after such assignment or transfer, holds at least 500 shares of Registrable Securities (subject to appropriate adjustment for any stock dividends, combinations, splits, recapitalizations and the like with respect to such shares), provided: (a) the Company is, within a reasonable time after such transfer, furnished with written notice of the name and address of such transferee or assignee and the securities with respect to which such registration rights are being assigned; (b) such transferee or assignee agrees in writing to be bound by and subject to the terms and conditions of this Agreement, including without limitation the provisions of Section 1.13 below; and</w:t>
      </w:r>
    </w:p>
    <w:p>
      <w:pPr>
        <w:spacing w:after="0" w:line="2" w:lineRule="exact"/>
        <w:rPr>
          <w:sz w:val="20"/>
          <w:szCs w:val="20"/>
          <w:color w:val="auto"/>
        </w:rPr>
      </w:pPr>
    </w:p>
    <w:p>
      <w:pPr>
        <w:jc w:val="both"/>
        <w:ind w:left="2" w:right="20" w:hanging="2"/>
        <w:spacing w:after="0" w:line="267" w:lineRule="auto"/>
        <w:tabs>
          <w:tab w:leader="none" w:pos="242"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assignment shall be effective only if immediately following such transfer the further disposition of such securities by the transferee or assignee is restricted under the Act. For the purposes of determining the number of shares of Registrable Securities held by a transferee or assignee, the holdings of transferees and assignees of a partnership who are partners or retired partners of such partnership (including spouses and ancestors, lineal descendants and siblings of such partners or spouses who acquire Registrable Securities by gift, will or intestate succession) shall be aggregated together and with</w:t>
      </w:r>
    </w:p>
    <w:p>
      <w:pPr>
        <w:spacing w:after="0" w:line="10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2"/>
          </w:cols>
          <w:pgMar w:left="538" w:top="267" w:right="559" w:bottom="1440" w:gutter="0" w:footer="0" w:header="0"/>
        </w:sectPr>
      </w:pPr>
    </w:p>
    <w:bookmarkStart w:id="290" w:name="page291"/>
    <w:bookmarkEnd w:id="290"/>
    <w:p>
      <w:pPr>
        <w:ind w:left="2"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partnership, and the holdings of transferees and assignees of a limited liability company who are members or retired members of such limited liability company (including spouses and ancestors, lineal descendants and siblings of such members or spouses who acquire Registrable Securities by gift, will or intestate succession) shall be aggregated together and with the limited liability company; provided that all assignees and transferees who would not qualify individually for assignment of registration rights shall have a single attorney-in-fact for the purpose of exercising any rights, receiving notices or taking any action under this Section 1.</w:t>
      </w:r>
    </w:p>
    <w:p>
      <w:pPr>
        <w:spacing w:after="0" w:line="185" w:lineRule="exact"/>
        <w:rPr>
          <w:sz w:val="20"/>
          <w:szCs w:val="20"/>
          <w:color w:val="auto"/>
        </w:rPr>
      </w:pPr>
    </w:p>
    <w:p>
      <w:pPr>
        <w:ind w:left="2" w:firstLine="1406"/>
        <w:spacing w:after="0" w:line="25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From and after the date of this Agreement, the Company shall not, without the prior written consent of the Holders of at least 75% of the outstanding Registrable Securities, enter into any agreement with any holder or prospective holder of any securities of the Company that would allow such holder or prospective holder (a) to include such securities in any registration filed under Section 1.3 hereof,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make a demand registration.</w:t>
      </w:r>
    </w:p>
    <w:p>
      <w:pPr>
        <w:spacing w:after="0" w:line="185" w:lineRule="exact"/>
        <w:rPr>
          <w:sz w:val="20"/>
          <w:szCs w:val="20"/>
          <w:color w:val="auto"/>
        </w:rPr>
      </w:pPr>
    </w:p>
    <w:p>
      <w:pPr>
        <w:ind w:left="2" w:firstLine="1406"/>
        <w:spacing w:after="0" w:line="268" w:lineRule="auto"/>
        <w:rPr>
          <w:sz w:val="20"/>
          <w:szCs w:val="20"/>
          <w:color w:val="auto"/>
        </w:rPr>
      </w:pPr>
      <w:r>
        <w:rPr>
          <w:rFonts w:ascii="Times New Roman" w:cs="Times New Roman" w:eastAsia="Times New Roman" w:hAnsi="Times New Roman"/>
          <w:sz w:val="17"/>
          <w:szCs w:val="17"/>
          <w:color w:val="auto"/>
        </w:rPr>
        <w:t>1.13 “</w:t>
      </w:r>
      <w:r>
        <w:rPr>
          <w:rFonts w:ascii="Times New Roman" w:cs="Times New Roman" w:eastAsia="Times New Roman" w:hAnsi="Times New Roman"/>
          <w:sz w:val="17"/>
          <w:szCs w:val="17"/>
          <w:u w:val="single" w:color="auto"/>
          <w:color w:val="auto"/>
        </w:rPr>
        <w:t>Market Stand-Off” Agreement</w:t>
      </w:r>
      <w:r>
        <w:rPr>
          <w:rFonts w:ascii="Times New Roman" w:cs="Times New Roman" w:eastAsia="Times New Roman" w:hAnsi="Times New Roman"/>
          <w:sz w:val="17"/>
          <w:szCs w:val="17"/>
          <w:color w:val="auto"/>
        </w:rPr>
        <w:t>. Each Holder hereby agrees that it will not, directly or indirectly, without the prior written consent of the Company and the managing underwriter, during the period commencing on the date of the final prospectus relating to the initial public offering by the Company and ending on the date specified by the Company and the managing underwriter (such period not to exceed one hundred eighty</w:t>
      </w:r>
    </w:p>
    <w:p>
      <w:pPr>
        <w:spacing w:after="0" w:line="1" w:lineRule="exact"/>
        <w:rPr>
          <w:sz w:val="20"/>
          <w:szCs w:val="20"/>
          <w:color w:val="auto"/>
        </w:rPr>
      </w:pPr>
    </w:p>
    <w:p>
      <w:pPr>
        <w:ind w:left="2" w:hanging="2"/>
        <w:spacing w:after="0" w:line="246" w:lineRule="auto"/>
        <w:tabs>
          <w:tab w:leader="none" w:pos="42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before the effective date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provided, however, that if and to the extent that Rule 2241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would apply to a FINRA member publishing or otherwise distributing a research report, or making a public appearance, concerning the Company, if (1) during the last 17 days of such 180-day period, the Company releases earnings results or announces material news or a material event or (2) prior to the expiration of such 180-day period, the Company announces that it will release earnings results during the 15-day period following the last day of the initial 180-day period, then in each case such 180-day period will be automatically extended until the expiration of the 18-day period beginning on the date of release of the earnings results or the announcement of the material news or material event, as applicable, unless the managing underwriter waives, in writing, such extension. The foregoing provisions of this Section 1.13 shall not apply to the sale of any shares to an underwriter pursuant to an underwriting agreement, and shall only be applicable to the Holders if all officers and directors and greater than one percent (1%) stockholders of the Company enter into similar agreements. The underwriters in connection with the initial public offering by the Company are intended third party beneficiaries of this Section 1.13 and shall have the right, power and authority to enforce the provisions hereof as though they were a party hereto; further, each Holder hereby agrees to enter into written agreement with such underwriters containing terms substantially equivalent to the terms of this Section 1.13, and each Holder hereby agrees that such</w:t>
      </w:r>
    </w:p>
    <w:p>
      <w:pPr>
        <w:spacing w:after="0" w:line="12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02"/>
          </w:cols>
          <w:pgMar w:left="538" w:top="267" w:right="559" w:bottom="1440" w:gutter="0" w:footer="0" w:header="0"/>
        </w:sectPr>
      </w:pPr>
    </w:p>
    <w:bookmarkStart w:id="291" w:name="page292"/>
    <w:bookmarkEnd w:id="291"/>
    <w:p>
      <w:pPr>
        <w:ind w:left="2" w:right="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underwriters shall be entitled to require each such Holder to enter into such a written agreement.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178" w:lineRule="exact"/>
        <w:rPr>
          <w:sz w:val="20"/>
          <w:szCs w:val="20"/>
          <w:color w:val="auto"/>
        </w:rPr>
      </w:pPr>
    </w:p>
    <w:p>
      <w:pPr>
        <w:ind w:left="2" w:right="160" w:firstLine="973"/>
        <w:spacing w:after="0" w:line="274" w:lineRule="auto"/>
        <w:rPr>
          <w:sz w:val="20"/>
          <w:szCs w:val="20"/>
          <w:color w:val="auto"/>
        </w:rPr>
      </w:pPr>
      <w:r>
        <w:rPr>
          <w:rFonts w:ascii="Times New Roman" w:cs="Times New Roman" w:eastAsia="Times New Roman" w:hAnsi="Times New Roman"/>
          <w:sz w:val="18"/>
          <w:szCs w:val="18"/>
          <w:color w:val="auto"/>
        </w:rPr>
        <w:t>In order to enforce the foregoing covenant, the Company may impose stop-transfer instructions with respect to the Registrable Securities of each Holder (and the shares or securities of every other person subject to the foregoing restriction) until the end of such period.</w:t>
      </w:r>
    </w:p>
    <w:p>
      <w:pPr>
        <w:spacing w:after="0" w:line="163"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No Holder shall be entitled to exercise any right provided for in this Section 1 after five</w:t>
      </w:r>
    </w:p>
    <w:p>
      <w:pPr>
        <w:spacing w:after="0" w:line="24" w:lineRule="exact"/>
        <w:rPr>
          <w:sz w:val="20"/>
          <w:szCs w:val="20"/>
          <w:color w:val="auto"/>
        </w:rPr>
      </w:pPr>
    </w:p>
    <w:p>
      <w:pPr>
        <w:ind w:left="2" w:right="240" w:hanging="2"/>
        <w:spacing w:after="0" w:line="248" w:lineRule="auto"/>
        <w:tabs>
          <w:tab w:leader="none" w:pos="25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following the consummation of a QIPO, as defined in the Restated Certificate or, as to any Holder, such earlier time at which all Registrable Securities held by such Holder (and any affiliate of the Holder with whom such Holder must aggregate its sales under Rule 144) can be sold in any ninety (90) day period without registration in compliance with Rule 144 of the Act.</w:t>
      </w:r>
    </w:p>
    <w:p>
      <w:pPr>
        <w:spacing w:after="0" w:line="187" w:lineRule="exact"/>
        <w:rPr>
          <w:sz w:val="20"/>
          <w:szCs w:val="20"/>
          <w:color w:val="auto"/>
        </w:rPr>
      </w:pPr>
    </w:p>
    <w:p>
      <w:pPr>
        <w:ind w:left="1142" w:hanging="169"/>
        <w:spacing w:after="0"/>
        <w:tabs>
          <w:tab w:leader="none" w:pos="114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The Company shall deliver to each Investor:</w:t>
      </w:r>
    </w:p>
    <w:p>
      <w:pPr>
        <w:spacing w:after="0" w:line="111" w:lineRule="exact"/>
        <w:rPr>
          <w:sz w:val="20"/>
          <w:szCs w:val="20"/>
          <w:color w:val="auto"/>
        </w:rPr>
      </w:pPr>
    </w:p>
    <w:p>
      <w:pPr>
        <w:ind w:left="2" w:right="460" w:firstLine="1944"/>
        <w:spacing w:after="0" w:line="274" w:lineRule="auto"/>
        <w:tabs>
          <w:tab w:leader="none" w:pos="2188"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but in any event within one hundred eighty (180) days after the end of each fiscal year of the Company, audited consolidated financial statements of the Company for the preceding fiscal year, including balance sheet of the Company and statement of stockholder’s equity as of the end of such year, and a statement of cash flows of the Company and its subsidiaries for such year, such year-end financial reports to be in reasonable detail, prepared in accordance with generally accepted accounting principles (“</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and</w:t>
      </w:r>
    </w:p>
    <w:p>
      <w:pPr>
        <w:spacing w:after="0" w:line="167" w:lineRule="exact"/>
        <w:rPr>
          <w:rFonts w:ascii="Times New Roman" w:cs="Times New Roman" w:eastAsia="Times New Roman" w:hAnsi="Times New Roman"/>
          <w:sz w:val="17"/>
          <w:szCs w:val="17"/>
          <w:color w:val="auto"/>
        </w:rPr>
      </w:pPr>
    </w:p>
    <w:p>
      <w:pPr>
        <w:ind w:left="2" w:firstLine="1944"/>
        <w:spacing w:after="0" w:line="259" w:lineRule="auto"/>
        <w:tabs>
          <w:tab w:leader="none" w:pos="219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each quarter, unaudited consolidated financial statements of the Company for the preceding quarter, including a consolidated income statement, a statement of cash flows, and a balance sheet as of the end of such quarter, all in reasonable detail;</w:t>
      </w:r>
    </w:p>
    <w:p>
      <w:pPr>
        <w:spacing w:after="0" w:line="177" w:lineRule="exact"/>
        <w:rPr>
          <w:rFonts w:ascii="Times New Roman" w:cs="Times New Roman" w:eastAsia="Times New Roman" w:hAnsi="Times New Roman"/>
          <w:sz w:val="18"/>
          <w:szCs w:val="18"/>
          <w:color w:val="auto"/>
        </w:rPr>
      </w:pPr>
    </w:p>
    <w:p>
      <w:pPr>
        <w:ind w:left="2" w:right="360" w:firstLine="1944"/>
        <w:spacing w:after="0" w:line="259" w:lineRule="auto"/>
        <w:tabs>
          <w:tab w:leader="none" w:pos="218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thirty (30) days after the end of each calendar month, unaudited consolidated financial statements of the Company for the preceding calendar month, including a consolidated income statement, a statement of cash flows, and a balance sheet as of the end of such calendar month, all in reasonable detail;</w:t>
      </w:r>
    </w:p>
    <w:p>
      <w:pPr>
        <w:spacing w:after="0" w:line="177" w:lineRule="exact"/>
        <w:rPr>
          <w:rFonts w:ascii="Times New Roman" w:cs="Times New Roman" w:eastAsia="Times New Roman" w:hAnsi="Times New Roman"/>
          <w:sz w:val="18"/>
          <w:szCs w:val="18"/>
          <w:color w:val="auto"/>
        </w:rPr>
      </w:pPr>
    </w:p>
    <w:p>
      <w:pPr>
        <w:ind w:left="2" w:right="180" w:firstLine="1944"/>
        <w:spacing w:after="0" w:line="259" w:lineRule="auto"/>
        <w:tabs>
          <w:tab w:leader="none" w:pos="219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at least thirty (30) days prior to the end of each fiscal year, a budget for the next fiscal year, prepared on a monthly basis, including balance sheets, income statements and statements of cash flows for such months and, as soon as prepared, any other budgets or revised budgets prepared by the Company;</w:t>
      </w:r>
    </w:p>
    <w:p>
      <w:pPr>
        <w:spacing w:after="0" w:line="177" w:lineRule="exact"/>
        <w:rPr>
          <w:rFonts w:ascii="Times New Roman" w:cs="Times New Roman" w:eastAsia="Times New Roman" w:hAnsi="Times New Roman"/>
          <w:sz w:val="18"/>
          <w:szCs w:val="18"/>
          <w:color w:val="auto"/>
        </w:rPr>
      </w:pPr>
    </w:p>
    <w:p>
      <w:pPr>
        <w:ind w:left="2" w:right="240" w:firstLine="1944"/>
        <w:spacing w:after="0" w:line="255" w:lineRule="auto"/>
        <w:tabs>
          <w:tab w:leader="none" w:pos="218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financial statements called for in Sections 2.1(b) and 2.1(c), an instrument executed by the Chief Financial Officer or President of the Company certifying that such financials were prepared in accordance with GAAP consistently applied with prior practice for earlier periods (with the exception of footnotes and year-end adjustments that may be required by GAAP) and fairly present the financial condition of the Company and its results of operation for the period specified, subject to year-end audit adjustment; and</w:t>
      </w:r>
    </w:p>
    <w:p>
      <w:pPr>
        <w:spacing w:after="0" w:line="11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02"/>
          </w:cols>
          <w:pgMar w:left="538" w:top="267" w:right="559" w:bottom="1440" w:gutter="0" w:footer="0" w:header="0"/>
        </w:sectPr>
      </w:pPr>
    </w:p>
    <w:bookmarkStart w:id="292" w:name="page293"/>
    <w:bookmarkEnd w:id="292"/>
    <w:p>
      <w:pPr>
        <w:ind w:firstLine="1944"/>
        <w:spacing w:after="0" w:line="266" w:lineRule="auto"/>
        <w:tabs>
          <w:tab w:leader="none" w:pos="2167"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such other information relating to the financial condition, business, prospects or corporate affairs of the Company as such Investor or any assignee of such Investor may from time to time reasonably request, or promptly after transmission or occurrence (but in any event within 10 days), other reports, including any non-routine communications with stockholders or the financial community, the Company’s accountants and business consultants, governmental agencies and authorities, any reports filed by the Company or its officers, directors and representatives with any securities exchange or the SEC, to the extent not publicly available, and notice of any event which would have a significant effect on the Company’s business prospects or financial condition or on the Investors’ investments, provided, however, that the Company shall not be obligated under this Section 2.1 to provide information that it deems in good faith to be a trade secret or similar confidential information, and provided further that the Company may require the Investor to execute a confidentiality and nondisclosure agreement prior to disclosure of any such information.</w:t>
      </w:r>
    </w:p>
    <w:p>
      <w:pPr>
        <w:spacing w:after="0" w:line="175" w:lineRule="exact"/>
        <w:rPr>
          <w:sz w:val="20"/>
          <w:szCs w:val="20"/>
          <w:color w:val="auto"/>
        </w:rPr>
      </w:pPr>
    </w:p>
    <w:p>
      <w:pPr>
        <w:ind w:firstLine="1406"/>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The Company shall permit each Investor, at such Investor’s expense, to visit and inspect the Company’s properties, to examine its books of account and records and to discuss the Company’s affairs, finances and accounts with its officers, all at such reasonable times as may be reasonably requested by the Investor; provided, however, that the Company shall not be obligated pursuant to this Section 2.2 to provide access to any information that it reasonably considers to be a trade secret or similar confidential information, and provided further that the Company may require the Investor to execute a confidentiality and nondisclosure agreement prior to any such visit and inspection.</w:t>
      </w:r>
    </w:p>
    <w:p>
      <w:pPr>
        <w:spacing w:after="0" w:line="185" w:lineRule="exact"/>
        <w:rPr>
          <w:sz w:val="20"/>
          <w:szCs w:val="20"/>
          <w:color w:val="auto"/>
        </w:rPr>
      </w:pPr>
    </w:p>
    <w:p>
      <w:pPr>
        <w:ind w:right="80" w:firstLine="1406"/>
        <w:spacing w:after="0" w:line="271"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Right of First Offer</w:t>
      </w:r>
      <w:r>
        <w:rPr>
          <w:rFonts w:ascii="Times New Roman" w:cs="Times New Roman" w:eastAsia="Times New Roman" w:hAnsi="Times New Roman"/>
          <w:sz w:val="17"/>
          <w:szCs w:val="17"/>
          <w:color w:val="auto"/>
        </w:rPr>
        <w:t>. Subject to the terms and conditions specified in this Section 2.3, the Company hereby grants to each Investor a right of first offer with respect to future sales by the Company of its Shares (as hereinafter defined). An Investor shall be entitled to apportion the right of first offer hereby granted it among itself and its partners, members and affiliates in such proportions as it deems appropriate. Each time the Company proposes to offer any shares of, or securities convertible into or exchangeable or exercisable for any shares of, any class of its capital stock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the Company shall first make an offering of such Shares to each Investor in accordance with the following provisions:</w:t>
      </w:r>
    </w:p>
    <w:p>
      <w:pPr>
        <w:spacing w:after="0" w:line="62" w:lineRule="exact"/>
        <w:rPr>
          <w:sz w:val="20"/>
          <w:szCs w:val="20"/>
          <w:color w:val="auto"/>
        </w:rPr>
      </w:pPr>
    </w:p>
    <w:p>
      <w:pPr>
        <w:ind w:right="20" w:firstLine="1944"/>
        <w:spacing w:after="0" w:line="259" w:lineRule="auto"/>
        <w:tabs>
          <w:tab w:leader="none" w:pos="218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a notice in accordance with Section 3.6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to each Investor stating (i) its bona fide intention to offer such Shares, (ii) the number of such Shares to be offered, and (iii) the price and general terms upon which it proposes to offer such Shares.</w:t>
      </w:r>
    </w:p>
    <w:p>
      <w:pPr>
        <w:spacing w:after="0" w:line="177" w:lineRule="exact"/>
        <w:rPr>
          <w:rFonts w:ascii="Times New Roman" w:cs="Times New Roman" w:eastAsia="Times New Roman" w:hAnsi="Times New Roman"/>
          <w:sz w:val="18"/>
          <w:szCs w:val="18"/>
          <w:color w:val="auto"/>
        </w:rPr>
      </w:pPr>
    </w:p>
    <w:p>
      <w:pPr>
        <w:ind w:firstLine="1944"/>
        <w:spacing w:after="0" w:line="255" w:lineRule="auto"/>
        <w:tabs>
          <w:tab w:leader="none" w:pos="219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notification received by the Company, within thirty (30) calendar days after receipt of the Notice, each Investor may elect to purchase or obtain, at the price and on the terms specified in the Notice, up to that portion of such Shares that equals the proportion that the number of shares of Common Stock issued and held, or issuable upon conversion of the Preferred Stock then held, by such Investor bears to the total number of shares of Common Stock of the Company issued or held, or issuable upon conversion of the Preferred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0"/>
          </w:cols>
          <w:pgMar w:left="540" w:top="267" w:right="559" w:bottom="1440" w:gutter="0" w:footer="0" w:header="0"/>
        </w:sectPr>
      </w:pPr>
    </w:p>
    <w:bookmarkStart w:id="293" w:name="page294"/>
    <w:bookmarkEnd w:id="293"/>
    <w:p>
      <w:pPr>
        <w:ind w:right="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Stock then outstanding. The Company shall promptly, in writing, inform each Investor which purchases all the shares available to it (“</w:t>
      </w:r>
      <w:r>
        <w:rPr>
          <w:rFonts w:ascii="Times New Roman" w:cs="Times New Roman" w:eastAsia="Times New Roman" w:hAnsi="Times New Roman"/>
          <w:sz w:val="18"/>
          <w:szCs w:val="18"/>
          <w:u w:val="single" w:color="auto"/>
          <w:color w:val="auto"/>
        </w:rPr>
        <w:t>Fully-Exercising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of any other Investor’s failure to do likewise. During the ten (10) day period commencing after receipt of such information, each Fully-Exercising Investor shall be entitled to obtain that portion of the Shares for which all Investors were entitled to subscribe but which were not subscribed for by the Investors which is equal to the proportion that the number of shares of Common Stock issued and held, or issuable upon conversion of Preferred Stock then held, by such Fully-Exercising Investor bears to the total number of shares of Common Stock issued and held, or issuable upon conversion of Preferred Stock then held, by all Fully-Exercising Investors who wish to purchase some of the unsubscribed shares.</w:t>
      </w:r>
    </w:p>
    <w:p>
      <w:pPr>
        <w:spacing w:after="0" w:line="185" w:lineRule="exact"/>
        <w:rPr>
          <w:sz w:val="20"/>
          <w:szCs w:val="20"/>
          <w:color w:val="auto"/>
        </w:rPr>
      </w:pPr>
    </w:p>
    <w:p>
      <w:pPr>
        <w:ind w:right="140" w:firstLine="1944"/>
        <w:spacing w:after="0" w:line="251" w:lineRule="auto"/>
        <w:tabs>
          <w:tab w:leader="none" w:pos="218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Shares that the Investors are entitled to obtain pursuant to Section 2.3(b) are not elected to be obtained as provided in Section 2.3(b) hereof, the Company may, during the ninety (90) day period following the expiration of the period provided in Section 2.3(b) hereof, offer the remaining unsubscribed portion of such Shares to any person or persons at a price not less than, and upon terms no more favorable to the offeree than those specified in the Notice. If the Company does not enter into an agreement for the sale of the Shares within such period, or if such agreement is not consummated within ninety (90) days of the execution thereof, the right provided hereunder shall be deemed to be revived and such Shares shall not be offered unless first reoffered to the Investors in accordance herewith.</w:t>
      </w:r>
    </w:p>
    <w:p>
      <w:pPr>
        <w:spacing w:after="0" w:line="185" w:lineRule="exact"/>
        <w:rPr>
          <w:rFonts w:ascii="Times New Roman" w:cs="Times New Roman" w:eastAsia="Times New Roman" w:hAnsi="Times New Roman"/>
          <w:sz w:val="18"/>
          <w:szCs w:val="18"/>
          <w:color w:val="auto"/>
        </w:rPr>
      </w:pPr>
    </w:p>
    <w:p>
      <w:pPr>
        <w:ind w:left="2200" w:hanging="256"/>
        <w:spacing w:after="0"/>
        <w:tabs>
          <w:tab w:leader="none" w:pos="22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first offer in this Section 2.3 shall not be applicable to:</w:t>
      </w:r>
    </w:p>
    <w:p>
      <w:pPr>
        <w:spacing w:after="0" w:line="111" w:lineRule="exact"/>
        <w:rPr>
          <w:rFonts w:ascii="Times New Roman" w:cs="Times New Roman" w:eastAsia="Times New Roman" w:hAnsi="Times New Roman"/>
          <w:sz w:val="18"/>
          <w:szCs w:val="18"/>
          <w:color w:val="auto"/>
        </w:rPr>
      </w:pPr>
    </w:p>
    <w:p>
      <w:pPr>
        <w:ind w:right="60" w:firstLine="2377"/>
        <w:spacing w:after="0" w:line="252" w:lineRule="auto"/>
        <w:tabs>
          <w:tab w:leader="none" w:pos="258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securities pursuant to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without payment of any consideration by such holder for the additional shares of Common Stock or the Common Stock Equivalents (including the additional shares of Common Stock issuable upon conversion or exercise thereof);</w:t>
      </w:r>
    </w:p>
    <w:p>
      <w:pPr>
        <w:spacing w:after="0" w:line="185" w:lineRule="exact"/>
        <w:rPr>
          <w:rFonts w:ascii="Times New Roman" w:cs="Times New Roman" w:eastAsia="Times New Roman" w:hAnsi="Times New Roman"/>
          <w:sz w:val="18"/>
          <w:szCs w:val="18"/>
          <w:color w:val="auto"/>
        </w:rPr>
      </w:pPr>
    </w:p>
    <w:p>
      <w:pPr>
        <w:ind w:right="160" w:firstLine="2377"/>
        <w:spacing w:after="0" w:line="255" w:lineRule="auto"/>
        <w:tabs>
          <w:tab w:leader="none" w:pos="263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(or options or rights to purchase shares of Common Stock) after the Series F Original Issue Date (as defined in the Restated Certificate), to employees, officers or directors of, or consultants or advisors to, the Company pursuant to current stock purchase plans or current stock option plans, or pursuant to similar plans that are approved by the Requisite Holders pursuant to Article IV.B.6(p) of the Restated Certificate;</w:t>
      </w:r>
    </w:p>
    <w:p>
      <w:pPr>
        <w:spacing w:after="0" w:line="180" w:lineRule="exact"/>
        <w:rPr>
          <w:rFonts w:ascii="Times New Roman" w:cs="Times New Roman" w:eastAsia="Times New Roman" w:hAnsi="Times New Roman"/>
          <w:sz w:val="18"/>
          <w:szCs w:val="18"/>
          <w:color w:val="auto"/>
        </w:rPr>
      </w:pPr>
    </w:p>
    <w:p>
      <w:pPr>
        <w:ind w:right="520" w:firstLine="2377"/>
        <w:spacing w:after="0" w:line="274" w:lineRule="auto"/>
        <w:tabs>
          <w:tab w:leader="none" w:pos="268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Common Stock Equivalents issued upon any conversion of shares of Series F Preferred Stock, Series E Preferred Stock, Series D Preferred Stock, Series C Preferred Stock, Series B Preferred Stock or Series A-1 Preferred Stock;</w:t>
      </w:r>
    </w:p>
    <w:p>
      <w:pPr>
        <w:spacing w:after="0" w:line="163" w:lineRule="exact"/>
        <w:rPr>
          <w:rFonts w:ascii="Times New Roman" w:cs="Times New Roman" w:eastAsia="Times New Roman" w:hAnsi="Times New Roman"/>
          <w:sz w:val="18"/>
          <w:szCs w:val="18"/>
          <w:color w:val="auto"/>
        </w:rPr>
      </w:pPr>
    </w:p>
    <w:p>
      <w:pPr>
        <w:ind w:firstLine="2377"/>
        <w:spacing w:after="0" w:line="274" w:lineRule="auto"/>
        <w:tabs>
          <w:tab w:leader="none" w:pos="267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Common Stock Equivalents issued as a dividend or distribution on shares of Series F Preferred Stock, Series E Preferred Stock, Series D Preferred Stock, Series C Preferred Stock, Series B Preferred Stock or Series A-1 Preferred Stock;</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00"/>
          </w:cols>
          <w:pgMar w:left="540" w:top="267" w:right="559" w:bottom="1440" w:gutter="0" w:footer="0" w:header="0"/>
        </w:sectPr>
      </w:pPr>
    </w:p>
    <w:bookmarkStart w:id="294" w:name="page295"/>
    <w:bookmarkEnd w:id="294"/>
    <w:p>
      <w:pPr>
        <w:ind w:right="460" w:firstLine="2377"/>
        <w:spacing w:after="0" w:line="274" w:lineRule="auto"/>
        <w:tabs>
          <w:tab w:leader="none" w:pos="262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issuance of shares of Common Stock (A) in a QIPO, or (B) upon exercise of warrants or rights granted to underwriters in connection with such a QIPO; or</w:t>
      </w:r>
    </w:p>
    <w:p>
      <w:pPr>
        <w:spacing w:after="0" w:line="163" w:lineRule="exact"/>
        <w:rPr>
          <w:rFonts w:ascii="Times New Roman" w:cs="Times New Roman" w:eastAsia="Times New Roman" w:hAnsi="Times New Roman"/>
          <w:sz w:val="18"/>
          <w:szCs w:val="18"/>
          <w:color w:val="auto"/>
        </w:rPr>
      </w:pPr>
    </w:p>
    <w:p>
      <w:pPr>
        <w:ind w:left="2680" w:hanging="303"/>
        <w:spacing w:after="0"/>
        <w:tabs>
          <w:tab w:leader="none" w:pos="26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Series F Preferred Stock pursuant to the Series F Stock Purchase Agreement.</w:t>
      </w:r>
    </w:p>
    <w:p>
      <w:pPr>
        <w:spacing w:after="0" w:line="217" w:lineRule="exact"/>
        <w:rPr>
          <w:sz w:val="20"/>
          <w:szCs w:val="20"/>
          <w:color w:val="auto"/>
        </w:rPr>
      </w:pPr>
    </w:p>
    <w:p>
      <w:pPr>
        <w:ind w:right="180" w:firstLine="973"/>
        <w:spacing w:after="0" w:line="259" w:lineRule="auto"/>
        <w:rPr>
          <w:sz w:val="20"/>
          <w:szCs w:val="20"/>
          <w:color w:val="auto"/>
        </w:rPr>
      </w:pPr>
      <w:r>
        <w:rPr>
          <w:rFonts w:ascii="Times New Roman" w:cs="Times New Roman" w:eastAsia="Times New Roman" w:hAnsi="Times New Roman"/>
          <w:sz w:val="18"/>
          <w:szCs w:val="18"/>
          <w:color w:val="auto"/>
        </w:rPr>
        <w:t>In addition to the foregoing, the right of first offer in this Section 2.3 shall not be applicable with respect to any Investor and any subsequent securities issuance, if (i) at the time of such subsequent securities issuance, the Investor is not an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as that term is then defined in Rule 501(a) under the Act, and (ii) such subsequent securities issuance is otherwise being offered only to accredited investors.</w:t>
      </w:r>
    </w:p>
    <w:p>
      <w:pPr>
        <w:spacing w:after="0" w:line="17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The Board of Directors shall meet at least quarterly, unless otherwise approved by a majority of the directors then serving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Board of Directors.</w:t>
      </w:r>
    </w:p>
    <w:p>
      <w:pPr>
        <w:spacing w:after="0" w:line="198" w:lineRule="exact"/>
        <w:rPr>
          <w:sz w:val="20"/>
          <w:szCs w:val="20"/>
          <w:color w:val="auto"/>
        </w:rPr>
      </w:pPr>
    </w:p>
    <w:p>
      <w:pPr>
        <w:jc w:val="both"/>
        <w:ind w:right="80" w:firstLine="1944"/>
        <w:spacing w:after="0" w:line="259" w:lineRule="auto"/>
        <w:tabs>
          <w:tab w:leader="none" w:pos="219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Series E Preferred Directors, Series D Preferred Director and the Series C Preferred Directors (as defined in that certain Amended and Restated Voting Agreement, dated on or about the date hereof) shall have the right to serve on any committee of the Board of Directors.</w:t>
      </w:r>
    </w:p>
    <w:p>
      <w:pPr>
        <w:spacing w:after="0" w:line="177" w:lineRule="exact"/>
        <w:rPr>
          <w:rFonts w:ascii="Times New Roman" w:cs="Times New Roman" w:eastAsia="Times New Roman" w:hAnsi="Times New Roman"/>
          <w:sz w:val="18"/>
          <w:szCs w:val="18"/>
          <w:color w:val="auto"/>
        </w:rPr>
      </w:pPr>
    </w:p>
    <w:p>
      <w:pPr>
        <w:ind w:right="180" w:firstLine="1944"/>
        <w:spacing w:after="0" w:line="274" w:lineRule="auto"/>
        <w:tabs>
          <w:tab w:leader="none" w:pos="218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reimburse all reasonable out-of-pocket expenses incurred by directors of the Board of Directors for attending meetings of the Board of Directors and performing their duties as directors.</w:t>
      </w:r>
    </w:p>
    <w:p>
      <w:pPr>
        <w:spacing w:after="0" w:line="163" w:lineRule="exact"/>
        <w:rPr>
          <w:sz w:val="20"/>
          <w:szCs w:val="20"/>
          <w:color w:val="auto"/>
        </w:rPr>
      </w:pPr>
    </w:p>
    <w:p>
      <w:pPr>
        <w:ind w:right="240" w:firstLine="1406"/>
        <w:spacing w:after="0" w:line="27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Notice of Litigation</w:t>
      </w:r>
      <w:r>
        <w:rPr>
          <w:rFonts w:ascii="Times New Roman" w:cs="Times New Roman" w:eastAsia="Times New Roman" w:hAnsi="Times New Roman"/>
          <w:sz w:val="18"/>
          <w:szCs w:val="18"/>
          <w:color w:val="auto"/>
        </w:rPr>
        <w:t>. The Company shall provide notice to the Holders promptly upon the filing of any material action, suit or proceeding by or against the Company.</w:t>
      </w:r>
    </w:p>
    <w:p>
      <w:pPr>
        <w:spacing w:after="0" w:line="1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 Investment Company</w:t>
      </w:r>
      <w:r>
        <w:rPr>
          <w:rFonts w:ascii="Times New Roman" w:cs="Times New Roman" w:eastAsia="Times New Roman" w:hAnsi="Times New Roman"/>
          <w:sz w:val="18"/>
          <w:szCs w:val="18"/>
          <w:color w:val="auto"/>
        </w:rPr>
        <w:t>. The Company shall not become an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or a company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by 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 company,</w:t>
      </w:r>
      <w:r>
        <w:rPr>
          <w:rFonts w:ascii="Times New Roman" w:cs="Times New Roman" w:eastAsia="Times New Roman" w:hAnsi="Times New Roman"/>
          <w:sz w:val="17"/>
          <w:szCs w:val="17"/>
          <w:color w:val="auto"/>
        </w:rPr>
        <w:t>” within the meaning of the Investment Company Act of 1940, as amended. In the event the Company breaches the foregoing,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forthwith notify the Investors and shall take immediate corrective action to remedy such breach.</w:t>
      </w:r>
    </w:p>
    <w:p>
      <w:pPr>
        <w:spacing w:after="0" w:line="198" w:lineRule="exact"/>
        <w:rPr>
          <w:sz w:val="20"/>
          <w:szCs w:val="20"/>
          <w:color w:val="auto"/>
        </w:rPr>
      </w:pPr>
    </w:p>
    <w:p>
      <w:pPr>
        <w:ind w:right="60" w:firstLine="1406"/>
        <w:spacing w:after="0" w:line="282"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Directors’ and Officers’ Insurance</w:t>
      </w:r>
      <w:r>
        <w:rPr>
          <w:rFonts w:ascii="Times New Roman" w:cs="Times New Roman" w:eastAsia="Times New Roman" w:hAnsi="Times New Roman"/>
          <w:sz w:val="17"/>
          <w:szCs w:val="17"/>
          <w:color w:val="auto"/>
        </w:rPr>
        <w:t>. The Company shall maintain from financially sound and reputable insurers directors and officers liability insurance in an amount and on terms and conditions satisfactory to the Board of Directors, and will use its commercially reasonable efforts to cause such insurance policy to be maintained until such time as the Board of Directors determines that such insurance should be discontinued.</w:t>
      </w:r>
    </w:p>
    <w:p>
      <w:pPr>
        <w:spacing w:after="0" w:line="159" w:lineRule="exact"/>
        <w:rPr>
          <w:sz w:val="20"/>
          <w:szCs w:val="20"/>
          <w:color w:val="auto"/>
        </w:rPr>
      </w:pPr>
    </w:p>
    <w:p>
      <w:pPr>
        <w:ind w:right="80" w:firstLine="1406"/>
        <w:spacing w:after="0" w:line="259"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Proprietary Information and Inventions Agreements</w:t>
      </w:r>
      <w:r>
        <w:rPr>
          <w:rFonts w:ascii="Times New Roman" w:cs="Times New Roman" w:eastAsia="Times New Roman" w:hAnsi="Times New Roman"/>
          <w:sz w:val="18"/>
          <w:szCs w:val="18"/>
          <w:color w:val="auto"/>
        </w:rPr>
        <w:t>. The Company shall require all employees and consultants with access to confidential information to execute and deliver a Proprietary Information and Inventions Agreement in substantially the form approved by the Board of Directors or a consulting agreement containing substantially similar proprietary rights assignment and confidentiality provisions.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80"/>
          </w:cols>
          <w:pgMar w:left="540" w:top="267" w:right="579" w:bottom="1440" w:gutter="0" w:footer="0" w:header="0"/>
        </w:sectPr>
      </w:pPr>
    </w:p>
    <w:bookmarkStart w:id="295" w:name="page296"/>
    <w:bookmarkEnd w:id="295"/>
    <w:p>
      <w:pPr>
        <w:ind w:right="40" w:firstLine="1406"/>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Expenses of Counsel</w:t>
      </w:r>
      <w:r>
        <w:rPr>
          <w:rFonts w:ascii="Times New Roman" w:cs="Times New Roman" w:eastAsia="Times New Roman" w:hAnsi="Times New Roman"/>
          <w:sz w:val="18"/>
          <w:szCs w:val="18"/>
          <w:color w:val="auto"/>
        </w:rPr>
        <w:t>. In the event of a transaction which is a Deemed Liquidation Event (as defined in the Amended and Restated Voting Agreement of even date herewith among the Investors, the Company and the other parties named therein), the reasonable fees and disbursements, not to exceed $75,000, of one counsel for the Investors (“</w:t>
      </w:r>
      <w:r>
        <w:rPr>
          <w:rFonts w:ascii="Times New Roman" w:cs="Times New Roman" w:eastAsia="Times New Roman" w:hAnsi="Times New Roman"/>
          <w:sz w:val="18"/>
          <w:szCs w:val="18"/>
          <w:u w:val="single" w:color="auto"/>
          <w:color w:val="auto"/>
        </w:rPr>
        <w:t>Investor Counsel</w:t>
      </w:r>
      <w:r>
        <w:rPr>
          <w:rFonts w:ascii="Times New Roman" w:cs="Times New Roman" w:eastAsia="Times New Roman" w:hAnsi="Times New Roman"/>
          <w:sz w:val="18"/>
          <w:szCs w:val="18"/>
          <w:color w:val="auto"/>
        </w:rPr>
        <w:t>”), in their capacities as stockholders, shall be borne and paid by the Company. At the outset of considering a transaction which, if consummated would constitute a Deemed Liquidation Event,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Deemed Liquidation Event.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(or common interest)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and the Company’s counsel. In the event that one or more of the other party or parties to such transactions require the clients of Investor Counsel to enter into a confidentiality agreement and/or joint defense (or common interest)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195" w:lineRule="exact"/>
        <w:rPr>
          <w:sz w:val="20"/>
          <w:szCs w:val="20"/>
          <w:color w:val="auto"/>
        </w:rPr>
      </w:pPr>
    </w:p>
    <w:p>
      <w:pPr>
        <w:ind w:firstLine="1406"/>
        <w:spacing w:after="0" w:line="263" w:lineRule="auto"/>
        <w:rPr>
          <w:sz w:val="20"/>
          <w:szCs w:val="20"/>
          <w:color w:val="auto"/>
        </w:rPr>
      </w:pPr>
      <w:r>
        <w:rPr>
          <w:rFonts w:ascii="Times New Roman" w:cs="Times New Roman" w:eastAsia="Times New Roman" w:hAnsi="Times New Roman"/>
          <w:sz w:val="17"/>
          <w:szCs w:val="17"/>
          <w:color w:val="auto"/>
        </w:rPr>
        <w:t xml:space="preserve">2.10 </w:t>
      </w:r>
      <w:r>
        <w:rPr>
          <w:rFonts w:ascii="Times New Roman" w:cs="Times New Roman" w:eastAsia="Times New Roman" w:hAnsi="Times New Roman"/>
          <w:sz w:val="17"/>
          <w:szCs w:val="17"/>
          <w:u w:val="single" w:color="auto"/>
          <w:color w:val="auto"/>
        </w:rPr>
        <w:t>Right to Conduct Activities</w:t>
      </w:r>
      <w:r>
        <w:rPr>
          <w:rFonts w:ascii="Times New Roman" w:cs="Times New Roman" w:eastAsia="Times New Roman" w:hAnsi="Times New Roman"/>
          <w:sz w:val="17"/>
          <w:szCs w:val="17"/>
          <w:color w:val="auto"/>
        </w:rPr>
        <w:t>. The Company hereby agrees and acknowledges that ABG-ColdGen Limited, ABG II-ColdGen Limited, ABG WTT-CG Limited, Acorn Bioventures, L.P., Acorn Bioventures 2, L.P., Longitude Venture Partners IV, L.P., Decheng Capital Global Life Sciences Fund IV, L.P., RA Capital Management, L.P., Foresite Capital Fund VI, L.P., BVF Partners L.P. and Avidity Private Master Fund I LP (together with their respective Affiliates) (collectively, the “</w:t>
      </w:r>
      <w:r>
        <w:rPr>
          <w:rFonts w:ascii="Times New Roman" w:cs="Times New Roman" w:eastAsia="Times New Roman" w:hAnsi="Times New Roman"/>
          <w:sz w:val="17"/>
          <w:szCs w:val="17"/>
          <w:u w:val="single" w:color="auto"/>
          <w:color w:val="auto"/>
        </w:rPr>
        <w:t>Funds</w:t>
      </w:r>
      <w:r>
        <w:rPr>
          <w:rFonts w:ascii="Times New Roman" w:cs="Times New Roman" w:eastAsia="Times New Roman" w:hAnsi="Times New Roman"/>
          <w:sz w:val="17"/>
          <w:szCs w:val="17"/>
          <w:color w:val="auto"/>
        </w:rPr>
        <w:t>”) are professional investment organizations, and as such review business plans and related proprietary information of many enterprises, some of which may compete directly or indirectly with the Company’s business (as currently conducted or as currently proposed to be conducted). Nothing in this Agreement shall preclude or in any way restrict the Investors from evaluating or purchasing securities, including publicly traded securities, of a particular enterprise, or investing or participating in any particular enterprise whether or not such enterprise has products or services which compete with those of the Company; and the Company hereby agrees that, to the extent permitted under applicable law, the Funds (and their Affiliates) shall not be liable to the Company for any claim arising out of, or based upon, (i) the investment by the Funds (or their Affiliates) in any entity competitive with the Company, or (ii) actions taken by any partner, officer, employee or other representative of the Funds (or their Affiliates)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80"/>
          </w:cols>
          <w:pgMar w:left="540" w:top="267" w:right="579" w:bottom="1440" w:gutter="0" w:footer="0" w:header="0"/>
        </w:sectPr>
      </w:pPr>
    </w:p>
    <w:bookmarkStart w:id="296" w:name="page297"/>
    <w:bookmarkEnd w:id="296"/>
    <w:p>
      <w:pPr>
        <w:ind w:firstLine="1406"/>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2.11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Investor agrees that such Investor will keep confidential and will not disclose, divulge, or use for any purpose (other than to monitor or make decisions with respect to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Section 2.11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provided, however, that an Investor may disclose confidential information (i) to its attorneys, accountants, consultants, and other professionals to the extent reasonably necessary to obtain their services in connection with monitoring its investment in the Company; (ii) to any prospective purchaser of any Registrable Securities from such Investor, if such prospective purchaser agrees to be bound by the provisions of this Section 2.11; (iii) to any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regulation, rule, court order or subpoena, provided that such Investor promptly notifies the Company of such disclosure and takes reasonable steps to minimize the extent of any such required disclosure.</w:t>
      </w:r>
    </w:p>
    <w:p>
      <w:pPr>
        <w:spacing w:after="0" w:line="188" w:lineRule="exact"/>
        <w:rPr>
          <w:sz w:val="20"/>
          <w:szCs w:val="20"/>
          <w:color w:val="auto"/>
        </w:rPr>
      </w:pPr>
    </w:p>
    <w:p>
      <w:pPr>
        <w:ind w:right="40" w:firstLine="1406"/>
        <w:spacing w:after="0" w:line="25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Termination of Certain Covenants</w:t>
      </w:r>
      <w:r>
        <w:rPr>
          <w:rFonts w:ascii="Times New Roman" w:cs="Times New Roman" w:eastAsia="Times New Roman" w:hAnsi="Times New Roman"/>
          <w:sz w:val="18"/>
          <w:szCs w:val="18"/>
          <w:color w:val="auto"/>
        </w:rPr>
        <w:t>. The covenants set forth in this Section 2, except for Section 2.9, shall terminate and be of no further force or effect upon the consummation of a QIPO or at such time as the Company is required to file reports pursuant to Section 13 or 15(d) of the 1934 Act. This Agreement shall terminate and be of no further force or effect upon the consummation of a transaction or series of related transactions which are deemed to be a Liquidation Event of the Company pursuant to the Restated Certificate, as such Restated Certificate may be amended from time to time.</w:t>
      </w:r>
    </w:p>
    <w:p>
      <w:pPr>
        <w:spacing w:after="0" w:line="185" w:lineRule="exact"/>
        <w:rPr>
          <w:sz w:val="20"/>
          <w:szCs w:val="20"/>
          <w:color w:val="auto"/>
        </w:rPr>
      </w:pPr>
    </w:p>
    <w:p>
      <w:pPr>
        <w:ind w:left="1140" w:hanging="169"/>
        <w:spacing w:after="0"/>
        <w:tabs>
          <w:tab w:leader="none" w:pos="11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180" w:firstLine="1406"/>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Subsequent Closing Investors</w:t>
      </w:r>
      <w:r>
        <w:rPr>
          <w:rFonts w:ascii="Times New Roman" w:cs="Times New Roman" w:eastAsia="Times New Roman" w:hAnsi="Times New Roman"/>
          <w:sz w:val="18"/>
          <w:szCs w:val="18"/>
          <w:color w:val="auto"/>
        </w:rPr>
        <w:t>. Upon the sale of shares of Series F Preferred Stock to new Investors in accordance with the subsequent closing provisions of Section 1.3 of the Series F Purchase Agreement, the Company, without prior action on the part of any Investor, shall require each such Investor to execute and deliver this Agreement. Each such Investor, upon execution and delivery of this Agreement, shall be deemed an “Investor” hereunder.</w:t>
      </w:r>
    </w:p>
    <w:p>
      <w:pPr>
        <w:spacing w:after="0" w:line="180" w:lineRule="exact"/>
        <w:rPr>
          <w:sz w:val="20"/>
          <w:szCs w:val="20"/>
          <w:color w:val="auto"/>
        </w:rPr>
      </w:pPr>
    </w:p>
    <w:p>
      <w:pPr>
        <w:ind w:right="460" w:firstLine="1406"/>
        <w:spacing w:after="0" w:line="274"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Except as otherwise provided herein, the terms and conditions of this Agreement shall inure to the benefit of and be binding upon the respective successors and assigns of the parties (including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20"/>
          </w:cols>
          <w:pgMar w:left="540" w:top="267" w:right="539" w:bottom="1440" w:gutter="0" w:footer="0" w:header="0"/>
        </w:sectPr>
      </w:pPr>
    </w:p>
    <w:bookmarkStart w:id="297" w:name="page298"/>
    <w:bookmarkEnd w:id="297"/>
    <w:p>
      <w:pPr>
        <w:ind w:right="60" w:firstLine="1406"/>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3.3 </w:t>
      </w:r>
      <w:r>
        <w:rPr>
          <w:rFonts w:ascii="Times New Roman" w:cs="Times New Roman" w:eastAsia="Times New Roman" w:hAnsi="Times New Roman"/>
          <w:sz w:val="17"/>
          <w:szCs w:val="17"/>
          <w:u w:val="single" w:color="auto"/>
          <w:color w:val="auto"/>
        </w:rPr>
        <w:t>Governing Law; Venue</w:t>
      </w:r>
      <w:r>
        <w:rPr>
          <w:rFonts w:ascii="Times New Roman" w:cs="Times New Roman" w:eastAsia="Times New Roman" w:hAnsi="Times New Roman"/>
          <w:sz w:val="17"/>
          <w:szCs w:val="17"/>
          <w:color w:val="auto"/>
        </w:rPr>
        <w:t>. 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In the event of any dispute arising out of or relating to this Agreement, such dispute shall be resolved solely and exclusively by confidential binding arbitration with the Irvine, California branch of JAMS (“</w:t>
      </w:r>
      <w:r>
        <w:rPr>
          <w:rFonts w:ascii="Times New Roman" w:cs="Times New Roman" w:eastAsia="Times New Roman" w:hAnsi="Times New Roman"/>
          <w:sz w:val="17"/>
          <w:szCs w:val="17"/>
          <w:u w:val="single" w:color="auto"/>
          <w:color w:val="auto"/>
        </w:rPr>
        <w:t>JAMS</w:t>
      </w:r>
      <w:r>
        <w:rPr>
          <w:rFonts w:ascii="Times New Roman" w:cs="Times New Roman" w:eastAsia="Times New Roman" w:hAnsi="Times New Roman"/>
          <w:sz w:val="17"/>
          <w:szCs w:val="17"/>
          <w:color w:val="auto"/>
        </w:rPr>
        <w:t>”) to be governed by JAMS’ Commercial Rules of Arbitration applicable at the time of the commencement of the arbitration (the “</w:t>
      </w:r>
      <w:r>
        <w:rPr>
          <w:rFonts w:ascii="Times New Roman" w:cs="Times New Roman" w:eastAsia="Times New Roman" w:hAnsi="Times New Roman"/>
          <w:sz w:val="17"/>
          <w:szCs w:val="17"/>
          <w:u w:val="single" w:color="auto"/>
          <w:color w:val="auto"/>
        </w:rPr>
        <w:t>JAMS Rules</w:t>
      </w:r>
      <w:r>
        <w:rPr>
          <w:rFonts w:ascii="Times New Roman" w:cs="Times New Roman" w:eastAsia="Times New Roman" w:hAnsi="Times New Roman"/>
          <w:sz w:val="17"/>
          <w:szCs w:val="17"/>
          <w:color w:val="auto"/>
        </w:rPr>
        <w:t>”) and heard before on arbitrator. The parties shall attempt to mutually select the arbitrator. In the event they are unable to mutually agree, the arbitrator shall be selected by the procedures prescribed by the JAMS Rules. Each party shall bear its own attorneys’ fees, expert witness fees, and costs incurred in connection with any arbitration.</w:t>
      </w:r>
    </w:p>
    <w:p>
      <w:pPr>
        <w:spacing w:after="0" w:line="174" w:lineRule="exact"/>
        <w:rPr>
          <w:sz w:val="20"/>
          <w:szCs w:val="20"/>
          <w:color w:val="auto"/>
        </w:rPr>
      </w:pPr>
    </w:p>
    <w:p>
      <w:pPr>
        <w:ind w:right="160" w:firstLine="1406"/>
        <w:spacing w:after="0" w:line="27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w:t>
      </w:r>
    </w:p>
    <w:p>
      <w:pPr>
        <w:spacing w:after="0" w:line="163" w:lineRule="exact"/>
        <w:rPr>
          <w:sz w:val="20"/>
          <w:szCs w:val="20"/>
          <w:color w:val="auto"/>
        </w:rPr>
      </w:pPr>
    </w:p>
    <w:p>
      <w:pPr>
        <w:ind w:right="40" w:firstLine="1406"/>
        <w:spacing w:after="0" w:line="27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1944"/>
        <w:spacing w:after="0" w:line="248" w:lineRule="auto"/>
        <w:tabs>
          <w:tab w:leader="none" w:pos="218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and other communications given or made pursuant to this Agreement shall be in writing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email address or address as set forth on the signature page or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or in any case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If notice is given to the Company, a copy (which copy shall not constitute notice) shall also be sent to Latham &amp; Watkins LLP, 12670 High Bluff Drive, San Diego, CA 92130, Attention: Cheston J. Larson and Cheston.larson@lw.com, and if notice is given to the Investors, a copy (which copy shall not constitute notice) shall also be sent to Gunderson Dettmer Stough Villeneuve Franklin &amp; Hachigian, LLP, 3570 Carmel Mountain Rd, San Diego, CA 92130, Attention: Jonathan Spencer and jspencer@gunder.com.</w:t>
      </w:r>
    </w:p>
    <w:p>
      <w:pPr>
        <w:spacing w:after="0" w:line="191" w:lineRule="exact"/>
        <w:rPr>
          <w:rFonts w:ascii="Times New Roman" w:cs="Times New Roman" w:eastAsia="Times New Roman" w:hAnsi="Times New Roman"/>
          <w:sz w:val="18"/>
          <w:szCs w:val="18"/>
          <w:color w:val="auto"/>
        </w:rPr>
      </w:pPr>
    </w:p>
    <w:p>
      <w:pPr>
        <w:jc w:val="both"/>
        <w:ind w:right="80" w:firstLine="1944"/>
        <w:spacing w:after="0" w:line="259" w:lineRule="auto"/>
        <w:tabs>
          <w:tab w:leader="none" w:pos="219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Each Investor consents to the delivery of any stockholder notice pursuant to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amended or superseded from time to time, by electronic transmission pursuant to Section 232 of the DGCL (or any successor thereto) at the electronic mail address set forth below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00"/>
          </w:cols>
          <w:pgMar w:left="540" w:top="267" w:right="559" w:bottom="1440" w:gutter="0" w:footer="0" w:header="0"/>
        </w:sectPr>
      </w:pPr>
    </w:p>
    <w:bookmarkStart w:id="298" w:name="page299"/>
    <w:bookmarkEnd w:id="298"/>
    <w:p>
      <w:pPr>
        <w:ind w:left="2"/>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such Investor’s name on the Schedules hereto, as updated from time to time by notice to the Company, or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agrees to promptly notify the Company of any change in such stockholder’s electronic mail address, and that failure to do so shall not affect the foregoing.</w:t>
      </w:r>
    </w:p>
    <w:p>
      <w:pPr>
        <w:spacing w:after="0" w:line="185" w:lineRule="exact"/>
        <w:rPr>
          <w:sz w:val="20"/>
          <w:szCs w:val="20"/>
          <w:color w:val="auto"/>
        </w:rPr>
      </w:pPr>
    </w:p>
    <w:p>
      <w:pPr>
        <w:ind w:left="2" w:right="180" w:firstLine="1406"/>
        <w:spacing w:after="0" w:line="304"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41" w:lineRule="exact"/>
        <w:rPr>
          <w:sz w:val="20"/>
          <w:szCs w:val="20"/>
          <w:color w:val="auto"/>
        </w:rPr>
      </w:pPr>
    </w:p>
    <w:p>
      <w:pPr>
        <w:ind w:left="2" w:right="20" w:firstLine="1406"/>
        <w:spacing w:after="0" w:line="272"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Any term of this Agreement may be amended and the observance of any term of this Agreement may be waived (either generally or in a particular instance and either retroactively or prospectively), only with the written consent of (a) the Company and</w:t>
      </w:r>
    </w:p>
    <w:p>
      <w:pPr>
        <w:ind w:left="2" w:hanging="2"/>
        <w:spacing w:after="0" w:line="246" w:lineRule="auto"/>
        <w:tabs>
          <w:tab w:leader="none" w:pos="25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75% of the Registrable Securities then outstanding; provided, however, that no amendment or waiver which adversely affects the holders of less than a majority of the Registrable Securities in a manner different than the holders of a majority of the Registrable Securities shall be affected without the prior written consent of at a majority of the holders in interest of such Registrable Securities so affected. Notwithstanding the foregoing, in the event that (a) the provisions of Section 2.3 are waived in accordance with this Section 3.8 in respect of a future sale by the Company of its Shares, and (b) one or more Investors or its affiliates purchases securities in such offering, then any other Investor who did not consent to such waiver shall be permitted to purchase up to the same percentage (not to exceed 100%) of its pro rata share of the Shares in such offering as the percentage of the pro rata share of the Shares so purchased by the Investor purchasing the largest portion of such Investor’s pro rata share in such offering. Any amendment or waiver effected in accordance with this paragraph shall be binding upon each holder of any Registrable Securities, each future holder of all such Registrable Securities and the Company.</w:t>
      </w:r>
    </w:p>
    <w:p>
      <w:pPr>
        <w:spacing w:after="0" w:line="191" w:lineRule="exact"/>
        <w:rPr>
          <w:sz w:val="20"/>
          <w:szCs w:val="20"/>
          <w:color w:val="auto"/>
        </w:rPr>
      </w:pPr>
    </w:p>
    <w:p>
      <w:pPr>
        <w:ind w:left="2" w:right="20" w:firstLine="1406"/>
        <w:spacing w:after="0" w:line="259"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78" w:lineRule="exact"/>
        <w:rPr>
          <w:sz w:val="20"/>
          <w:szCs w:val="20"/>
          <w:color w:val="auto"/>
        </w:rPr>
      </w:pPr>
    </w:p>
    <w:p>
      <w:pPr>
        <w:ind w:left="2" w:right="40" w:firstLine="1406"/>
        <w:spacing w:after="0" w:line="259"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entities advised by the same investment adviser and affiliated entities or persons shall be aggregated together for the purpose of determining the availability of any rights under this Agreement and such affiliated entities or persons may apportion such rights among themselves in any manner they deem appropriate.</w:t>
      </w:r>
    </w:p>
    <w:p>
      <w:pPr>
        <w:spacing w:after="0" w:line="178" w:lineRule="exact"/>
        <w:rPr>
          <w:sz w:val="20"/>
          <w:szCs w:val="20"/>
          <w:color w:val="auto"/>
        </w:rPr>
      </w:pPr>
    </w:p>
    <w:p>
      <w:pPr>
        <w:ind w:left="2" w:right="40" w:firstLine="1406"/>
        <w:spacing w:after="0" w:line="255"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referred to herein constitute the entire agreement among the parties with respect to the subject matter hereof and no party shall be liable or bound to any other party in any manner by any warranties, representations or covenants except as specifically set forth herein or therein. Upon the effectiveness of this Agreement, the Prior Agreement shall be superseded and replaced in its entirety by this Agreement and shall be of no further force or effect.</w:t>
      </w:r>
    </w:p>
    <w:p>
      <w:pPr>
        <w:spacing w:after="0" w:line="18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   *   *</w:t>
      </w:r>
    </w:p>
    <w:p>
      <w:pPr>
        <w:spacing w:after="0" w:line="38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02"/>
          </w:cols>
          <w:pgMar w:left="538" w:top="267" w:right="559" w:bottom="1440" w:gutter="0" w:footer="0" w:header="0"/>
        </w:sectPr>
      </w:pPr>
    </w:p>
    <w:bookmarkStart w:id="299" w:name="page300"/>
    <w:bookmarkEnd w:id="299"/>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19"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14605</wp:posOffset>
            </wp:positionV>
            <wp:extent cx="29444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94449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Arthur Kuan</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98" w:lineRule="exact"/>
        <w:rPr>
          <w:sz w:val="20"/>
          <w:szCs w:val="20"/>
          <w:color w:val="auto"/>
        </w:rPr>
      </w:pPr>
    </w:p>
    <w:p>
      <w:pPr>
        <w:ind w:left="4860"/>
        <w:spacing w:after="0"/>
        <w:tabs>
          <w:tab w:leader="none" w:pos="56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400 Spectrum Center Drive, Suite 2040</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Irvine, CA 92618 U.S.A.</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00" w:name="page301"/>
    <w:bookmarkEnd w:id="300"/>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FORESITE CAPITAL FUND V, L.P.</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Foresite Capital Management V, LLC</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Dennis D. Ryan</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FORESITE CAPITAL OPPORTUNITY FUND V, L.P.</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Foresite Capital Opportunity Management V, LLC</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Dennis D. Ryan</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FORESITE CAPITAL FUND VI, L.P.</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Foresite Capital Management VI, LLC</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Dennis D. Ryan</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98" w:lineRule="exact"/>
        <w:rPr>
          <w:sz w:val="20"/>
          <w:szCs w:val="20"/>
          <w:color w:val="auto"/>
        </w:rPr>
      </w:pPr>
    </w:p>
    <w:p>
      <w:pPr>
        <w:ind w:left="4860"/>
        <w:spacing w:after="0"/>
        <w:tabs>
          <w:tab w:leader="none" w:pos="56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900 Larkspur Landing Circle, Suite 150</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Larkspur, CA 94939</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01" w:name="page302"/>
    <w:bookmarkEnd w:id="301"/>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TCG CROSSOVER FUND I, L.P.</w:t>
      </w:r>
    </w:p>
    <w:p>
      <w:pPr>
        <w:spacing w:after="0" w:line="2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TCG Crossover GP I, LLC</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Chen Yu</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98"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Address:</w:t>
        <w:tab/>
        <w:t>TCG Crossover Management, LLC</w:t>
      </w:r>
    </w:p>
    <w:p>
      <w:pPr>
        <w:spacing w:after="0" w:line="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705 High Street</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Attn: Craig Skaling</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02" w:name="page303"/>
    <w:bookmarkEnd w:id="30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INVESTOR:</w:t>
            </w:r>
          </w:p>
        </w:tc>
      </w:tr>
      <w:tr>
        <w:trPr>
          <w:trHeight w:val="424"/>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BIOTECHNOLOGY VALUE FUND, L.P.</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BIOTECHNOLOGY VALUE FUND II, L.P</w:t>
            </w:r>
          </w:p>
        </w:tc>
      </w:tr>
      <w:tr>
        <w:trPr>
          <w:trHeight w:val="423"/>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Marc Lampert</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/s/ Marc Lampert</w:t>
            </w:r>
          </w:p>
        </w:tc>
      </w:tr>
      <w:tr>
        <w:trPr>
          <w:trHeight w:val="20"/>
        </w:trPr>
        <w:tc>
          <w:tcPr>
            <w:tcW w:w="32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r>
      <w:tr>
        <w:trPr>
          <w:trHeight w:val="174"/>
        </w:trPr>
        <w:tc>
          <w:tcPr>
            <w:tcW w:w="48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Name: Mark Lampert</w:t>
            </w:r>
          </w:p>
        </w:tc>
        <w:tc>
          <w:tcPr>
            <w:tcW w:w="880" w:type="dxa"/>
            <w:vAlign w:val="bottom"/>
          </w:tcPr>
          <w:p>
            <w:pPr>
              <w:spacing w:after="0"/>
              <w:rPr>
                <w:sz w:val="15"/>
                <w:szCs w:val="15"/>
                <w:color w:val="auto"/>
              </w:rPr>
            </w:pPr>
          </w:p>
        </w:tc>
        <w:tc>
          <w:tcPr>
            <w:tcW w:w="5080" w:type="dxa"/>
            <w:vAlign w:val="bottom"/>
            <w:gridSpan w:val="2"/>
          </w:tcPr>
          <w:p>
            <w:pPr>
              <w:ind w:left="140"/>
              <w:spacing w:after="0" w:line="174" w:lineRule="exact"/>
              <w:rPr>
                <w:sz w:val="20"/>
                <w:szCs w:val="20"/>
                <w:color w:val="auto"/>
              </w:rPr>
            </w:pPr>
            <w:r>
              <w:rPr>
                <w:rFonts w:ascii="Times New Roman" w:cs="Times New Roman" w:eastAsia="Times New Roman" w:hAnsi="Times New Roman"/>
                <w:sz w:val="18"/>
                <w:szCs w:val="18"/>
                <w:color w:val="auto"/>
              </w:rPr>
              <w:t>Name: Mark Lampert</w:t>
            </w:r>
          </w:p>
        </w:tc>
      </w:tr>
      <w:tr>
        <w:trPr>
          <w:trHeight w:val="21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Executive Officer BVF I GP LLC, itself General</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Title: Chief Executive Officer BVF II GP LLC, itself General Partner</w:t>
            </w:r>
          </w:p>
        </w:tc>
      </w:tr>
      <w:tr>
        <w:trPr>
          <w:trHeight w:val="231"/>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Partner of Biotechnology Value Fund, L.P</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 Biotechnology Value Fund II, L.P</w:t>
            </w:r>
          </w:p>
        </w:tc>
      </w:tr>
      <w:tr>
        <w:trPr>
          <w:trHeight w:val="424"/>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BIOTECHNOLOGY VALUE TRADING FUND OS LP</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MSI BVF SPV, LLC</w:t>
            </w:r>
          </w:p>
        </w:tc>
      </w:tr>
      <w:tr>
        <w:trPr>
          <w:trHeight w:val="423"/>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Marc Lampert</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/s/ Marc Lampert</w:t>
            </w:r>
          </w:p>
        </w:tc>
      </w:tr>
      <w:tr>
        <w:trPr>
          <w:trHeight w:val="20"/>
        </w:trPr>
        <w:tc>
          <w:tcPr>
            <w:tcW w:w="32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r>
      <w:tr>
        <w:trPr>
          <w:trHeight w:val="174"/>
        </w:trPr>
        <w:tc>
          <w:tcPr>
            <w:tcW w:w="48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Name: Mark Lampert</w:t>
            </w:r>
          </w:p>
        </w:tc>
        <w:tc>
          <w:tcPr>
            <w:tcW w:w="880" w:type="dxa"/>
            <w:vAlign w:val="bottom"/>
          </w:tcPr>
          <w:p>
            <w:pPr>
              <w:spacing w:after="0"/>
              <w:rPr>
                <w:sz w:val="15"/>
                <w:szCs w:val="15"/>
                <w:color w:val="auto"/>
              </w:rPr>
            </w:pPr>
          </w:p>
        </w:tc>
        <w:tc>
          <w:tcPr>
            <w:tcW w:w="5080" w:type="dxa"/>
            <w:vAlign w:val="bottom"/>
            <w:gridSpan w:val="2"/>
          </w:tcPr>
          <w:p>
            <w:pPr>
              <w:ind w:left="140"/>
              <w:spacing w:after="0" w:line="174" w:lineRule="exact"/>
              <w:rPr>
                <w:sz w:val="20"/>
                <w:szCs w:val="20"/>
                <w:color w:val="auto"/>
              </w:rPr>
            </w:pPr>
            <w:r>
              <w:rPr>
                <w:rFonts w:ascii="Times New Roman" w:cs="Times New Roman" w:eastAsia="Times New Roman" w:hAnsi="Times New Roman"/>
                <w:sz w:val="18"/>
                <w:szCs w:val="18"/>
                <w:color w:val="auto"/>
              </w:rPr>
              <w:t>Name: Mark Lampert</w:t>
            </w:r>
          </w:p>
        </w:tc>
      </w:tr>
      <w:tr>
        <w:trPr>
          <w:trHeight w:val="21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President BVF Inc., General Partner of BVF Partners L.P.,</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Title: President BVF Inc., General Partner of BVF Partners L.P., itself</w:t>
            </w:r>
          </w:p>
        </w:tc>
      </w:tr>
      <w:tr>
        <w:trPr>
          <w:trHeight w:val="21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itself sole member of BVF Partners OS Ltd., itself GP of</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attorney-in-fact for MSI BVF SPV, LLC</w:t>
            </w:r>
          </w:p>
        </w:tc>
      </w:tr>
      <w:tr>
        <w:trPr>
          <w:trHeight w:val="231"/>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Biotechnology Value Trading Fund OS LP</w:t>
            </w:r>
          </w:p>
        </w:tc>
        <w:tc>
          <w:tcPr>
            <w:tcW w:w="4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05"/>
        </w:trPr>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Address:</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 BVF Partners LP</w:t>
            </w:r>
          </w:p>
        </w:tc>
      </w:tr>
      <w:tr>
        <w:trPr>
          <w:trHeight w:val="225"/>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44 Montgomery Street 40th FL</w:t>
            </w:r>
          </w:p>
        </w:tc>
      </w:tr>
      <w:tr>
        <w:trPr>
          <w:trHeight w:val="231"/>
        </w:trPr>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San Francisco CA 94104</w:t>
            </w:r>
          </w:p>
        </w:tc>
      </w:tr>
    </w:tbl>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800"/>
          </w:cols>
          <w:pgMar w:left="540" w:top="267" w:right="559" w:bottom="1440" w:gutter="0" w:footer="0" w:header="0"/>
        </w:sectPr>
      </w:pPr>
    </w:p>
    <w:bookmarkStart w:id="303" w:name="page304"/>
    <w:bookmarkEnd w:id="303"/>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AVIDITY PRIVATE MASTER FUND I LP</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Avidity Capital Partners Fund (GP) LP, its general partner</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Avidity Capital Partners (GP) LLC, its general partner</w:t>
      </w:r>
    </w:p>
    <w:p>
      <w:pPr>
        <w:spacing w:after="0" w:line="21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Gregory</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98" w:lineRule="exact"/>
        <w:rPr>
          <w:sz w:val="20"/>
          <w:szCs w:val="20"/>
          <w:color w:val="auto"/>
        </w:rPr>
      </w:pPr>
    </w:p>
    <w:p>
      <w:pPr>
        <w:ind w:left="4860"/>
        <w:spacing w:after="0"/>
        <w:tabs>
          <w:tab w:leader="none" w:pos="56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c/o Avidity Partners Management LP</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2828 N. Harwood St., Suite 1220</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Dallas, TX 75201</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Attn: Michael Gregory; Andrew So</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04" w:name="page305"/>
    <w:bookmarkEnd w:id="304"/>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JANUS HENDERSON HORIZON FUND—BIOTECHNOLOGY</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FUND</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Janus Henderson Investors US LLC, its investment advisor</w:t>
      </w:r>
    </w:p>
    <w:p>
      <w:pPr>
        <w:spacing w:after="0" w:line="198"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Andrew Acker</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JANUS HENDERSON BIOTECH INNOVATION MASTER FUND</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Janus Henderson Investors US LLC, its investment advisor</w:t>
      </w:r>
    </w:p>
    <w:p>
      <w:pPr>
        <w:spacing w:after="0" w:line="198"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Andrew Acker</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98" w:lineRule="exact"/>
        <w:rPr>
          <w:sz w:val="20"/>
          <w:szCs w:val="20"/>
          <w:color w:val="auto"/>
        </w:rPr>
      </w:pPr>
    </w:p>
    <w:p>
      <w:pPr>
        <w:ind w:left="4860"/>
        <w:spacing w:after="0"/>
        <w:tabs>
          <w:tab w:leader="none" w:pos="56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151 Detroit Street</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Denver, Colorado 80206 USA</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Stradley Ronon Stevens &amp; Young, LLP</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2005 Market Street, Suite 2600</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Attn: Kevin Kundra</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kkundra@stradley.com</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740"/>
          </w:cols>
          <w:pgMar w:left="540" w:top="267" w:right="619" w:bottom="1440" w:gutter="0" w:footer="0" w:header="0"/>
        </w:sectPr>
      </w:pPr>
    </w:p>
    <w:bookmarkStart w:id="305" w:name="page306"/>
    <w:bookmarkEnd w:id="305"/>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ABG-COLDGEN LIMITED</w:t>
      </w:r>
    </w:p>
    <w:p>
      <w:pPr>
        <w:spacing w:after="0" w:line="21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YEH Shan-ju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YEH Shan-ju</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ABG II-COLDGEN LIMITED</w:t>
      </w:r>
    </w:p>
    <w:p>
      <w:pPr>
        <w:spacing w:after="0" w:line="21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YEH Shan-ju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YEH Shan-ju</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ABG WTT-CG LIMITED</w:t>
      </w:r>
    </w:p>
    <w:p>
      <w:pPr>
        <w:spacing w:after="0" w:line="21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YEH Shan-ju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YEH Shan-ju</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98" w:lineRule="exact"/>
        <w:rPr>
          <w:sz w:val="20"/>
          <w:szCs w:val="20"/>
          <w:color w:val="auto"/>
        </w:rPr>
      </w:pPr>
    </w:p>
    <w:p>
      <w:pPr>
        <w:ind w:left="4860"/>
        <w:spacing w:after="0"/>
        <w:tabs>
          <w:tab w:leader="none" w:pos="56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c/o Unit 3002-3004</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30/F, Gloucester Tower</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Landmark</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15 Queen’s Road</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1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06" w:name="page307"/>
    <w:bookmarkEnd w:id="306"/>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ABUNDANT SUPPLY GLOBAL LIMITED</w:t>
      </w:r>
    </w:p>
    <w:p>
      <w:pPr>
        <w:spacing w:after="0" w:line="21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Hong Fang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Hong Fang Song</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98" w:lineRule="exact"/>
        <w:rPr>
          <w:sz w:val="20"/>
          <w:szCs w:val="20"/>
          <w:color w:val="auto"/>
        </w:rPr>
      </w:pPr>
    </w:p>
    <w:p>
      <w:pPr>
        <w:ind w:left="4860"/>
        <w:spacing w:after="0"/>
        <w:tabs>
          <w:tab w:leader="none" w:pos="56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Vistra Corporate Services Centre</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Wickhams Cay II, Road Town</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Tortola, VG1110</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07" w:name="page308"/>
    <w:bookmarkEnd w:id="307"/>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ACORN BIOVENTURES, L.P.</w:t>
      </w:r>
    </w:p>
    <w:p>
      <w:pPr>
        <w:spacing w:after="0" w:line="2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ACORN CAPITAL ADVISORS GP, LLC</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5520"/>
        <w:spacing w:after="0"/>
        <w:tabs>
          <w:tab w:leader="none" w:pos="5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Anders Hove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1553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Anders Hove</w:t>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Member</w:t>
      </w:r>
    </w:p>
    <w:p>
      <w:pPr>
        <w:spacing w:after="0" w:line="1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ACORN BIOVENTURES 2, L.P.</w:t>
      </w:r>
    </w:p>
    <w:p>
      <w:pPr>
        <w:spacing w:after="0" w:line="2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ACORN CAPITAL ADVISORS 2 GP, LLC</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5520"/>
        <w:spacing w:after="0"/>
        <w:tabs>
          <w:tab w:leader="none" w:pos="5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Anders Hove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1553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pacing w:after="0" w:line="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Anders Hove</w:t>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Member</w:t>
      </w:r>
    </w:p>
    <w:p>
      <w:pPr>
        <w:spacing w:after="0" w:line="1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Acorn Bioventures, L.P.</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Acorn Bioventures 2, L.P.</w:t>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C/O Acorn Capital Advisors, LLC</w:t>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Att: Anders Hove</w:t>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420 Lexington Avenue, Suite 2626</w:t>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New York, NY 10170</w:t>
      </w:r>
    </w:p>
    <w:p>
      <w:pPr>
        <w:spacing w:after="0" w:line="21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Schulte Roth &amp; Zabel LLP</w:t>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919 Third Avenue</w:t>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Attn: Michael Flynn</w:t>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E-Mail: michael.flynn@srz.com</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08" w:name="page309"/>
    <w:bookmarkEnd w:id="308"/>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AMPLEWOOD RESOURCES LIMITED</w:t>
      </w:r>
    </w:p>
    <w:p>
      <w:pPr>
        <w:spacing w:after="0" w:line="21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 Chan</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98" w:lineRule="exact"/>
        <w:rPr>
          <w:sz w:val="20"/>
          <w:szCs w:val="20"/>
          <w:color w:val="auto"/>
        </w:rPr>
      </w:pPr>
    </w:p>
    <w:p>
      <w:pPr>
        <w:ind w:left="4860"/>
        <w:spacing w:after="0"/>
        <w:tabs>
          <w:tab w:leader="none" w:pos="56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Unit 21E, 21F, United Centre, 95 Queensway,</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Admiralty, Hong Kong, CHN</w:t>
      </w:r>
    </w:p>
    <w:p>
      <w:pPr>
        <w:spacing w:after="0" w:line="1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09" w:name="page310"/>
    <w:bookmarkEnd w:id="309"/>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ANGELES DIRECT EQUITY FUND 1, LP</w:t>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its General Partner,</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Angeles Direct Equity Fund 1, LP</w:t>
      </w:r>
    </w:p>
    <w:p>
      <w:pPr>
        <w:spacing w:after="0" w:line="198"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Rosen</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98" w:lineRule="exact"/>
        <w:rPr>
          <w:sz w:val="20"/>
          <w:szCs w:val="20"/>
          <w:color w:val="auto"/>
        </w:rPr>
      </w:pPr>
    </w:p>
    <w:p>
      <w:pPr>
        <w:ind w:left="4860"/>
        <w:spacing w:after="0"/>
        <w:tabs>
          <w:tab w:leader="none" w:pos="56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429 Santa Monica Blvd, Suite 650</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10" w:name="page311"/>
    <w:bookmarkEnd w:id="310"/>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CHARMING JADE LIMITED</w:t>
      </w:r>
    </w:p>
    <w:p>
      <w:pPr>
        <w:spacing w:after="0" w:line="21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Hong Fang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Hong Fang Song</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98" w:lineRule="exact"/>
        <w:rPr>
          <w:sz w:val="20"/>
          <w:szCs w:val="20"/>
          <w:color w:val="auto"/>
        </w:rPr>
      </w:pPr>
    </w:p>
    <w:p>
      <w:pPr>
        <w:ind w:left="4860"/>
        <w:spacing w:after="0"/>
        <w:tabs>
          <w:tab w:leader="none" w:pos="56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Ritter House</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Wickhams Cay II</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PO Box 3170</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Road Town, Tortola VG1110</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11" w:name="page312"/>
    <w:bookmarkEnd w:id="311"/>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DECHENG CAPITAL GLOBAL LIFE SCIENCES FUND IV, L.P.</w:t>
      </w:r>
    </w:p>
    <w:p>
      <w:pPr>
        <w:spacing w:after="0" w:line="2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its General Partner,</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Decheng Capital Management IV (Cayman), LLC</w:t>
      </w:r>
    </w:p>
    <w:p>
      <w:pPr>
        <w:spacing w:after="0" w:line="198" w:lineRule="exact"/>
        <w:rPr>
          <w:sz w:val="20"/>
          <w:szCs w:val="20"/>
          <w:color w:val="auto"/>
        </w:rPr>
      </w:pPr>
    </w:p>
    <w:p>
      <w:pPr>
        <w:jc w:val="right"/>
        <w:ind w:right="3600"/>
        <w:spacing w:after="0"/>
        <w:tabs>
          <w:tab w:leader="none" w:pos="4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Xiangmin Cui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jc w:val="right"/>
        <w:ind w:right="3600"/>
        <w:spacing w:after="0"/>
        <w:rPr>
          <w:sz w:val="20"/>
          <w:szCs w:val="20"/>
          <w:color w:val="auto"/>
        </w:rPr>
      </w:pPr>
      <w:r>
        <w:rPr>
          <w:rFonts w:ascii="Times New Roman" w:cs="Times New Roman" w:eastAsia="Times New Roman" w:hAnsi="Times New Roman"/>
          <w:sz w:val="18"/>
          <w:szCs w:val="18"/>
          <w:color w:val="auto"/>
        </w:rPr>
        <w:t>Xiangmin Cui</w:t>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198" w:lineRule="exact"/>
        <w:rPr>
          <w:sz w:val="20"/>
          <w:szCs w:val="20"/>
          <w:color w:val="auto"/>
        </w:rPr>
      </w:pPr>
    </w:p>
    <w:p>
      <w:pPr>
        <w:ind w:left="4860"/>
        <w:spacing w:after="0"/>
        <w:tabs>
          <w:tab w:leader="none" w:pos="56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3000 Sand Hill Road</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Building 2, Suite 110</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660"/>
          </w:cols>
          <w:pgMar w:left="540" w:top="267" w:right="699" w:bottom="1440" w:gutter="0" w:footer="0" w:header="0"/>
        </w:sectPr>
      </w:pPr>
    </w:p>
    <w:bookmarkStart w:id="312" w:name="page313"/>
    <w:bookmarkEnd w:id="312"/>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ERCT LIFE SCIENCES LLC</w:t>
      </w:r>
    </w:p>
    <w:p>
      <w:pPr>
        <w:spacing w:after="0" w:line="21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Sibel 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14605</wp:posOffset>
            </wp:positionV>
            <wp:extent cx="308800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Sibel Oz</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198" w:lineRule="exact"/>
        <w:rPr>
          <w:sz w:val="20"/>
          <w:szCs w:val="20"/>
          <w:color w:val="auto"/>
        </w:rPr>
      </w:pPr>
    </w:p>
    <w:p>
      <w:pPr>
        <w:ind w:left="4860"/>
        <w:spacing w:after="0"/>
        <w:tabs>
          <w:tab w:leader="none" w:pos="56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PO Box 1200, Montclair NJ, 07042</w:t>
      </w:r>
    </w:p>
    <w:p>
      <w:pPr>
        <w:spacing w:after="0" w:line="1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13" w:name="page314"/>
    <w:bookmarkEnd w:id="3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Amended and Restated Investors’ Rights Agreement as of the date first above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GAVIN RESOURCES LIMITED</w:t>
      </w:r>
    </w:p>
    <w:p>
      <w:pPr>
        <w:spacing w:after="0" w:line="21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LEE King Yue</w:t>
            </w:r>
          </w:p>
        </w:tc>
      </w:tr>
      <w:tr>
        <w:trPr>
          <w:trHeight w:val="187"/>
        </w:trPr>
        <w:tc>
          <w:tcPr>
            <w:tcW w:w="5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00"/>
              <w:spacing w:after="0" w:line="187" w:lineRule="exact"/>
              <w:rPr>
                <w:sz w:val="20"/>
                <w:szCs w:val="20"/>
                <w:color w:val="auto"/>
              </w:rPr>
            </w:pPr>
            <w:r>
              <w:rPr>
                <w:rFonts w:ascii="Times New Roman" w:cs="Times New Roman" w:eastAsia="Times New Roman" w:hAnsi="Times New Roman"/>
                <w:sz w:val="18"/>
                <w:szCs w:val="18"/>
                <w:color w:val="auto"/>
              </w:rPr>
              <w:t>LEE King Yue</w:t>
            </w:r>
          </w:p>
        </w:tc>
      </w:tr>
      <w:tr>
        <w:trPr>
          <w:trHeight w:val="2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3" w:lineRule="exact"/>
        <w:rPr>
          <w:sz w:val="20"/>
          <w:szCs w:val="20"/>
          <w:color w:val="auto"/>
        </w:rPr>
      </w:pPr>
    </w:p>
    <w:p>
      <w:pPr>
        <w:ind w:left="4740"/>
        <w:spacing w:after="0"/>
        <w:tabs>
          <w:tab w:leader="none" w:pos="56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72/76F., Two International Finance Centre,</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8 Finance Street, Central, Hong Kong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800"/>
          </w:cols>
          <w:pgMar w:left="540" w:top="266" w:right="559" w:bottom="1440" w:gutter="0" w:footer="0" w:header="0"/>
        </w:sectPr>
      </w:pPr>
    </w:p>
    <w:bookmarkStart w:id="314" w:name="page315"/>
    <w:bookmarkEnd w:id="3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KISSEI PHARMACEUTICAL CO., LTD.</w:t>
      </w:r>
    </w:p>
    <w:p>
      <w:pPr>
        <w:spacing w:after="0" w:line="21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Mutsuo Kanzawa</w:t>
            </w:r>
          </w:p>
        </w:tc>
      </w:tr>
      <w:tr>
        <w:trPr>
          <w:trHeight w:val="187"/>
        </w:trPr>
        <w:tc>
          <w:tcPr>
            <w:tcW w:w="5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00"/>
              <w:spacing w:after="0" w:line="187" w:lineRule="exact"/>
              <w:rPr>
                <w:sz w:val="20"/>
                <w:szCs w:val="20"/>
                <w:color w:val="auto"/>
              </w:rPr>
            </w:pPr>
            <w:r>
              <w:rPr>
                <w:rFonts w:ascii="Times New Roman" w:cs="Times New Roman" w:eastAsia="Times New Roman" w:hAnsi="Times New Roman"/>
                <w:sz w:val="18"/>
                <w:szCs w:val="18"/>
                <w:color w:val="auto"/>
              </w:rPr>
              <w:t>Mutsuo Kanzawa</w:t>
            </w:r>
          </w:p>
        </w:tc>
      </w:tr>
      <w:tr>
        <w:trPr>
          <w:trHeight w:val="2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3" w:lineRule="exact"/>
        <w:rPr>
          <w:sz w:val="20"/>
          <w:szCs w:val="20"/>
          <w:color w:val="auto"/>
        </w:rPr>
      </w:pPr>
    </w:p>
    <w:p>
      <w:pPr>
        <w:ind w:left="4740"/>
        <w:spacing w:after="0"/>
        <w:tabs>
          <w:tab w:leader="none" w:pos="56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19-48 Yoshino, Matsumoto-City</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Nagano-Prefecture, 399-8710, Japan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800"/>
          </w:cols>
          <w:pgMar w:left="540" w:top="267" w:right="559" w:bottom="1440" w:gutter="0" w:footer="0" w:header="0"/>
        </w:sectPr>
      </w:pPr>
    </w:p>
    <w:bookmarkStart w:id="315" w:name="page316"/>
    <w:bookmarkEnd w:id="31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LEPU HOLDINGS LIMITED</w:t>
      </w:r>
    </w:p>
    <w:p>
      <w:pPr>
        <w:spacing w:after="0" w:line="21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Xia Zhang</w:t>
            </w:r>
          </w:p>
        </w:tc>
      </w:tr>
      <w:tr>
        <w:trPr>
          <w:trHeight w:val="187"/>
        </w:trPr>
        <w:tc>
          <w:tcPr>
            <w:tcW w:w="5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00"/>
              <w:spacing w:after="0" w:line="187" w:lineRule="exact"/>
              <w:rPr>
                <w:sz w:val="20"/>
                <w:szCs w:val="20"/>
                <w:color w:val="auto"/>
              </w:rPr>
            </w:pPr>
            <w:r>
              <w:rPr>
                <w:rFonts w:ascii="Times New Roman" w:cs="Times New Roman" w:eastAsia="Times New Roman" w:hAnsi="Times New Roman"/>
                <w:sz w:val="18"/>
                <w:szCs w:val="18"/>
                <w:color w:val="auto"/>
              </w:rPr>
              <w:t>Xia Zhang</w:t>
            </w:r>
          </w:p>
        </w:tc>
      </w:tr>
      <w:tr>
        <w:trPr>
          <w:trHeight w:val="2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and Authorized Signatory</w:t>
            </w:r>
          </w:p>
        </w:tc>
      </w:tr>
    </w:tbl>
    <w:p>
      <w:pPr>
        <w:spacing w:after="0" w:line="193" w:lineRule="exact"/>
        <w:rPr>
          <w:sz w:val="20"/>
          <w:szCs w:val="20"/>
          <w:color w:val="auto"/>
        </w:rPr>
      </w:pPr>
    </w:p>
    <w:p>
      <w:pPr>
        <w:ind w:left="4740"/>
        <w:spacing w:after="0"/>
        <w:tabs>
          <w:tab w:leader="none" w:pos="56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Vistra Corporate Services Centre</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Wickhams Cay II, Road Town</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Tortola, VG1110, British Virgin Islands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800"/>
          </w:cols>
          <w:pgMar w:left="540" w:top="267" w:right="559" w:bottom="1440" w:gutter="0" w:footer="0" w:header="0"/>
        </w:sectPr>
      </w:pPr>
    </w:p>
    <w:bookmarkStart w:id="316" w:name="page317"/>
    <w:bookmarkEnd w:id="31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LONGITUDE VENTURE PARTNERS IV, L.P.</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Longitude Capital Partners IV, LLC, its General Partner</w:t>
      </w:r>
    </w:p>
    <w:p>
      <w:pPr>
        <w:spacing w:after="0" w:line="21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Patrick Enright</w:t>
            </w:r>
          </w:p>
        </w:tc>
      </w:tr>
      <w:tr>
        <w:trPr>
          <w:trHeight w:val="187"/>
        </w:trPr>
        <w:tc>
          <w:tcPr>
            <w:tcW w:w="5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00"/>
              <w:spacing w:after="0" w:line="187" w:lineRule="exact"/>
              <w:rPr>
                <w:sz w:val="20"/>
                <w:szCs w:val="20"/>
                <w:color w:val="auto"/>
              </w:rPr>
            </w:pPr>
            <w:r>
              <w:rPr>
                <w:rFonts w:ascii="Times New Roman" w:cs="Times New Roman" w:eastAsia="Times New Roman" w:hAnsi="Times New Roman"/>
                <w:sz w:val="18"/>
                <w:szCs w:val="18"/>
                <w:color w:val="auto"/>
              </w:rPr>
              <w:t>Patrick Enright</w:t>
            </w:r>
          </w:p>
        </w:tc>
      </w:tr>
      <w:tr>
        <w:trPr>
          <w:trHeight w:val="2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LONGITUDE PRIME FUND, L.P.</w:t>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Longitude Prime Partners, LLC, its General Partner</w:t>
      </w:r>
    </w:p>
    <w:p>
      <w:pPr>
        <w:spacing w:after="0" w:line="21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Patrick Enright</w:t>
            </w:r>
          </w:p>
        </w:tc>
      </w:tr>
      <w:tr>
        <w:trPr>
          <w:trHeight w:val="187"/>
        </w:trPr>
        <w:tc>
          <w:tcPr>
            <w:tcW w:w="5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00"/>
              <w:spacing w:after="0" w:line="187" w:lineRule="exact"/>
              <w:rPr>
                <w:sz w:val="20"/>
                <w:szCs w:val="20"/>
                <w:color w:val="auto"/>
              </w:rPr>
            </w:pPr>
            <w:r>
              <w:rPr>
                <w:rFonts w:ascii="Times New Roman" w:cs="Times New Roman" w:eastAsia="Times New Roman" w:hAnsi="Times New Roman"/>
                <w:sz w:val="18"/>
                <w:szCs w:val="18"/>
                <w:color w:val="auto"/>
              </w:rPr>
              <w:t>Patrick Enright</w:t>
            </w:r>
          </w:p>
        </w:tc>
      </w:tr>
      <w:tr>
        <w:trPr>
          <w:trHeight w:val="2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3" w:lineRule="exact"/>
        <w:rPr>
          <w:sz w:val="20"/>
          <w:szCs w:val="20"/>
          <w:color w:val="auto"/>
        </w:rPr>
      </w:pPr>
    </w:p>
    <w:p>
      <w:pPr>
        <w:ind w:left="4740"/>
        <w:spacing w:after="0"/>
        <w:tabs>
          <w:tab w:leader="none" w:pos="56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2740 Sand Hill Rd, Second Floor</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With a copy (which shall not itself constitute</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notice) to:</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Cooley LLP</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Attention: Mark P. Tanoury</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Email: tanourymp@cooley.com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800"/>
          </w:cols>
          <w:pgMar w:left="540" w:top="267" w:right="559" w:bottom="1440" w:gutter="0" w:footer="0" w:header="0"/>
        </w:sectPr>
      </w:pPr>
    </w:p>
    <w:bookmarkStart w:id="317" w:name="page318"/>
    <w:bookmarkEnd w:id="31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Amended and Restated Investors’ Rights Agreement as of the date first above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MALIN LIFE SCIENCES HOLDINGS LIMITED</w:t>
      </w:r>
    </w:p>
    <w:p>
      <w:pPr>
        <w:spacing w:after="0" w:line="21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Darragh Lyons</w:t>
            </w:r>
          </w:p>
        </w:tc>
      </w:tr>
      <w:tr>
        <w:trPr>
          <w:trHeight w:val="187"/>
        </w:trPr>
        <w:tc>
          <w:tcPr>
            <w:tcW w:w="5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00"/>
              <w:spacing w:after="0" w:line="187" w:lineRule="exact"/>
              <w:rPr>
                <w:sz w:val="20"/>
                <w:szCs w:val="20"/>
                <w:color w:val="auto"/>
              </w:rPr>
            </w:pPr>
            <w:r>
              <w:rPr>
                <w:rFonts w:ascii="Times New Roman" w:cs="Times New Roman" w:eastAsia="Times New Roman" w:hAnsi="Times New Roman"/>
                <w:sz w:val="18"/>
                <w:szCs w:val="18"/>
                <w:color w:val="auto"/>
              </w:rPr>
              <w:t>Darragh Lyons</w:t>
            </w:r>
          </w:p>
        </w:tc>
      </w:tr>
      <w:tr>
        <w:trPr>
          <w:trHeight w:val="2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3" w:lineRule="exact"/>
        <w:rPr>
          <w:sz w:val="20"/>
          <w:szCs w:val="20"/>
          <w:color w:val="auto"/>
        </w:rPr>
      </w:pPr>
    </w:p>
    <w:p>
      <w:pPr>
        <w:ind w:left="4740"/>
        <w:spacing w:after="0"/>
        <w:tabs>
          <w:tab w:leader="none" w:pos="56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The Lennox Building</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50 Richmond Street South</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Dublin 2</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D02 FK02</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Ireland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800"/>
          </w:cols>
          <w:pgMar w:left="540" w:top="267" w:right="559" w:bottom="1440" w:gutter="0" w:footer="0" w:header="0"/>
        </w:sectPr>
      </w:pPr>
    </w:p>
    <w:bookmarkStart w:id="318" w:name="page319"/>
    <w:bookmarkEnd w:id="318"/>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PALM DRIVE CAPITAL II LP</w:t>
      </w: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Palm Drive Capital II GP LLC,</w:t>
      </w:r>
    </w:p>
    <w:p>
      <w:pPr>
        <w:spacing w:after="0" w:line="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Palm Drive Capital LLC,</w:t>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Manager</w:t>
      </w:r>
    </w:p>
    <w:p>
      <w:pPr>
        <w:spacing w:after="0" w:line="198"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Seamon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Seamon Chan</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98"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Address:</w:t>
        <w:tab/>
        <w:t>54 W. 21st St Suite 807</w:t>
      </w:r>
    </w:p>
    <w:p>
      <w:pPr>
        <w:spacing w:after="0" w:line="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19" w:name="page320"/>
    <w:bookmarkEnd w:id="319"/>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PEI MIN LIU</w:t>
      </w:r>
    </w:p>
    <w:p>
      <w:pPr>
        <w:spacing w:after="0" w:line="219"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Pei Min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Pei Min Liu</w:t>
      </w:r>
    </w:p>
    <w:p>
      <w:pPr>
        <w:spacing w:after="0" w:line="198"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7"/>
          <w:szCs w:val="17"/>
          <w:color w:val="auto"/>
        </w:rPr>
        <w:t>Address:</w:t>
      </w:r>
      <w:r>
        <w:rPr>
          <w:sz w:val="20"/>
          <w:szCs w:val="20"/>
          <w:color w:val="auto"/>
        </w:rPr>
        <w:tab/>
      </w:r>
      <w:r>
        <w:rPr>
          <w:rFonts w:ascii="Times New Roman" w:cs="Times New Roman" w:eastAsia="Times New Roman" w:hAnsi="Times New Roman"/>
          <w:sz w:val="17"/>
          <w:szCs w:val="17"/>
          <w:color w:val="auto"/>
        </w:rPr>
        <w:t>30C Tower 3, Larvotto, 8 Apleichau Praya Road, Apleichau, Hong</w:t>
      </w:r>
    </w:p>
    <w:p>
      <w:pPr>
        <w:spacing w:after="0" w:line="3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Kong</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20" w:name="page321"/>
    <w:bookmarkEnd w:id="320"/>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PERSEVERANCE CG LLC</w:t>
      </w:r>
    </w:p>
    <w:p>
      <w:pPr>
        <w:spacing w:after="0" w:line="219"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 Shyong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Ben Shyong</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Partner</w:t>
      </w:r>
    </w:p>
    <w:p>
      <w:pPr>
        <w:spacing w:after="0" w:line="19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PERSEVERANCE CAPITAL MANAGEMENT LLC</w:t>
      </w:r>
    </w:p>
    <w:p>
      <w:pPr>
        <w:spacing w:after="0" w:line="219"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 Shyong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Ben Shyong</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Partner</w:t>
      </w:r>
    </w:p>
    <w:p>
      <w:pPr>
        <w:spacing w:after="0" w:line="198"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Address:</w:t>
        <w:tab/>
        <w:t>600 N Broad St Ste 5 #2122</w:t>
      </w:r>
    </w:p>
    <w:p>
      <w:pPr>
        <w:spacing w:after="0" w:line="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Middletown, DE 19709</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21" w:name="page322"/>
    <w:bookmarkEnd w:id="321"/>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PERSEVERANCE FUND LLC—SERIES 1</w:t>
      </w:r>
    </w:p>
    <w:p>
      <w:pPr>
        <w:spacing w:after="0" w:line="2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By: Perseverance Investments LLC, its</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Managing member</w:t>
      </w:r>
    </w:p>
    <w:p>
      <w:pPr>
        <w:spacing w:after="0" w:line="198"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 Shyong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Ben Shyong</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98"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Address:</w:t>
        <w:tab/>
        <w:t>Perseverance Fund LLC—Series 1</w:t>
      </w:r>
    </w:p>
    <w:p>
      <w:pPr>
        <w:spacing w:after="0" w:line="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c/o Canopy</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8 The Green, Suite #13283</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Dover, Delaware, 19901, United States</w:t>
      </w:r>
    </w:p>
    <w:p>
      <w:pPr>
        <w:spacing w:after="0" w:line="1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6" w:right="819" w:bottom="1440" w:gutter="0" w:footer="0" w:header="0"/>
        </w:sectPr>
      </w:pPr>
    </w:p>
    <w:bookmarkStart w:id="322" w:name="page323"/>
    <w:bookmarkEnd w:id="322"/>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RA CAPITAL HEALTHCARE FUND, L.P.</w:t>
      </w: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RA Capital Healthcare Fund GP, LLC</w:t>
      </w:r>
    </w:p>
    <w:p>
      <w:pPr>
        <w:spacing w:after="0" w:line="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Rajeev Shah</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Manager</w:t>
      </w:r>
    </w:p>
    <w:p>
      <w:pPr>
        <w:spacing w:after="0" w:line="19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RA CAPITAL NEXUS FUND III, L.P.</w:t>
      </w: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RA Capital Nexus Fund III GP, LLC</w:t>
      </w:r>
    </w:p>
    <w:p>
      <w:pPr>
        <w:spacing w:after="0" w:line="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Rajeev Shah</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Manager</w:t>
      </w:r>
    </w:p>
    <w:p>
      <w:pPr>
        <w:spacing w:after="0" w:line="198"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Address:</w:t>
        <w:tab/>
        <w:t>RA Capital Management, L.P.</w:t>
      </w:r>
    </w:p>
    <w:p>
      <w:pPr>
        <w:spacing w:after="0" w:line="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200 Berkeley Street</w:t>
      </w:r>
    </w:p>
    <w:p>
      <w:pPr>
        <w:ind w:left="5740"/>
        <w:spacing w:after="0" w:line="185" w:lineRule="auto"/>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57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23" w:name="page324"/>
    <w:bookmarkEnd w:id="323"/>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SHINY CROWN LIMITED</w:t>
      </w:r>
    </w:p>
    <w:p>
      <w:pPr>
        <w:spacing w:after="0" w:line="219"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5"/>
          <w:szCs w:val="15"/>
          <w:color w:val="auto"/>
        </w:rPr>
        <w:t>/s/ Yulan 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Yulan Su</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Director</w:t>
      </w:r>
    </w:p>
    <w:p>
      <w:pPr>
        <w:spacing w:after="0" w:line="198" w:lineRule="exact"/>
        <w:rPr>
          <w:sz w:val="20"/>
          <w:szCs w:val="20"/>
          <w:color w:val="auto"/>
        </w:rPr>
      </w:pPr>
    </w:p>
    <w:p>
      <w:pPr>
        <w:jc w:val="center"/>
        <w:ind w:left="4580"/>
        <w:spacing w:after="0"/>
        <w:tabs>
          <w:tab w:leader="none" w:pos="240" w:val="left"/>
        </w:tabs>
        <w:rPr>
          <w:sz w:val="20"/>
          <w:szCs w:val="20"/>
          <w:color w:val="auto"/>
        </w:rPr>
      </w:pPr>
      <w:r>
        <w:rPr>
          <w:rFonts w:ascii="Times New Roman" w:cs="Times New Roman" w:eastAsia="Times New Roman" w:hAnsi="Times New Roman"/>
          <w:sz w:val="18"/>
          <w:szCs w:val="18"/>
          <w:color w:val="auto"/>
        </w:rPr>
        <w:t>Address:</w:t>
        <w:tab/>
        <w:t>6F, No. 11, Lane 186, Ren-Ai Road, Yong-He</w:t>
      </w:r>
    </w:p>
    <w:p>
      <w:pPr>
        <w:spacing w:after="0" w:line="24" w:lineRule="exact"/>
        <w:rPr>
          <w:sz w:val="20"/>
          <w:szCs w:val="20"/>
          <w:color w:val="auto"/>
        </w:rPr>
      </w:pPr>
    </w:p>
    <w:p>
      <w:pPr>
        <w:jc w:val="center"/>
        <w:ind w:left="2940"/>
        <w:spacing w:after="0"/>
        <w:rPr>
          <w:sz w:val="20"/>
          <w:szCs w:val="20"/>
          <w:color w:val="auto"/>
        </w:rPr>
      </w:pPr>
      <w:r>
        <w:rPr>
          <w:rFonts w:ascii="Times New Roman" w:cs="Times New Roman" w:eastAsia="Times New Roman" w:hAnsi="Times New Roman"/>
          <w:sz w:val="18"/>
          <w:szCs w:val="18"/>
          <w:color w:val="auto"/>
        </w:rPr>
        <w:t>District, New Taipei City, TWN</w:t>
      </w:r>
    </w:p>
    <w:p>
      <w:pPr>
        <w:spacing w:after="0" w:line="1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24" w:name="page325"/>
    <w:bookmarkEnd w:id="324"/>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SLEEPING BEAUTY LIMITED</w:t>
      </w:r>
    </w:p>
    <w:p>
      <w:pPr>
        <w:spacing w:after="0" w:line="219"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Cheng Ying 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Cheng Ying Pin</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Sole Director</w:t>
      </w:r>
    </w:p>
    <w:p>
      <w:pPr>
        <w:spacing w:after="0" w:line="198"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Address:</w:t>
        <w:tab/>
        <w:t>10F, No.337, Fuxing North Road</w:t>
      </w:r>
    </w:p>
    <w:p>
      <w:pPr>
        <w:spacing w:after="0" w:line="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Song-shan Dist. Taipei City, Taiwan 10544</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25" w:name="page326"/>
    <w:bookmarkEnd w:id="325"/>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Amended and Restated Investors’ Rights Agreement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SONG HONG FANG</w:t>
      </w:r>
    </w:p>
    <w:p>
      <w:pPr>
        <w:spacing w:after="0" w:line="2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Song Hong Fang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19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Address:</w:t>
      </w:r>
    </w:p>
    <w:p>
      <w:pPr>
        <w:spacing w:after="0" w:line="1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40"/>
          </w:cols>
          <w:pgMar w:left="540" w:top="267" w:right="819" w:bottom="1440" w:gutter="0" w:footer="0" w:header="0"/>
        </w:sectPr>
      </w:pPr>
    </w:p>
    <w:bookmarkStart w:id="326" w:name="page327"/>
    <w:bookmarkEnd w:id="3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SUPER STRATEGY LIMITED</w:t>
      </w:r>
    </w:p>
    <w:p>
      <w:pPr>
        <w:spacing w:after="0" w:line="219"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KaiYuan Kuo</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120"/>
              <w:spacing w:after="0" w:line="187" w:lineRule="exact"/>
              <w:rPr>
                <w:sz w:val="20"/>
                <w:szCs w:val="20"/>
                <w:color w:val="auto"/>
              </w:rPr>
            </w:pPr>
            <w:r>
              <w:rPr>
                <w:rFonts w:ascii="Times New Roman" w:cs="Times New Roman" w:eastAsia="Times New Roman" w:hAnsi="Times New Roman"/>
                <w:sz w:val="18"/>
                <w:szCs w:val="18"/>
                <w:color w:val="auto"/>
              </w:rPr>
              <w:t>KaiYuan Kuo</w:t>
            </w:r>
          </w:p>
        </w:tc>
      </w:t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CEO</w:t>
            </w:r>
          </w:p>
        </w:tc>
      </w:tr>
    </w:tbl>
    <w:p>
      <w:pPr>
        <w:spacing w:after="0" w:line="193" w:lineRule="exact"/>
        <w:rPr>
          <w:sz w:val="20"/>
          <w:szCs w:val="20"/>
          <w:color w:val="auto"/>
        </w:rPr>
      </w:pPr>
    </w:p>
    <w:p>
      <w:pPr>
        <w:ind w:left="4960"/>
        <w:spacing w:after="0"/>
        <w:tabs>
          <w:tab w:leader="none" w:pos="584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16F, 325 JenAi Road, Section 4</w:t>
      </w:r>
    </w:p>
    <w:p>
      <w:pPr>
        <w:spacing w:after="0" w:line="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Taipei, TWN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800"/>
          </w:cols>
          <w:pgMar w:left="540" w:top="267" w:right="559" w:bottom="1440" w:gutter="0" w:footer="0" w:header="0"/>
        </w:sectPr>
      </w:pPr>
    </w:p>
    <w:bookmarkStart w:id="327" w:name="page328"/>
    <w:bookmarkEnd w:id="3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parties have executed this Amended and Restated Investors’ Rights Agreement as of the date first above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WELLCHAMP FUND LIMITED</w:t>
      </w:r>
    </w:p>
    <w:p>
      <w:pPr>
        <w:spacing w:after="0" w:line="219"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Ronald Yan Tak Angus Cheng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120"/>
              <w:spacing w:after="0" w:line="187" w:lineRule="exact"/>
              <w:rPr>
                <w:sz w:val="20"/>
                <w:szCs w:val="20"/>
                <w:color w:val="auto"/>
              </w:rPr>
            </w:pPr>
            <w:r>
              <w:rPr>
                <w:rFonts w:ascii="Times New Roman" w:cs="Times New Roman" w:eastAsia="Times New Roman" w:hAnsi="Times New Roman"/>
                <w:sz w:val="18"/>
                <w:szCs w:val="18"/>
                <w:color w:val="auto"/>
              </w:rPr>
              <w:t>Ronald Yan Tak Angus Cheng</w:t>
            </w:r>
          </w:p>
        </w:tc>
      </w:t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3" w:lineRule="exact"/>
        <w:rPr>
          <w:sz w:val="20"/>
          <w:szCs w:val="20"/>
          <w:color w:val="auto"/>
        </w:rPr>
      </w:pPr>
    </w:p>
    <w:p>
      <w:pPr>
        <w:ind w:left="4960"/>
        <w:spacing w:after="0"/>
        <w:tabs>
          <w:tab w:leader="none" w:pos="584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804A, 81F, Worldwide House,</w:t>
      </w:r>
    </w:p>
    <w:p>
      <w:pPr>
        <w:spacing w:after="0" w:line="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 Des Voeux Road Central, Hong Kong</w:t>
      </w:r>
    </w:p>
    <w:p>
      <w:pPr>
        <w:spacing w:after="0" w:line="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Central Hong Kong, CHN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CG O</w:t>
      </w:r>
      <w:r>
        <w:rPr>
          <w:rFonts w:ascii="Times New Roman" w:cs="Times New Roman" w:eastAsia="Times New Roman" w:hAnsi="Times New Roman"/>
          <w:sz w:val="14"/>
          <w:szCs w:val="14"/>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800"/>
          </w:cols>
          <w:pgMar w:left="540" w:top="267" w:right="559" w:bottom="1440" w:gutter="0" w:footer="0" w:header="0"/>
        </w:sectPr>
      </w:pPr>
    </w:p>
    <w:bookmarkStart w:id="328" w:name="page329"/>
    <w:bookmarkEnd w:id="328"/>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A</w:t>
      </w:r>
    </w:p>
    <w:p>
      <w:pPr>
        <w:spacing w:after="0" w:line="11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SCHEDULE OF INVESTORS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Names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Chi-Yu Ni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ABG II-ColdGen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ABG WTT-CG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ABG-ColdGen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Abundant Supply Global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Acorn Bioventures 2,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Acorn Bioventures,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Aestas Capital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AIG DECO Fund II,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Wah Hin Yeung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Amazing Key Investments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Estate &amp; Trust, LC FBO Philip Bendler’s IRA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Amplewood Resources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Angeles Direct Equity Fund 1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Avidity Private Master Fund I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Prosper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Value Fund,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Value Fund II,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Value Trading Fund OS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MSI BVF SPV,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Charming Jade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Chih-Wei Wu</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Danhua Capital II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Decheng Capital Global Life Sciences Fund IV,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ERCT Life Sciences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Focus Way Developments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Focus Way Developments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Foresite Capital Fund V,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Foresite Capital Opportunity Fund V,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Foresite Capital Fund VI,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Fortress International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Freedom Enterprises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Resources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Hank CK Wuh</w:t>
      </w:r>
    </w:p>
    <w:p>
      <w:pPr>
        <w:spacing w:after="0" w:line="1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9919"/>
          </w:cols>
          <w:pgMar w:left="540" w:top="265" w:right="1440"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Investor Names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Ipolis Commercial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Janus Henderson Horizon Fund—Biotechnology Fund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Janus Henderson Biotech Innovation Master Fund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Kung Yi Koo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Cho-Chun Lee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Jordon Wang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Keen Browne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Kissei Pharmaceutical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Kuang-Hui Pai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Lepu Holdings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Longitude Venture Partners IV,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Longitude Prime Fund,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Longling Capital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Lyra Capital Management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Malin Life Sciences Holdings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Eagle Holdings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Palm Drive Capital II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Panlabs Biologics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Pei Min Liu</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Pentepebble Holdings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Perseverance Capital Management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Perseverance CG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Perseverance Fund LLC—Series 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PRSS Capital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Nexus Fund III,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Delamarter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Shiny Crown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 Fai So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Sleeping Beauty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Song Hong Fang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 Investments Holding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 Strategy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 Marie Lee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TCG Crossover Fund I,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Systems International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 Capital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Wellchamp Fund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Zen Spirit Limited</w:t>
      </w:r>
    </w:p>
    <w:p>
      <w:pPr>
        <w:spacing w:after="0" w:line="13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9919"/>
          </w:cols>
          <w:pgMar w:left="540" w:top="266" w:right="1440"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219" w:lineRule="exact"/>
        <w:rPr>
          <w:sz w:val="20"/>
          <w:szCs w:val="20"/>
          <w:color w:val="auto"/>
        </w:rPr>
      </w:pPr>
    </w:p>
    <w:p>
      <w:pPr>
        <w:ind w:left="600" w:hanging="170"/>
        <w:spacing w:after="0"/>
        <w:tabs>
          <w:tab w:leader="none" w:pos="6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124" w:lineRule="exact"/>
        <w:rPr>
          <w:rFonts w:ascii="Times New Roman" w:cs="Times New Roman" w:eastAsia="Times New Roman" w:hAnsi="Times New Roman"/>
          <w:sz w:val="18"/>
          <w:szCs w:val="18"/>
          <w:color w:val="auto"/>
        </w:rPr>
      </w:pPr>
    </w:p>
    <w:p>
      <w:pPr>
        <w:ind w:left="1380" w:hanging="309"/>
        <w:spacing w:after="0"/>
        <w:tabs>
          <w:tab w:leader="none" w:pos="138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24" w:lineRule="exact"/>
        <w:rPr>
          <w:rFonts w:ascii="Times New Roman" w:cs="Times New Roman" w:eastAsia="Times New Roman" w:hAnsi="Times New Roman"/>
          <w:sz w:val="18"/>
          <w:szCs w:val="18"/>
          <w:color w:val="auto"/>
        </w:rPr>
      </w:pPr>
    </w:p>
    <w:p>
      <w:pPr>
        <w:ind w:left="1380" w:hanging="309"/>
        <w:spacing w:after="0"/>
        <w:tabs>
          <w:tab w:leader="none" w:pos="138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24" w:lineRule="exact"/>
        <w:rPr>
          <w:rFonts w:ascii="Times New Roman" w:cs="Times New Roman" w:eastAsia="Times New Roman" w:hAnsi="Times New Roman"/>
          <w:sz w:val="18"/>
          <w:szCs w:val="18"/>
          <w:color w:val="auto"/>
        </w:rPr>
      </w:pPr>
    </w:p>
    <w:p>
      <w:pPr>
        <w:ind w:left="1380" w:hanging="309"/>
        <w:spacing w:after="0"/>
        <w:tabs>
          <w:tab w:leader="none" w:pos="138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and Restricted Stock.</w:t>
      </w:r>
    </w:p>
    <w:p>
      <w:pPr>
        <w:spacing w:after="0" w:line="217" w:lineRule="exact"/>
        <w:rPr>
          <w:sz w:val="20"/>
          <w:szCs w:val="20"/>
          <w:color w:val="auto"/>
        </w:rPr>
      </w:pPr>
    </w:p>
    <w:p>
      <w:pPr>
        <w:ind w:left="600" w:hanging="170"/>
        <w:spacing w:after="0"/>
        <w:tabs>
          <w:tab w:leader="none" w:pos="6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111"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 means the Board or any of its Committees as will be administering the Plan, in accordance with Section 4 of the Plan.</w:t>
      </w:r>
    </w:p>
    <w:p>
      <w:pPr>
        <w:spacing w:after="0" w:line="228" w:lineRule="exact"/>
        <w:rPr>
          <w:rFonts w:ascii="Times New Roman" w:cs="Times New Roman" w:eastAsia="Times New Roman" w:hAnsi="Times New Roman"/>
          <w:sz w:val="17"/>
          <w:szCs w:val="17"/>
          <w:color w:val="auto"/>
        </w:rPr>
      </w:pPr>
    </w:p>
    <w:p>
      <w:pPr>
        <w:ind w:right="100" w:firstLine="971"/>
        <w:spacing w:after="0" w:line="259" w:lineRule="auto"/>
        <w:tabs>
          <w:tab w:leader="none" w:pos="1223"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7"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of Options or Restricted Stock under the Plan.</w:t>
      </w:r>
    </w:p>
    <w:p>
      <w:pPr>
        <w:spacing w:after="0" w:line="217" w:lineRule="exact"/>
        <w:rPr>
          <w:rFonts w:ascii="Times New Roman" w:cs="Times New Roman" w:eastAsia="Times New Roman" w:hAnsi="Times New Roman"/>
          <w:sz w:val="18"/>
          <w:szCs w:val="18"/>
          <w:color w:val="auto"/>
        </w:rPr>
      </w:pPr>
    </w:p>
    <w:p>
      <w:pPr>
        <w:ind w:right="60" w:firstLine="971"/>
        <w:spacing w:after="0" w:line="274" w:lineRule="auto"/>
        <w:tabs>
          <w:tab w:leader="none" w:pos="1223"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3"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17" w:lineRule="exact"/>
        <w:rPr>
          <w:rFonts w:ascii="Times New Roman" w:cs="Times New Roman" w:eastAsia="Times New Roman" w:hAnsi="Times New Roman"/>
          <w:sz w:val="18"/>
          <w:szCs w:val="18"/>
          <w:color w:val="auto"/>
        </w:rPr>
      </w:pPr>
    </w:p>
    <w:p>
      <w:pPr>
        <w:ind w:left="1200" w:hanging="229"/>
        <w:spacing w:after="0"/>
        <w:tabs>
          <w:tab w:leader="none" w:pos="12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111" w:lineRule="exact"/>
        <w:rPr>
          <w:rFonts w:ascii="Times New Roman" w:cs="Times New Roman" w:eastAsia="Times New Roman" w:hAnsi="Times New Roman"/>
          <w:sz w:val="18"/>
          <w:szCs w:val="18"/>
          <w:color w:val="auto"/>
        </w:rPr>
      </w:pPr>
    </w:p>
    <w:p>
      <w:pPr>
        <w:jc w:val="both"/>
        <w:ind w:right="40" w:firstLine="1404"/>
        <w:spacing w:after="0" w:line="255" w:lineRule="auto"/>
        <w:tabs>
          <w:tab w:leader="none" w:pos="1616"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80" w:lineRule="exact"/>
        <w:rPr>
          <w:rFonts w:ascii="Times New Roman" w:cs="Times New Roman" w:eastAsia="Times New Roman" w:hAnsi="Times New Roman"/>
          <w:sz w:val="18"/>
          <w:szCs w:val="18"/>
          <w:color w:val="auto"/>
        </w:rPr>
      </w:pPr>
    </w:p>
    <w:p>
      <w:pPr>
        <w:ind w:right="60" w:firstLine="1404"/>
        <w:spacing w:after="0" w:line="252" w:lineRule="auto"/>
        <w:tabs>
          <w:tab w:leader="none" w:pos="1665"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5" w:lineRule="exact"/>
        <w:rPr>
          <w:rFonts w:ascii="Times New Roman" w:cs="Times New Roman" w:eastAsia="Times New Roman" w:hAnsi="Times New Roman"/>
          <w:sz w:val="18"/>
          <w:szCs w:val="18"/>
          <w:color w:val="auto"/>
        </w:rPr>
      </w:pPr>
    </w:p>
    <w:p>
      <w:pPr>
        <w:ind w:right="20" w:firstLine="1404"/>
        <w:spacing w:after="0" w:line="251" w:lineRule="auto"/>
        <w:tabs>
          <w:tab w:leader="none" w:pos="1714"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85" w:lineRule="exact"/>
        <w:rPr>
          <w:sz w:val="20"/>
          <w:szCs w:val="20"/>
          <w:color w:val="auto"/>
        </w:rPr>
      </w:pPr>
    </w:p>
    <w:p>
      <w:pPr>
        <w:ind w:right="100" w:firstLine="1406"/>
        <w:spacing w:after="0" w:line="274"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20"/>
          </w:cols>
          <w:pgMar w:left="540" w:top="119" w:right="539" w:bottom="1440" w:gutter="0" w:footer="0" w:header="0"/>
        </w:sectPr>
      </w:pPr>
    </w:p>
    <w:bookmarkStart w:id="331" w:name="page332"/>
    <w:bookmarkEnd w:id="331"/>
    <w:p>
      <w:pPr>
        <w:ind w:right="100" w:firstLine="140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8" w:lineRule="exact"/>
        <w:rPr>
          <w:sz w:val="20"/>
          <w:szCs w:val="20"/>
          <w:color w:val="auto"/>
        </w:rPr>
      </w:pPr>
    </w:p>
    <w:p>
      <w:pPr>
        <w:jc w:val="both"/>
        <w:ind w:right="100" w:firstLine="1406"/>
        <w:spacing w:after="0" w:line="259"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8" w:lineRule="exact"/>
        <w:rPr>
          <w:sz w:val="20"/>
          <w:szCs w:val="20"/>
          <w:color w:val="auto"/>
        </w:rPr>
      </w:pPr>
    </w:p>
    <w:p>
      <w:pPr>
        <w:ind w:right="140" w:firstLine="971"/>
        <w:spacing w:after="0" w:line="259" w:lineRule="auto"/>
        <w:tabs>
          <w:tab w:leader="none" w:pos="122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77" w:lineRule="exact"/>
        <w:rPr>
          <w:rFonts w:ascii="Times New Roman" w:cs="Times New Roman" w:eastAsia="Times New Roman" w:hAnsi="Times New Roman"/>
          <w:sz w:val="18"/>
          <w:szCs w:val="18"/>
          <w:color w:val="auto"/>
        </w:rPr>
      </w:pPr>
    </w:p>
    <w:p>
      <w:pPr>
        <w:ind w:right="300" w:firstLine="971"/>
        <w:spacing w:after="0" w:line="274" w:lineRule="auto"/>
        <w:tabs>
          <w:tab w:leader="none" w:pos="122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a duly authorized committee of the Board, in accordance with Section 4 hereof.</w:t>
      </w:r>
    </w:p>
    <w:p>
      <w:pPr>
        <w:spacing w:after="0" w:line="163" w:lineRule="exact"/>
        <w:rPr>
          <w:rFonts w:ascii="Times New Roman" w:cs="Times New Roman" w:eastAsia="Times New Roman" w:hAnsi="Times New Roman"/>
          <w:sz w:val="18"/>
          <w:szCs w:val="18"/>
          <w:color w:val="auto"/>
        </w:rPr>
      </w:pPr>
    </w:p>
    <w:p>
      <w:pPr>
        <w:ind w:left="1180" w:hanging="209"/>
        <w:spacing w:after="0"/>
        <w:tabs>
          <w:tab w:leader="none" w:pos="11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17" w:lineRule="exact"/>
        <w:rPr>
          <w:rFonts w:ascii="Times New Roman" w:cs="Times New Roman" w:eastAsia="Times New Roman" w:hAnsi="Times New Roman"/>
          <w:sz w:val="18"/>
          <w:szCs w:val="18"/>
          <w:color w:val="auto"/>
        </w:rPr>
      </w:pPr>
    </w:p>
    <w:p>
      <w:pPr>
        <w:ind w:left="1180" w:hanging="209"/>
        <w:spacing w:after="0"/>
        <w:tabs>
          <w:tab w:leader="none" w:pos="11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CG Oncology, Inc., a Delaware corporation, or any successor thereto.</w:t>
      </w:r>
    </w:p>
    <w:p>
      <w:pPr>
        <w:spacing w:after="0" w:line="217" w:lineRule="exact"/>
        <w:rPr>
          <w:rFonts w:ascii="Times New Roman" w:cs="Times New Roman" w:eastAsia="Times New Roman" w:hAnsi="Times New Roman"/>
          <w:sz w:val="18"/>
          <w:szCs w:val="18"/>
          <w:color w:val="auto"/>
        </w:rPr>
      </w:pPr>
    </w:p>
    <w:p>
      <w:pPr>
        <w:jc w:val="both"/>
        <w:ind w:right="200" w:firstLine="971"/>
        <w:spacing w:after="0" w:line="259" w:lineRule="auto"/>
        <w:tabs>
          <w:tab w:leader="none" w:pos="122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w:t>
      </w:r>
    </w:p>
    <w:p>
      <w:pPr>
        <w:spacing w:after="0" w:line="177" w:lineRule="exact"/>
        <w:rPr>
          <w:rFonts w:ascii="Times New Roman" w:cs="Times New Roman" w:eastAsia="Times New Roman" w:hAnsi="Times New Roman"/>
          <w:sz w:val="18"/>
          <w:szCs w:val="18"/>
          <w:color w:val="auto"/>
        </w:rPr>
      </w:pPr>
    </w:p>
    <w:p>
      <w:pPr>
        <w:ind w:left="1180" w:hanging="209"/>
        <w:spacing w:after="0"/>
        <w:tabs>
          <w:tab w:leader="none" w:pos="11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17" w:lineRule="exact"/>
        <w:rPr>
          <w:rFonts w:ascii="Times New Roman" w:cs="Times New Roman" w:eastAsia="Times New Roman" w:hAnsi="Times New Roman"/>
          <w:sz w:val="18"/>
          <w:szCs w:val="18"/>
          <w:color w:val="auto"/>
        </w:rPr>
      </w:pPr>
    </w:p>
    <w:p>
      <w:pPr>
        <w:ind w:right="20" w:firstLine="971"/>
        <w:spacing w:after="0" w:line="259" w:lineRule="auto"/>
        <w:tabs>
          <w:tab w:leader="none" w:pos="12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7" w:lineRule="exact"/>
        <w:rPr>
          <w:rFonts w:ascii="Times New Roman" w:cs="Times New Roman" w:eastAsia="Times New Roman" w:hAnsi="Times New Roman"/>
          <w:sz w:val="18"/>
          <w:szCs w:val="18"/>
          <w:color w:val="auto"/>
        </w:rPr>
      </w:pPr>
    </w:p>
    <w:p>
      <w:pPr>
        <w:ind w:right="100" w:firstLine="971"/>
        <w:spacing w:after="0" w:line="274" w:lineRule="auto"/>
        <w:tabs>
          <w:tab w:leader="none" w:pos="122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who is a common-law employee of the Company or any Parent or Subsidiary of the Company. Neither service as a Director nor payment of a director’s fee by the Company will be sufficient to constitute “employment” by the Company.</w:t>
      </w:r>
    </w:p>
    <w:p>
      <w:pPr>
        <w:spacing w:after="0" w:line="163"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17" w:lineRule="exact"/>
        <w:rPr>
          <w:rFonts w:ascii="Times New Roman" w:cs="Times New Roman" w:eastAsia="Times New Roman" w:hAnsi="Times New Roman"/>
          <w:sz w:val="18"/>
          <w:szCs w:val="18"/>
          <w:color w:val="auto"/>
        </w:rPr>
      </w:pPr>
    </w:p>
    <w:p>
      <w:pPr>
        <w:jc w:val="both"/>
        <w:ind w:right="40" w:firstLine="971"/>
        <w:spacing w:after="0" w:line="252" w:lineRule="auto"/>
        <w:tabs>
          <w:tab w:leader="none" w:pos="122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85" w:lineRule="exact"/>
        <w:rPr>
          <w:rFonts w:ascii="Times New Roman" w:cs="Times New Roman" w:eastAsia="Times New Roman" w:hAnsi="Times New Roman"/>
          <w:sz w:val="18"/>
          <w:szCs w:val="18"/>
          <w:color w:val="auto"/>
        </w:rPr>
      </w:pPr>
    </w:p>
    <w:p>
      <w:pPr>
        <w:ind w:firstLine="971"/>
        <w:spacing w:after="0" w:line="274" w:lineRule="auto"/>
        <w:tabs>
          <w:tab w:leader="none" w:pos="122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the amount for which one Share may be purchased upon exercise of an Option, as specified by the Board in the applicable Award Agreement.</w:t>
      </w:r>
    </w:p>
    <w:p>
      <w:pPr>
        <w:spacing w:after="0" w:line="163" w:lineRule="exact"/>
        <w:rPr>
          <w:rFonts w:ascii="Times New Roman" w:cs="Times New Roman" w:eastAsia="Times New Roman" w:hAnsi="Times New Roman"/>
          <w:sz w:val="18"/>
          <w:szCs w:val="18"/>
          <w:color w:val="auto"/>
        </w:rPr>
      </w:pPr>
    </w:p>
    <w:p>
      <w:pPr>
        <w:ind w:left="1200" w:hanging="229"/>
        <w:spacing w:after="0"/>
        <w:tabs>
          <w:tab w:leader="none" w:pos="12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111" w:lineRule="exact"/>
        <w:rPr>
          <w:rFonts w:ascii="Times New Roman" w:cs="Times New Roman" w:eastAsia="Times New Roman" w:hAnsi="Times New Roman"/>
          <w:sz w:val="18"/>
          <w:szCs w:val="18"/>
          <w:color w:val="auto"/>
        </w:rPr>
      </w:pPr>
    </w:p>
    <w:p>
      <w:pPr>
        <w:ind w:firstLine="1404"/>
        <w:spacing w:after="0" w:line="255" w:lineRule="auto"/>
        <w:tabs>
          <w:tab w:leader="none" w:pos="1616"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540" w:top="267" w:right="579" w:bottom="1440" w:gutter="0" w:footer="0" w:header="0"/>
        </w:sectPr>
      </w:pPr>
    </w:p>
    <w:bookmarkStart w:id="332" w:name="page333"/>
    <w:bookmarkEnd w:id="332"/>
    <w:p>
      <w:pPr>
        <w:ind w:right="80" w:firstLine="1404"/>
        <w:spacing w:after="0" w:line="255" w:lineRule="auto"/>
        <w:tabs>
          <w:tab w:leader="none" w:pos="166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80" w:lineRule="exact"/>
        <w:rPr>
          <w:rFonts w:ascii="Times New Roman" w:cs="Times New Roman" w:eastAsia="Times New Roman" w:hAnsi="Times New Roman"/>
          <w:sz w:val="18"/>
          <w:szCs w:val="18"/>
          <w:color w:val="auto"/>
        </w:rPr>
      </w:pPr>
    </w:p>
    <w:p>
      <w:pPr>
        <w:ind w:left="1720" w:hanging="316"/>
        <w:spacing w:after="0"/>
        <w:tabs>
          <w:tab w:leader="none" w:pos="17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198" w:lineRule="exact"/>
        <w:rPr>
          <w:sz w:val="20"/>
          <w:szCs w:val="20"/>
          <w:color w:val="auto"/>
        </w:rPr>
      </w:pPr>
    </w:p>
    <w:p>
      <w:pPr>
        <w:ind w:right="100" w:firstLine="973"/>
        <w:spacing w:after="0" w:line="259" w:lineRule="auto"/>
        <w:rPr>
          <w:sz w:val="20"/>
          <w:szCs w:val="20"/>
          <w:color w:val="auto"/>
        </w:rPr>
      </w:pPr>
      <w:r>
        <w:rPr>
          <w:rFonts w:ascii="Times New Roman" w:cs="Times New Roman" w:eastAsia="Times New Roman" w:hAnsi="Times New Roman"/>
          <w:sz w:val="18"/>
          <w:szCs w:val="18"/>
          <w:color w:val="auto"/>
        </w:rPr>
        <w:t>Notwithstanding the foregoing, if the determination date for the Fair Market Value occurs on a weekend or holiday, the Fair Market Value will be the price as determined in accordance with subsections (i) through (iii) above (as applicable) on the next business day, unless otherwise determined by the Administrator.</w:t>
      </w:r>
    </w:p>
    <w:p>
      <w:pPr>
        <w:spacing w:after="0" w:line="178" w:lineRule="exact"/>
        <w:rPr>
          <w:sz w:val="20"/>
          <w:szCs w:val="20"/>
          <w:color w:val="auto"/>
        </w:rPr>
      </w:pPr>
    </w:p>
    <w:p>
      <w:pPr>
        <w:ind w:right="160" w:firstLine="971"/>
        <w:spacing w:after="0" w:line="274" w:lineRule="auto"/>
        <w:tabs>
          <w:tab w:leader="none" w:pos="120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Section 422 of the Code and the regulations promulgated thereunder.</w:t>
      </w:r>
    </w:p>
    <w:p>
      <w:pPr>
        <w:spacing w:after="0" w:line="163" w:lineRule="exact"/>
        <w:rPr>
          <w:rFonts w:ascii="Times New Roman" w:cs="Times New Roman" w:eastAsia="Times New Roman" w:hAnsi="Times New Roman"/>
          <w:sz w:val="18"/>
          <w:szCs w:val="18"/>
          <w:color w:val="auto"/>
        </w:rPr>
      </w:pPr>
    </w:p>
    <w:p>
      <w:pPr>
        <w:ind w:left="1180" w:hanging="209"/>
        <w:spacing w:after="0"/>
        <w:tabs>
          <w:tab w:leader="none" w:pos="11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w:t>
      </w:r>
    </w:p>
    <w:p>
      <w:pPr>
        <w:spacing w:after="0" w:line="197"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17"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17" w:lineRule="exact"/>
        <w:rPr>
          <w:rFonts w:ascii="Times New Roman" w:cs="Times New Roman" w:eastAsia="Times New Roman" w:hAnsi="Times New Roman"/>
          <w:sz w:val="18"/>
          <w:szCs w:val="18"/>
          <w:color w:val="auto"/>
        </w:rPr>
      </w:pPr>
    </w:p>
    <w:p>
      <w:pPr>
        <w:ind w:left="1260" w:hanging="289"/>
        <w:spacing w:after="0"/>
        <w:tabs>
          <w:tab w:leader="none" w:pos="12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17" w:lineRule="exact"/>
        <w:rPr>
          <w:rFonts w:ascii="Times New Roman" w:cs="Times New Roman" w:eastAsia="Times New Roman" w:hAnsi="Times New Roman"/>
          <w:sz w:val="18"/>
          <w:szCs w:val="18"/>
          <w:color w:val="auto"/>
        </w:rPr>
      </w:pPr>
    </w:p>
    <w:p>
      <w:pPr>
        <w:ind w:firstLine="971"/>
        <w:spacing w:after="0" w:line="259" w:lineRule="auto"/>
        <w:tabs>
          <w:tab w:leader="none" w:pos="122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of Restriction”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7"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2015 Equity Incentive Plan.</w:t>
      </w:r>
    </w:p>
    <w:p>
      <w:pPr>
        <w:spacing w:after="0" w:line="217" w:lineRule="exact"/>
        <w:rPr>
          <w:rFonts w:ascii="Times New Roman" w:cs="Times New Roman" w:eastAsia="Times New Roman" w:hAnsi="Times New Roman"/>
          <w:sz w:val="18"/>
          <w:szCs w:val="18"/>
          <w:color w:val="auto"/>
        </w:rPr>
      </w:pPr>
    </w:p>
    <w:p>
      <w:pPr>
        <w:ind w:right="40" w:firstLine="971"/>
        <w:spacing w:after="0" w:line="274" w:lineRule="auto"/>
        <w:tabs>
          <w:tab w:leader="none" w:pos="121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an Award of Restricted Stock under Section 7 of the Plan, or issued pursuant to the early exercise of an Option.</w:t>
      </w:r>
    </w:p>
    <w:p>
      <w:pPr>
        <w:spacing w:after="0" w:line="163" w:lineRule="exact"/>
        <w:rPr>
          <w:sz w:val="20"/>
          <w:szCs w:val="20"/>
          <w:color w:val="auto"/>
        </w:rPr>
      </w:pPr>
    </w:p>
    <w:p>
      <w:pPr>
        <w:ind w:left="1280" w:hanging="309"/>
        <w:spacing w:after="0"/>
        <w:tabs>
          <w:tab w:leader="none" w:pos="128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17" w:lineRule="exact"/>
        <w:rPr>
          <w:rFonts w:ascii="Times New Roman" w:cs="Times New Roman" w:eastAsia="Times New Roman" w:hAnsi="Times New Roman"/>
          <w:sz w:val="18"/>
          <w:szCs w:val="18"/>
          <w:color w:val="auto"/>
        </w:rPr>
      </w:pPr>
    </w:p>
    <w:p>
      <w:pPr>
        <w:ind w:right="340" w:firstLine="971"/>
        <w:spacing w:after="0" w:line="259" w:lineRule="auto"/>
        <w:tabs>
          <w:tab w:leader="none" w:pos="131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End Date</w:t>
      </w:r>
      <w:r>
        <w:rPr>
          <w:rFonts w:ascii="Times New Roman" w:cs="Times New Roman" w:eastAsia="Times New Roman" w:hAnsi="Times New Roman"/>
          <w:sz w:val="18"/>
          <w:szCs w:val="18"/>
          <w:color w:val="auto"/>
        </w:rPr>
        <w:t>” means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engagement agreement, if any).</w:t>
      </w:r>
    </w:p>
    <w:p>
      <w:pPr>
        <w:spacing w:after="0" w:line="177"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10 of the Plan.</w:t>
      </w:r>
    </w:p>
    <w:p>
      <w:pPr>
        <w:spacing w:after="0" w:line="217" w:lineRule="exact"/>
        <w:rPr>
          <w:rFonts w:ascii="Times New Roman" w:cs="Times New Roman" w:eastAsia="Times New Roman" w:hAnsi="Times New Roman"/>
          <w:sz w:val="18"/>
          <w:szCs w:val="18"/>
          <w:color w:val="auto"/>
        </w:rPr>
      </w:pPr>
    </w:p>
    <w:p>
      <w:pPr>
        <w:ind w:left="1300" w:hanging="329"/>
        <w:spacing w:after="0"/>
        <w:tabs>
          <w:tab w:leader="none" w:pos="130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17" w:lineRule="exact"/>
        <w:rPr>
          <w:rFonts w:ascii="Times New Roman" w:cs="Times New Roman" w:eastAsia="Times New Roman" w:hAnsi="Times New Roman"/>
          <w:sz w:val="18"/>
          <w:szCs w:val="18"/>
          <w:color w:val="auto"/>
        </w:rPr>
      </w:pPr>
    </w:p>
    <w:p>
      <w:pPr>
        <w:ind w:left="600" w:hanging="170"/>
        <w:spacing w:after="0"/>
        <w:tabs>
          <w:tab w:leader="none" w:pos="6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right="220" w:firstLine="971"/>
        <w:spacing w:after="0" w:line="274" w:lineRule="auto"/>
        <w:tabs>
          <w:tab w:leader="none" w:pos="1213"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10 of the Plan, the maximum aggregate number of Shares that may be issued under the Plan is 44,128,766. The Shares may be authorized, but unissued, or reacquired Common Stock.</w:t>
      </w:r>
    </w:p>
    <w:p>
      <w:pPr>
        <w:spacing w:after="0" w:line="163" w:lineRule="exact"/>
        <w:rPr>
          <w:rFonts w:ascii="Times New Roman" w:cs="Times New Roman" w:eastAsia="Times New Roman" w:hAnsi="Times New Roman"/>
          <w:sz w:val="18"/>
          <w:szCs w:val="18"/>
          <w:color w:val="auto"/>
        </w:rPr>
      </w:pPr>
    </w:p>
    <w:p>
      <w:pPr>
        <w:ind w:right="60" w:firstLine="971"/>
        <w:spacing w:after="0" w:line="271" w:lineRule="auto"/>
        <w:tabs>
          <w:tab w:leader="none" w:pos="1223"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Lapsed Awards</w:t>
      </w:r>
      <w:r>
        <w:rPr>
          <w:rFonts w:ascii="Times New Roman" w:cs="Times New Roman" w:eastAsia="Times New Roman" w:hAnsi="Times New Roman"/>
          <w:sz w:val="17"/>
          <w:szCs w:val="17"/>
          <w:color w:val="auto"/>
        </w:rPr>
        <w:t xml:space="preserve">. If an Award expires or becomes unexercisable without having been exercised in full, or if it is surrendered pursuant to an Exchange Program or, with respect to Restricted Stock, if it is forfeited to or repurchased by the Company due to the failure to vest, then the unpurchased Shares (or, for Awards other than Options, the forfeited or repurchased Shares) which were subject thereto will become available for future grant or sale under the Plan (unless the Plan has terminated). Shares that actually have been issued under the Plan under any Award will not be returned to the Plan and will not become available for future distribution under the Plan;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Shares issued pursuant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540" w:top="267" w:right="559" w:bottom="1440" w:gutter="0" w:footer="0" w:header="0"/>
        </w:sectPr>
      </w:pPr>
    </w:p>
    <w:bookmarkStart w:id="333" w:name="page334"/>
    <w:bookmarkEnd w:id="333"/>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to Awards of Restricted Stock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80" w:lineRule="exact"/>
        <w:rPr>
          <w:sz w:val="20"/>
          <w:szCs w:val="20"/>
          <w:color w:val="auto"/>
        </w:rPr>
      </w:pPr>
    </w:p>
    <w:p>
      <w:pPr>
        <w:ind w:firstLine="971"/>
        <w:spacing w:after="0" w:line="274" w:lineRule="auto"/>
        <w:tabs>
          <w:tab w:leader="none" w:pos="1213"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63" w:lineRule="exact"/>
        <w:rPr>
          <w:rFonts w:ascii="Times New Roman" w:cs="Times New Roman" w:eastAsia="Times New Roman" w:hAnsi="Times New Roman"/>
          <w:sz w:val="18"/>
          <w:szCs w:val="18"/>
          <w:color w:val="auto"/>
        </w:rPr>
      </w:pPr>
    </w:p>
    <w:p>
      <w:pPr>
        <w:ind w:left="600" w:hanging="170"/>
        <w:spacing w:after="0"/>
        <w:tabs>
          <w:tab w:leader="none" w:pos="6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right="480" w:firstLine="1404"/>
        <w:spacing w:after="0" w:line="274" w:lineRule="auto"/>
        <w:tabs>
          <w:tab w:leader="none" w:pos="1616"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Subject to specific delegation by the Board, different Committees with respect to different groups of Service Providers may administer the Plan.</w:t>
      </w:r>
    </w:p>
    <w:p>
      <w:pPr>
        <w:spacing w:after="0" w:line="163" w:lineRule="exact"/>
        <w:rPr>
          <w:rFonts w:ascii="Times New Roman" w:cs="Times New Roman" w:eastAsia="Times New Roman" w:hAnsi="Times New Roman"/>
          <w:sz w:val="18"/>
          <w:szCs w:val="18"/>
          <w:color w:val="auto"/>
        </w:rPr>
      </w:pPr>
    </w:p>
    <w:p>
      <w:pPr>
        <w:jc w:val="both"/>
        <w:ind w:right="120" w:firstLine="1404"/>
        <w:spacing w:after="0" w:line="259" w:lineRule="auto"/>
        <w:tabs>
          <w:tab w:leader="none" w:pos="1665"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shall have been constituted to satisfy Applicable Laws and shall have been specifically delegated duties by the Board as an Administrator of the Plan.</w:t>
      </w:r>
    </w:p>
    <w:p>
      <w:pPr>
        <w:spacing w:after="0" w:line="177" w:lineRule="exact"/>
        <w:rPr>
          <w:rFonts w:ascii="Times New Roman" w:cs="Times New Roman" w:eastAsia="Times New Roman" w:hAnsi="Times New Roman"/>
          <w:sz w:val="18"/>
          <w:szCs w:val="18"/>
          <w:color w:val="auto"/>
        </w:rPr>
      </w:pPr>
    </w:p>
    <w:p>
      <w:pPr>
        <w:ind w:right="560" w:firstLine="971"/>
        <w:spacing w:after="0" w:line="274" w:lineRule="auto"/>
        <w:tabs>
          <w:tab w:leader="none" w:pos="122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57" w:lineRule="exact"/>
        <w:rPr>
          <w:rFonts w:ascii="Times New Roman" w:cs="Times New Roman" w:eastAsia="Times New Roman" w:hAnsi="Times New Roman"/>
          <w:sz w:val="18"/>
          <w:szCs w:val="18"/>
          <w:color w:val="auto"/>
        </w:rPr>
      </w:pPr>
    </w:p>
    <w:p>
      <w:pPr>
        <w:ind w:left="1620" w:hanging="216"/>
        <w:spacing w:after="0"/>
        <w:tabs>
          <w:tab w:leader="none" w:pos="162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17" w:lineRule="exact"/>
        <w:rPr>
          <w:rFonts w:ascii="Times New Roman" w:cs="Times New Roman" w:eastAsia="Times New Roman" w:hAnsi="Times New Roman"/>
          <w:sz w:val="18"/>
          <w:szCs w:val="18"/>
          <w:color w:val="auto"/>
        </w:rPr>
      </w:pPr>
    </w:p>
    <w:p>
      <w:pPr>
        <w:ind w:left="1660" w:hanging="256"/>
        <w:spacing w:after="0"/>
        <w:tabs>
          <w:tab w:leader="none" w:pos="166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17" w:lineRule="exact"/>
        <w:rPr>
          <w:rFonts w:ascii="Times New Roman" w:cs="Times New Roman" w:eastAsia="Times New Roman" w:hAnsi="Times New Roman"/>
          <w:sz w:val="18"/>
          <w:szCs w:val="18"/>
          <w:color w:val="auto"/>
        </w:rPr>
      </w:pPr>
    </w:p>
    <w:p>
      <w:pPr>
        <w:ind w:left="1720" w:hanging="316"/>
        <w:spacing w:after="0"/>
        <w:tabs>
          <w:tab w:leader="none" w:pos="172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17" w:lineRule="exact"/>
        <w:rPr>
          <w:rFonts w:ascii="Times New Roman" w:cs="Times New Roman" w:eastAsia="Times New Roman" w:hAnsi="Times New Roman"/>
          <w:sz w:val="18"/>
          <w:szCs w:val="18"/>
          <w:color w:val="auto"/>
        </w:rPr>
      </w:pPr>
    </w:p>
    <w:p>
      <w:pPr>
        <w:ind w:left="1700" w:hanging="296"/>
        <w:spacing w:after="0"/>
        <w:tabs>
          <w:tab w:leader="none" w:pos="170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17" w:lineRule="exact"/>
        <w:rPr>
          <w:rFonts w:ascii="Times New Roman" w:cs="Times New Roman" w:eastAsia="Times New Roman" w:hAnsi="Times New Roman"/>
          <w:sz w:val="18"/>
          <w:szCs w:val="18"/>
          <w:color w:val="auto"/>
        </w:rPr>
      </w:pPr>
    </w:p>
    <w:p>
      <w:pPr>
        <w:ind w:right="20" w:firstLine="1404"/>
        <w:spacing w:after="0" w:line="255" w:lineRule="auto"/>
        <w:tabs>
          <w:tab w:leader="none" w:pos="1656"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0" w:lineRule="exact"/>
        <w:rPr>
          <w:rFonts w:ascii="Times New Roman" w:cs="Times New Roman" w:eastAsia="Times New Roman" w:hAnsi="Times New Roman"/>
          <w:sz w:val="18"/>
          <w:szCs w:val="18"/>
          <w:color w:val="auto"/>
        </w:rPr>
      </w:pPr>
    </w:p>
    <w:p>
      <w:pPr>
        <w:ind w:left="1700" w:hanging="296"/>
        <w:spacing w:after="0"/>
        <w:tabs>
          <w:tab w:leader="none" w:pos="170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w:t>
      </w:r>
    </w:p>
    <w:p>
      <w:pPr>
        <w:spacing w:after="0" w:line="217" w:lineRule="exact"/>
        <w:rPr>
          <w:rFonts w:ascii="Times New Roman" w:cs="Times New Roman" w:eastAsia="Times New Roman" w:hAnsi="Times New Roman"/>
          <w:sz w:val="18"/>
          <w:szCs w:val="18"/>
          <w:color w:val="auto"/>
        </w:rPr>
      </w:pPr>
    </w:p>
    <w:p>
      <w:pPr>
        <w:ind w:left="1760" w:hanging="356"/>
        <w:spacing w:after="0"/>
        <w:tabs>
          <w:tab w:leader="none" w:pos="176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17" w:lineRule="exact"/>
        <w:rPr>
          <w:rFonts w:ascii="Times New Roman" w:cs="Times New Roman" w:eastAsia="Times New Roman" w:hAnsi="Times New Roman"/>
          <w:sz w:val="18"/>
          <w:szCs w:val="18"/>
          <w:color w:val="auto"/>
        </w:rPr>
      </w:pPr>
    </w:p>
    <w:p>
      <w:pPr>
        <w:ind w:right="100" w:firstLine="1404"/>
        <w:spacing w:after="0" w:line="274" w:lineRule="auto"/>
        <w:tabs>
          <w:tab w:leader="none" w:pos="1803"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63" w:lineRule="exact"/>
        <w:rPr>
          <w:rFonts w:ascii="Times New Roman" w:cs="Times New Roman" w:eastAsia="Times New Roman" w:hAnsi="Times New Roman"/>
          <w:sz w:val="18"/>
          <w:szCs w:val="18"/>
          <w:color w:val="auto"/>
        </w:rPr>
      </w:pPr>
    </w:p>
    <w:p>
      <w:pPr>
        <w:ind w:right="180" w:firstLine="1404"/>
        <w:spacing w:after="0" w:line="304" w:lineRule="auto"/>
        <w:tabs>
          <w:tab w:leader="none" w:pos="1705" w:val="left"/>
        </w:tabs>
        <w:numPr>
          <w:ilvl w:val="2"/>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modify or amend each Award, including but not limited to the discretionary authority to extend the post-termination exercisability period of Awards and to extend the maximum term of an Option (subject to Section 6(d) of the Plan regarding Incentive Stock Options);</w:t>
      </w:r>
    </w:p>
    <w:p>
      <w:pPr>
        <w:spacing w:after="0" w:line="140" w:lineRule="exact"/>
        <w:rPr>
          <w:rFonts w:ascii="Times New Roman" w:cs="Times New Roman" w:eastAsia="Times New Roman" w:hAnsi="Times New Roman"/>
          <w:sz w:val="17"/>
          <w:szCs w:val="17"/>
          <w:color w:val="auto"/>
        </w:rPr>
      </w:pPr>
    </w:p>
    <w:p>
      <w:pPr>
        <w:ind w:left="1660" w:hanging="256"/>
        <w:spacing w:after="0"/>
        <w:tabs>
          <w:tab w:leader="none" w:pos="166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tax withholding obligations in such manner as prescribed in Section 12 of the Plan;</w:t>
      </w:r>
    </w:p>
    <w:p>
      <w:pPr>
        <w:spacing w:after="0" w:line="217" w:lineRule="exact"/>
        <w:rPr>
          <w:rFonts w:ascii="Times New Roman" w:cs="Times New Roman" w:eastAsia="Times New Roman" w:hAnsi="Times New Roman"/>
          <w:sz w:val="18"/>
          <w:szCs w:val="18"/>
          <w:color w:val="auto"/>
        </w:rPr>
      </w:pPr>
    </w:p>
    <w:p>
      <w:pPr>
        <w:ind w:right="60" w:firstLine="1404"/>
        <w:spacing w:after="0" w:line="274" w:lineRule="auto"/>
        <w:tabs>
          <w:tab w:leader="none" w:pos="1705"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3" w:lineRule="exact"/>
        <w:rPr>
          <w:rFonts w:ascii="Times New Roman" w:cs="Times New Roman" w:eastAsia="Times New Roman" w:hAnsi="Times New Roman"/>
          <w:sz w:val="18"/>
          <w:szCs w:val="18"/>
          <w:color w:val="auto"/>
        </w:rPr>
      </w:pPr>
    </w:p>
    <w:p>
      <w:pPr>
        <w:ind w:right="160" w:firstLine="1404"/>
        <w:spacing w:after="0" w:line="274" w:lineRule="auto"/>
        <w:tabs>
          <w:tab w:leader="none" w:pos="1754"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163" w:lineRule="exact"/>
        <w:rPr>
          <w:rFonts w:ascii="Times New Roman" w:cs="Times New Roman" w:eastAsia="Times New Roman" w:hAnsi="Times New Roman"/>
          <w:sz w:val="18"/>
          <w:szCs w:val="18"/>
          <w:color w:val="auto"/>
        </w:rPr>
      </w:pPr>
    </w:p>
    <w:p>
      <w:pPr>
        <w:ind w:left="1800" w:hanging="396"/>
        <w:spacing w:after="0"/>
        <w:tabs>
          <w:tab w:leader="none" w:pos="180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17" w:lineRule="exact"/>
        <w:rPr>
          <w:rFonts w:ascii="Times New Roman" w:cs="Times New Roman" w:eastAsia="Times New Roman" w:hAnsi="Times New Roman"/>
          <w:sz w:val="18"/>
          <w:szCs w:val="18"/>
          <w:color w:val="auto"/>
        </w:rPr>
      </w:pPr>
    </w:p>
    <w:p>
      <w:pPr>
        <w:ind w:right="200" w:firstLine="971"/>
        <w:spacing w:after="0" w:line="274" w:lineRule="auto"/>
        <w:tabs>
          <w:tab w:leader="none" w:pos="121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540" w:top="266" w:right="559" w:bottom="1440" w:gutter="0" w:footer="0" w:header="0"/>
        </w:sectPr>
      </w:pPr>
    </w:p>
    <w:bookmarkStart w:id="334" w:name="page335"/>
    <w:bookmarkEnd w:id="334"/>
    <w:p>
      <w:pPr>
        <w:ind w:left="2" w:right="20" w:firstLine="430"/>
        <w:spacing w:after="0" w:line="274" w:lineRule="auto"/>
        <w:tabs>
          <w:tab w:leader="none" w:pos="611"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Eligibility</w:t>
      </w:r>
      <w:r>
        <w:rPr>
          <w:rFonts w:ascii="Times New Roman" w:cs="Times New Roman" w:eastAsia="Times New Roman" w:hAnsi="Times New Roman"/>
          <w:sz w:val="18"/>
          <w:szCs w:val="18"/>
          <w:color w:val="auto"/>
        </w:rPr>
        <w:t>. Nonstatutory Stock Options and Restricted Stock may be granted to Service Providers. Incentive Stock Options may be granted only to Employees.</w:t>
      </w:r>
    </w:p>
    <w:p>
      <w:pPr>
        <w:spacing w:after="0" w:line="163" w:lineRule="exact"/>
        <w:rPr>
          <w:rFonts w:ascii="Times New Roman" w:cs="Times New Roman" w:eastAsia="Times New Roman" w:hAnsi="Times New Roman"/>
          <w:sz w:val="18"/>
          <w:szCs w:val="18"/>
          <w:color w:val="auto"/>
        </w:rPr>
      </w:pPr>
    </w:p>
    <w:p>
      <w:pPr>
        <w:ind w:left="602" w:hanging="170"/>
        <w:spacing w:after="0"/>
        <w:tabs>
          <w:tab w:leader="none" w:pos="60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left="2" w:right="420" w:firstLine="971"/>
        <w:spacing w:after="0" w:line="274" w:lineRule="auto"/>
        <w:tabs>
          <w:tab w:leader="none" w:pos="1215"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in such amounts as the Administrator, in its sole discretion, will determine.</w:t>
      </w:r>
    </w:p>
    <w:p>
      <w:pPr>
        <w:spacing w:after="0" w:line="163" w:lineRule="exact"/>
        <w:rPr>
          <w:rFonts w:ascii="Times New Roman" w:cs="Times New Roman" w:eastAsia="Times New Roman" w:hAnsi="Times New Roman"/>
          <w:sz w:val="18"/>
          <w:szCs w:val="18"/>
          <w:color w:val="auto"/>
        </w:rPr>
      </w:pPr>
    </w:p>
    <w:p>
      <w:pPr>
        <w:ind w:left="2" w:firstLine="971"/>
        <w:spacing w:after="0" w:line="259" w:lineRule="auto"/>
        <w:tabs>
          <w:tab w:leader="none" w:pos="1225"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77" w:lineRule="exact"/>
        <w:rPr>
          <w:rFonts w:ascii="Times New Roman" w:cs="Times New Roman" w:eastAsia="Times New Roman" w:hAnsi="Times New Roman"/>
          <w:sz w:val="18"/>
          <w:szCs w:val="18"/>
          <w:color w:val="auto"/>
        </w:rPr>
      </w:pPr>
    </w:p>
    <w:p>
      <w:pPr>
        <w:ind w:left="2" w:right="60" w:firstLine="971"/>
        <w:spacing w:after="0" w:line="250" w:lineRule="auto"/>
        <w:tabs>
          <w:tab w:leader="none" w:pos="1215"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86" w:lineRule="exact"/>
        <w:rPr>
          <w:rFonts w:ascii="Times New Roman" w:cs="Times New Roman" w:eastAsia="Times New Roman" w:hAnsi="Times New Roman"/>
          <w:sz w:val="18"/>
          <w:szCs w:val="18"/>
          <w:color w:val="auto"/>
        </w:rPr>
      </w:pPr>
    </w:p>
    <w:p>
      <w:pPr>
        <w:jc w:val="both"/>
        <w:ind w:left="2" w:firstLine="971"/>
        <w:spacing w:after="0" w:line="266" w:lineRule="auto"/>
        <w:tabs>
          <w:tab w:leader="none" w:pos="1225" w:val="left"/>
        </w:tabs>
        <w:numPr>
          <w:ilvl w:val="2"/>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Option</w:t>
      </w:r>
      <w:r>
        <w:rPr>
          <w:rFonts w:ascii="Times New Roman" w:cs="Times New Roman" w:eastAsia="Times New Roman" w:hAnsi="Times New Roman"/>
          <w:sz w:val="17"/>
          <w:szCs w:val="17"/>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w:t>
      </w:r>
    </w:p>
    <w:p>
      <w:pPr>
        <w:ind w:left="242" w:hanging="242"/>
        <w:spacing w:after="0"/>
        <w:tabs>
          <w:tab w:leader="none" w:pos="24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of grant or such shorter term as may be provided in the Award Agreement.</w:t>
      </w:r>
    </w:p>
    <w:p>
      <w:pPr>
        <w:spacing w:after="0" w:line="197" w:lineRule="exact"/>
        <w:rPr>
          <w:rFonts w:ascii="Times New Roman" w:cs="Times New Roman" w:eastAsia="Times New Roman" w:hAnsi="Times New Roman"/>
          <w:sz w:val="18"/>
          <w:szCs w:val="18"/>
          <w:color w:val="auto"/>
        </w:rPr>
      </w:pPr>
    </w:p>
    <w:p>
      <w:pPr>
        <w:ind w:left="1222" w:hanging="249"/>
        <w:spacing w:after="0"/>
        <w:tabs>
          <w:tab w:leader="none" w:pos="1222"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left="2" w:right="220" w:firstLine="1404"/>
        <w:spacing w:after="0" w:line="274" w:lineRule="auto"/>
        <w:tabs>
          <w:tab w:leader="none" w:pos="1618" w:val="left"/>
        </w:tabs>
        <w:numPr>
          <w:ilvl w:val="3"/>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 Administrator, subject to the following:</w:t>
      </w:r>
    </w:p>
    <w:p>
      <w:pPr>
        <w:spacing w:after="0" w:line="57" w:lineRule="exact"/>
        <w:rPr>
          <w:rFonts w:ascii="Times New Roman" w:cs="Times New Roman" w:eastAsia="Times New Roman" w:hAnsi="Times New Roman"/>
          <w:sz w:val="18"/>
          <w:szCs w:val="18"/>
          <w:color w:val="auto"/>
        </w:rPr>
      </w:pPr>
    </w:p>
    <w:p>
      <w:pPr>
        <w:ind w:left="2202" w:hanging="256"/>
        <w:spacing w:after="0"/>
        <w:tabs>
          <w:tab w:leader="none" w:pos="2202" w:val="left"/>
        </w:tabs>
        <w:numPr>
          <w:ilvl w:val="4"/>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111" w:lineRule="exact"/>
        <w:rPr>
          <w:rFonts w:ascii="Times New Roman" w:cs="Times New Roman" w:eastAsia="Times New Roman" w:hAnsi="Times New Roman"/>
          <w:sz w:val="18"/>
          <w:szCs w:val="18"/>
          <w:color w:val="auto"/>
        </w:rPr>
      </w:pPr>
    </w:p>
    <w:p>
      <w:pPr>
        <w:ind w:left="982" w:right="80" w:firstLine="1270"/>
        <w:spacing w:after="0" w:line="259" w:lineRule="auto"/>
        <w:tabs>
          <w:tab w:leader="none" w:pos="2550" w:val="left"/>
        </w:tabs>
        <w:numPr>
          <w:ilvl w:val="5"/>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71" w:lineRule="exact"/>
        <w:rPr>
          <w:rFonts w:ascii="Times New Roman" w:cs="Times New Roman" w:eastAsia="Times New Roman" w:hAnsi="Times New Roman"/>
          <w:sz w:val="18"/>
          <w:szCs w:val="18"/>
          <w:color w:val="auto"/>
        </w:rPr>
      </w:pPr>
    </w:p>
    <w:p>
      <w:pPr>
        <w:ind w:left="982" w:right="420" w:firstLine="1270"/>
        <w:spacing w:after="0" w:line="274" w:lineRule="auto"/>
        <w:tabs>
          <w:tab w:leader="none" w:pos="2541" w:val="left"/>
        </w:tabs>
        <w:numPr>
          <w:ilvl w:val="5"/>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63" w:lineRule="exact"/>
        <w:rPr>
          <w:rFonts w:ascii="Times New Roman" w:cs="Times New Roman" w:eastAsia="Times New Roman" w:hAnsi="Times New Roman"/>
          <w:sz w:val="18"/>
          <w:szCs w:val="18"/>
          <w:color w:val="auto"/>
        </w:rPr>
      </w:pPr>
    </w:p>
    <w:p>
      <w:pPr>
        <w:ind w:left="2" w:right="80" w:firstLine="1944"/>
        <w:spacing w:after="0" w:line="274" w:lineRule="auto"/>
        <w:tabs>
          <w:tab w:leader="none" w:pos="2198" w:val="left"/>
        </w:tabs>
        <w:numPr>
          <w:ilvl w:val="4"/>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Nonstatutory Stock Option, the per Share exercise price will be no less than one hundred percent (100%) of the Fair Market Value per Share on the date of grant.</w:t>
      </w:r>
    </w:p>
    <w:p>
      <w:pPr>
        <w:spacing w:after="0" w:line="163" w:lineRule="exact"/>
        <w:rPr>
          <w:rFonts w:ascii="Times New Roman" w:cs="Times New Roman" w:eastAsia="Times New Roman" w:hAnsi="Times New Roman"/>
          <w:sz w:val="18"/>
          <w:szCs w:val="18"/>
          <w:color w:val="auto"/>
        </w:rPr>
      </w:pPr>
    </w:p>
    <w:p>
      <w:pPr>
        <w:ind w:left="2" w:right="40" w:firstLine="1944"/>
        <w:spacing w:after="0" w:line="259" w:lineRule="auto"/>
        <w:tabs>
          <w:tab w:leader="none" w:pos="2198" w:val="left"/>
        </w:tabs>
        <w:numPr>
          <w:ilvl w:val="4"/>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7" w:lineRule="exact"/>
        <w:rPr>
          <w:rFonts w:ascii="Times New Roman" w:cs="Times New Roman" w:eastAsia="Times New Roman" w:hAnsi="Times New Roman"/>
          <w:sz w:val="18"/>
          <w:szCs w:val="18"/>
          <w:color w:val="auto"/>
        </w:rPr>
      </w:pPr>
    </w:p>
    <w:p>
      <w:pPr>
        <w:ind w:left="2" w:right="440" w:firstLine="1404"/>
        <w:spacing w:after="0" w:line="274" w:lineRule="auto"/>
        <w:tabs>
          <w:tab w:leader="none" w:pos="1667" w:val="left"/>
        </w:tabs>
        <w:numPr>
          <w:ilvl w:val="3"/>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9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2"/>
          </w:cols>
          <w:pgMar w:left="538" w:top="267" w:right="559" w:bottom="1440" w:gutter="0" w:footer="0" w:header="0"/>
        </w:sectPr>
      </w:pPr>
    </w:p>
    <w:bookmarkStart w:id="335" w:name="page336"/>
    <w:bookmarkEnd w:id="335"/>
    <w:p>
      <w:pPr>
        <w:ind w:right="20" w:firstLine="1404"/>
        <w:spacing w:after="0" w:line="248" w:lineRule="auto"/>
        <w:tabs>
          <w:tab w:leader="none" w:pos="1714"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93" w:lineRule="exact"/>
        <w:rPr>
          <w:rFonts w:ascii="Times New Roman" w:cs="Times New Roman" w:eastAsia="Times New Roman" w:hAnsi="Times New Roman"/>
          <w:sz w:val="18"/>
          <w:szCs w:val="18"/>
          <w:color w:val="auto"/>
        </w:rPr>
      </w:pPr>
    </w:p>
    <w:p>
      <w:pPr>
        <w:ind w:left="1200" w:hanging="229"/>
        <w:spacing w:after="0"/>
        <w:tabs>
          <w:tab w:leader="none" w:pos="12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right="120" w:firstLine="1404"/>
        <w:spacing w:after="0" w:line="259" w:lineRule="auto"/>
        <w:tabs>
          <w:tab w:leader="none" w:pos="161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8" w:lineRule="exact"/>
        <w:rPr>
          <w:sz w:val="20"/>
          <w:szCs w:val="20"/>
          <w:color w:val="auto"/>
        </w:rPr>
      </w:pPr>
    </w:p>
    <w:p>
      <w:pPr>
        <w:ind w:right="20" w:firstLine="1406"/>
        <w:spacing w:after="0" w:line="249"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10 of the Plan.</w:t>
      </w:r>
    </w:p>
    <w:p>
      <w:pPr>
        <w:spacing w:after="0" w:line="187" w:lineRule="exact"/>
        <w:rPr>
          <w:sz w:val="20"/>
          <w:szCs w:val="20"/>
          <w:color w:val="auto"/>
        </w:rPr>
      </w:pPr>
    </w:p>
    <w:p>
      <w:pPr>
        <w:ind w:right="240" w:firstLine="1406"/>
        <w:spacing w:after="0" w:line="274"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63" w:lineRule="exact"/>
        <w:rPr>
          <w:sz w:val="20"/>
          <w:szCs w:val="20"/>
          <w:color w:val="auto"/>
        </w:rPr>
      </w:pPr>
    </w:p>
    <w:p>
      <w:pPr>
        <w:ind w:firstLine="1404"/>
        <w:spacing w:after="0" w:line="249" w:lineRule="auto"/>
        <w:tabs>
          <w:tab w:leader="none" w:pos="166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(but in no event shall the right to exercise terminate earlier than 30 days after the Participant’s termination as a Service Provider).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7" w:lineRule="exact"/>
        <w:rPr>
          <w:rFonts w:ascii="Times New Roman" w:cs="Times New Roman" w:eastAsia="Times New Roman" w:hAnsi="Times New Roman"/>
          <w:sz w:val="18"/>
          <w:szCs w:val="18"/>
          <w:color w:val="auto"/>
        </w:rPr>
      </w:pPr>
    </w:p>
    <w:p>
      <w:pPr>
        <w:ind w:right="40" w:firstLine="1404"/>
        <w:spacing w:after="0" w:line="249" w:lineRule="auto"/>
        <w:tabs>
          <w:tab w:leader="none" w:pos="171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(but in no event shall the right to exercise terminate earlier than six (6) months after the Participant’s termination as a Service Provider).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540" w:top="267" w:right="559" w:bottom="1440" w:gutter="0" w:footer="0" w:header="0"/>
        </w:sectPr>
      </w:pPr>
    </w:p>
    <w:bookmarkStart w:id="336" w:name="page337"/>
    <w:bookmarkEnd w:id="336"/>
    <w:p>
      <w:pPr>
        <w:ind w:firstLine="1404"/>
        <w:spacing w:after="0" w:line="265" w:lineRule="auto"/>
        <w:tabs>
          <w:tab w:leader="none" w:pos="1704" w:val="left"/>
        </w:tabs>
        <w:numPr>
          <w:ilvl w:val="2"/>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Death of Participant</w:t>
      </w:r>
      <w:r>
        <w:rPr>
          <w:rFonts w:ascii="Times New Roman" w:cs="Times New Roman" w:eastAsia="Times New Roman" w:hAnsi="Times New Roman"/>
          <w:sz w:val="17"/>
          <w:szCs w:val="17"/>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or distribution. In the absence of a specified time in the Award Agreement, the Option will remain exercisable for twelve (12) months following Participant’s death (but in no event shall the right to exercise terminate earlier than six (6) months following the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73" w:lineRule="exact"/>
        <w:rPr>
          <w:rFonts w:ascii="Times New Roman" w:cs="Times New Roman" w:eastAsia="Times New Roman" w:hAnsi="Times New Roman"/>
          <w:sz w:val="17"/>
          <w:szCs w:val="17"/>
          <w:color w:val="auto"/>
        </w:rPr>
      </w:pPr>
    </w:p>
    <w:p>
      <w:pPr>
        <w:ind w:left="600" w:hanging="170"/>
        <w:spacing w:after="0"/>
        <w:tabs>
          <w:tab w:leader="none" w:pos="6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right="220" w:firstLine="971"/>
        <w:spacing w:after="0" w:line="274" w:lineRule="auto"/>
        <w:tabs>
          <w:tab w:leader="none" w:pos="121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3" w:lineRule="exact"/>
        <w:rPr>
          <w:rFonts w:ascii="Times New Roman" w:cs="Times New Roman" w:eastAsia="Times New Roman" w:hAnsi="Times New Roman"/>
          <w:sz w:val="18"/>
          <w:szCs w:val="18"/>
          <w:color w:val="auto"/>
        </w:rPr>
      </w:pPr>
    </w:p>
    <w:p>
      <w:pPr>
        <w:ind w:firstLine="971"/>
        <w:spacing w:after="0" w:line="282" w:lineRule="auto"/>
        <w:tabs>
          <w:tab w:leader="none" w:pos="1223"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Agreement</w:t>
      </w:r>
      <w:r>
        <w:rPr>
          <w:rFonts w:ascii="Times New Roman" w:cs="Times New Roman" w:eastAsia="Times New Roman" w:hAnsi="Times New Roman"/>
          <w:sz w:val="17"/>
          <w:szCs w:val="17"/>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58" w:lineRule="exact"/>
        <w:rPr>
          <w:rFonts w:ascii="Times New Roman" w:cs="Times New Roman" w:eastAsia="Times New Roman" w:hAnsi="Times New Roman"/>
          <w:sz w:val="17"/>
          <w:szCs w:val="17"/>
          <w:color w:val="auto"/>
        </w:rPr>
      </w:pPr>
    </w:p>
    <w:p>
      <w:pPr>
        <w:ind w:right="120" w:firstLine="971"/>
        <w:spacing w:after="0" w:line="274" w:lineRule="auto"/>
        <w:tabs>
          <w:tab w:leader="none" w:pos="121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63" w:lineRule="exact"/>
        <w:rPr>
          <w:rFonts w:ascii="Times New Roman" w:cs="Times New Roman" w:eastAsia="Times New Roman" w:hAnsi="Times New Roman"/>
          <w:sz w:val="18"/>
          <w:szCs w:val="18"/>
          <w:color w:val="auto"/>
        </w:rPr>
      </w:pPr>
    </w:p>
    <w:p>
      <w:pPr>
        <w:ind w:right="20" w:firstLine="971"/>
        <w:spacing w:after="0" w:line="274" w:lineRule="auto"/>
        <w:tabs>
          <w:tab w:leader="none" w:pos="122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3" w:lineRule="exact"/>
        <w:rPr>
          <w:rFonts w:ascii="Times New Roman" w:cs="Times New Roman" w:eastAsia="Times New Roman" w:hAnsi="Times New Roman"/>
          <w:sz w:val="18"/>
          <w:szCs w:val="18"/>
          <w:color w:val="auto"/>
        </w:rPr>
      </w:pPr>
    </w:p>
    <w:p>
      <w:pPr>
        <w:jc w:val="both"/>
        <w:ind w:right="160" w:firstLine="971"/>
        <w:spacing w:after="0" w:line="282" w:lineRule="auto"/>
        <w:tabs>
          <w:tab w:leader="none" w:pos="1213"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 of Restrictions</w:t>
      </w:r>
      <w:r>
        <w:rPr>
          <w:rFonts w:ascii="Times New Roman" w:cs="Times New Roman" w:eastAsia="Times New Roman" w:hAnsi="Times New Roman"/>
          <w:sz w:val="17"/>
          <w:szCs w:val="17"/>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58" w:lineRule="exact"/>
        <w:rPr>
          <w:rFonts w:ascii="Times New Roman" w:cs="Times New Roman" w:eastAsia="Times New Roman" w:hAnsi="Times New Roman"/>
          <w:sz w:val="17"/>
          <w:szCs w:val="17"/>
          <w:color w:val="auto"/>
        </w:rPr>
      </w:pPr>
    </w:p>
    <w:p>
      <w:pPr>
        <w:ind w:right="140" w:firstLine="971"/>
        <w:spacing w:after="0" w:line="274" w:lineRule="auto"/>
        <w:tabs>
          <w:tab w:leader="none" w:pos="119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3" w:lineRule="exact"/>
        <w:rPr>
          <w:rFonts w:ascii="Times New Roman" w:cs="Times New Roman" w:eastAsia="Times New Roman" w:hAnsi="Times New Roman"/>
          <w:sz w:val="18"/>
          <w:szCs w:val="18"/>
          <w:color w:val="auto"/>
        </w:rPr>
      </w:pPr>
    </w:p>
    <w:p>
      <w:pPr>
        <w:ind w:right="420" w:firstLine="971"/>
        <w:spacing w:after="0" w:line="255" w:lineRule="auto"/>
        <w:tabs>
          <w:tab w:leader="none" w:pos="122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0" w:lineRule="exact"/>
        <w:rPr>
          <w:rFonts w:ascii="Times New Roman" w:cs="Times New Roman" w:eastAsia="Times New Roman" w:hAnsi="Times New Roman"/>
          <w:sz w:val="18"/>
          <w:szCs w:val="18"/>
          <w:color w:val="auto"/>
        </w:rPr>
      </w:pPr>
    </w:p>
    <w:p>
      <w:pPr>
        <w:ind w:right="40" w:firstLine="971"/>
        <w:spacing w:after="0" w:line="274" w:lineRule="auto"/>
        <w:tabs>
          <w:tab w:leader="none" w:pos="1223"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with revert to the Company and again will become available for grant under the Plan.</w:t>
      </w:r>
    </w:p>
    <w:p>
      <w:pPr>
        <w:spacing w:after="0" w:line="163" w:lineRule="exact"/>
        <w:rPr>
          <w:rFonts w:ascii="Times New Roman" w:cs="Times New Roman" w:eastAsia="Times New Roman" w:hAnsi="Times New Roman"/>
          <w:sz w:val="18"/>
          <w:szCs w:val="18"/>
          <w:color w:val="auto"/>
        </w:rPr>
      </w:pPr>
    </w:p>
    <w:p>
      <w:pPr>
        <w:ind w:right="40" w:firstLine="430"/>
        <w:spacing w:after="0" w:line="250" w:lineRule="auto"/>
        <w:tabs>
          <w:tab w:leader="none" w:pos="60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required by applicable law or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0"/>
          </w:cols>
          <w:pgMar w:left="540" w:top="267" w:right="559" w:bottom="1440" w:gutter="0" w:footer="0" w:header="0"/>
        </w:sectPr>
      </w:pPr>
    </w:p>
    <w:bookmarkStart w:id="337" w:name="page338"/>
    <w:bookmarkEnd w:id="337"/>
    <w:p>
      <w:pPr>
        <w:ind w:left="602" w:hanging="170"/>
        <w:spacing w:after="0"/>
        <w:tabs>
          <w:tab w:leader="none" w:pos="602"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Limited Transferability of Awards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left="2" w:right="20" w:firstLine="971"/>
        <w:spacing w:after="0" w:line="255" w:lineRule="auto"/>
        <w:tabs>
          <w:tab w:leader="none" w:pos="1215"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determined otherwise by the Administrator, Awards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may only be transferred (i) by will, (ii) by the laws of descent or distribution, or (iii) as permitted by Rule 701 of the Securities Act of 1933, as amended (the “Securities Act”).</w:t>
      </w:r>
    </w:p>
    <w:p>
      <w:pPr>
        <w:spacing w:after="0" w:line="180" w:lineRule="exact"/>
        <w:rPr>
          <w:rFonts w:ascii="Times New Roman" w:cs="Times New Roman" w:eastAsia="Times New Roman" w:hAnsi="Times New Roman"/>
          <w:sz w:val="18"/>
          <w:szCs w:val="18"/>
          <w:color w:val="auto"/>
        </w:rPr>
      </w:pPr>
    </w:p>
    <w:p>
      <w:pPr>
        <w:ind w:left="2" w:firstLine="971"/>
        <w:spacing w:after="0" w:line="265" w:lineRule="auto"/>
        <w:tabs>
          <w:tab w:leader="none" w:pos="1225" w:val="left"/>
        </w:tabs>
        <w:numPr>
          <w:ilvl w:val="2"/>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during the period the Company is relying upon the exemption from registration provided in Rule 12h-1(f)(1) promulgated under the Exchange Act (the “Rule 12h-1(f) Exemption”) until the Company either (i) becomes subject to the reporting requirements of Section 13 or 15(d) of the Exchange Act or (ii) is no longer relying upon the Rule 12h-1(f) Exemption,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w:t>
      </w:r>
    </w:p>
    <w:p>
      <w:pPr>
        <w:ind w:left="2" w:right="180" w:hanging="2"/>
        <w:spacing w:after="0" w:line="247" w:lineRule="auto"/>
        <w:tabs>
          <w:tab w:leader="none" w:pos="25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“family members” (as defined in Rule 701(c)(3) of the Securities Act) through gifts or domestic relations orders, or (y) to an executor or guardian of the Participant upon the death or disability of the Participant, in each case, to the extent required for continued reliance on the Rule 12h-1(f) Exemption. Notwithstanding the foregoing sentence, the Administrator, in its sole discretion, may determine to permit transfers to the Company or in connection with a Change in Control or other acquisition transactions involving the Company to the extent permitted by Rule 12h-1(f) or, if the Company is not relying on the Rule 12h-1(f) Exemption, to the extent permitted by the Plan.</w:t>
      </w:r>
    </w:p>
    <w:p>
      <w:pPr>
        <w:spacing w:after="0" w:line="187" w:lineRule="exact"/>
        <w:rPr>
          <w:rFonts w:ascii="Times New Roman" w:cs="Times New Roman" w:eastAsia="Times New Roman" w:hAnsi="Times New Roman"/>
          <w:sz w:val="18"/>
          <w:szCs w:val="18"/>
          <w:color w:val="auto"/>
        </w:rPr>
      </w:pPr>
    </w:p>
    <w:p>
      <w:pPr>
        <w:ind w:left="702" w:hanging="270"/>
        <w:spacing w:after="0"/>
        <w:tabs>
          <w:tab w:leader="none" w:pos="702"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Capitalization; Dissolution or Liquidation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left="2" w:firstLine="971"/>
        <w:spacing w:after="0" w:line="262" w:lineRule="auto"/>
        <w:tabs>
          <w:tab w:leader="none" w:pos="1215" w:val="left"/>
        </w:tabs>
        <w:numPr>
          <w:ilvl w:val="2"/>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Upon Changes in Capitalization</w:t>
      </w:r>
      <w:r>
        <w:rPr>
          <w:rFonts w:ascii="Times New Roman" w:cs="Times New Roman" w:eastAsia="Times New Roman" w:hAnsi="Times New Roman"/>
          <w:sz w:val="17"/>
          <w:szCs w:val="17"/>
          <w:color w:val="auto"/>
        </w:rPr>
        <w:t xml:space="preserve">. Subject to any required action by the stockholders of the Company and Section 11 below,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maximum number of Shares with respect to which Awards may be granted to any Participant in any calendar year, as well as any other terms that the Administrator determines require adjustment shall be proportionately adjusted for: (i) any increase or decrease in the number of issued Shares resulting from a stock split, reverse stock split, stock dividend, recapitalization,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w:t>
      </w:r>
    </w:p>
    <w:p>
      <w:pPr>
        <w:spacing w:after="0" w:line="6" w:lineRule="exact"/>
        <w:rPr>
          <w:rFonts w:ascii="Times New Roman" w:cs="Times New Roman" w:eastAsia="Times New Roman" w:hAnsi="Times New Roman"/>
          <w:sz w:val="17"/>
          <w:szCs w:val="17"/>
          <w:color w:val="auto"/>
        </w:rPr>
      </w:pPr>
    </w:p>
    <w:p>
      <w:pPr>
        <w:ind w:left="2" w:right="20" w:hanging="2"/>
        <w:spacing w:after="0" w:line="246" w:lineRule="auto"/>
        <w:tabs>
          <w:tab w:leader="none" w:pos="21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any convertible securities of the Company shall not be deemed to have been “effected without receipt of consideration” and (ii) the Administrator will make such adjustments to an Award required by Section 25102(o) of the California Corporations Code to the extent the Company is relying upon the exemption afforded thereby with respect to the Award. In the event of any distribution of cash or other assets to shareholders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spacing w:after="0" w:line="191" w:lineRule="exact"/>
        <w:rPr>
          <w:rFonts w:ascii="Times New Roman" w:cs="Times New Roman" w:eastAsia="Times New Roman" w:hAnsi="Times New Roman"/>
          <w:sz w:val="18"/>
          <w:szCs w:val="18"/>
          <w:color w:val="auto"/>
        </w:rPr>
      </w:pPr>
    </w:p>
    <w:p>
      <w:pPr>
        <w:ind w:left="2" w:right="140" w:firstLine="971"/>
        <w:spacing w:after="0" w:line="259" w:lineRule="auto"/>
        <w:tabs>
          <w:tab w:leader="none" w:pos="1225"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previously has not been exercised, an Award will terminate immediately prior to the consummation of such proposed action.</w:t>
      </w:r>
    </w:p>
    <w:p>
      <w:pPr>
        <w:spacing w:after="0" w:line="11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82"/>
          </w:cols>
          <w:pgMar w:left="538" w:top="266" w:right="579" w:bottom="1440" w:gutter="0" w:footer="0" w:header="0"/>
        </w:sectPr>
      </w:pPr>
    </w:p>
    <w:bookmarkStart w:id="338" w:name="page339"/>
    <w:bookmarkEnd w:id="338"/>
    <w:p>
      <w:pPr>
        <w:ind w:right="60" w:firstLine="430"/>
        <w:spacing w:after="0" w:line="250" w:lineRule="auto"/>
        <w:tabs>
          <w:tab w:leader="none" w:pos="69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Change in Control</w:t>
      </w:r>
      <w:r>
        <w:rPr>
          <w:rFonts w:ascii="Times New Roman" w:cs="Times New Roman" w:eastAsia="Times New Roman" w:hAnsi="Times New Roman"/>
          <w:sz w:val="18"/>
          <w:szCs w:val="18"/>
          <w:color w:val="auto"/>
        </w:rPr>
        <w:t>. If a Change in Control or a merger of the Company with or into another corporation or other entity occurs, all Shares acquired under the Plan and all Options and other Awards outstanding on the effective date of the transaction shall be treated in the manner described in the definitive transaction agreement (or, in the event the transaction does not entail a definitive agreement to which the Company is a party, in the manner determined by the Board in its capacity as the Administrator, with such determination having final and binding effect on all parties), which agreement or determination need not treat all Options and other Awards (or all portions of an Option or other Award) in an identical manner. The treatment specified in the transaction agreement or as determined by the Board may include (without limitation) one or more of the following with respect to each outstanding Option or Award:</w:t>
      </w:r>
    </w:p>
    <w:p>
      <w:pPr>
        <w:spacing w:after="0" w:line="186"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the Option or Award by the Company (if the Company is the surviving corporation).</w:t>
      </w:r>
    </w:p>
    <w:p>
      <w:pPr>
        <w:spacing w:after="0" w:line="217" w:lineRule="exact"/>
        <w:rPr>
          <w:rFonts w:ascii="Times New Roman" w:cs="Times New Roman" w:eastAsia="Times New Roman" w:hAnsi="Times New Roman"/>
          <w:sz w:val="18"/>
          <w:szCs w:val="18"/>
          <w:color w:val="auto"/>
        </w:rPr>
      </w:pPr>
    </w:p>
    <w:p>
      <w:pPr>
        <w:ind w:right="200" w:firstLine="971"/>
        <w:spacing w:after="0" w:line="274" w:lineRule="auto"/>
        <w:tabs>
          <w:tab w:leader="none" w:pos="1223"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the Option by the surviving corporation or its parent in a manner that complies with Code Section 424(a) (whether or not the Option is an Incentive Stock Option).</w:t>
      </w:r>
    </w:p>
    <w:p>
      <w:pPr>
        <w:spacing w:after="0" w:line="163"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by the surviving corporation or its parent of a new option for the Option in a manner that complies with Code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424(a) (whether or not the Option is an Incentive Stock Option).</w:t>
      </w:r>
    </w:p>
    <w:p>
      <w:pPr>
        <w:spacing w:after="0" w:line="198" w:lineRule="exact"/>
        <w:rPr>
          <w:sz w:val="20"/>
          <w:szCs w:val="20"/>
          <w:color w:val="auto"/>
        </w:rPr>
      </w:pPr>
    </w:p>
    <w:p>
      <w:pPr>
        <w:ind w:right="20" w:firstLine="971"/>
        <w:spacing w:after="0" w:line="250" w:lineRule="auto"/>
        <w:tabs>
          <w:tab w:leader="none" w:pos="122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Option and a payment to the Participant with respect to each Share subject to the portion of the Option that is vested as of the transaction date equal to the excess of (A) the value, as determined by the Board in its absolute discretion, of the property (including cash) received by the holder of a share of Common Stock as a result of the transaction, over (B) the per-Share Exercise Price of the Option (such excess, the “Spread”). Such payment shall be made in the form of cash, cash equivalents, or securities of the surviving corporation or its parent having a value equal to the Spread. In addition, any escrow, holdback, earn-out or similar provisions in the transaction agreement may apply to such payment to the same extent and in the same manner as such provisions apply to the holders of Common Stock. If the Spread applicable to an Option is zero or a negative number, then the Option may be cancelled without making a payment to the Participant.</w:t>
      </w:r>
    </w:p>
    <w:p>
      <w:pPr>
        <w:spacing w:after="0" w:line="186" w:lineRule="exact"/>
        <w:rPr>
          <w:rFonts w:ascii="Times New Roman" w:cs="Times New Roman" w:eastAsia="Times New Roman" w:hAnsi="Times New Roman"/>
          <w:sz w:val="18"/>
          <w:szCs w:val="18"/>
          <w:color w:val="auto"/>
        </w:rPr>
      </w:pPr>
    </w:p>
    <w:p>
      <w:pPr>
        <w:ind w:right="40" w:firstLine="971"/>
        <w:spacing w:after="0" w:line="252" w:lineRule="auto"/>
        <w:tabs>
          <w:tab w:leader="none" w:pos="121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Option without the payment of any consideration; provided that the Participant shall be notified of such treatment and given an opportunity to exercise the Option (to the extent the Option is vested or becomes vested as of the effective date of the transaction) during a period of not less than five (5) business days preceding the effective date of the transaction, unless (A) a shorter period is required to permit a timely closing of the transaction and (B) such shorter period still offers the Participant a reasonable opportunity to exercise the Option. Any exercise of the Option during such period may be contingent upon the closing of the transaction.</w:t>
      </w:r>
    </w:p>
    <w:p>
      <w:pPr>
        <w:spacing w:after="0" w:line="185" w:lineRule="exact"/>
        <w:rPr>
          <w:rFonts w:ascii="Times New Roman" w:cs="Times New Roman" w:eastAsia="Times New Roman" w:hAnsi="Times New Roman"/>
          <w:sz w:val="18"/>
          <w:szCs w:val="18"/>
          <w:color w:val="auto"/>
        </w:rPr>
      </w:pPr>
    </w:p>
    <w:p>
      <w:pPr>
        <w:ind w:right="240" w:firstLine="971"/>
        <w:spacing w:after="0" w:line="274" w:lineRule="auto"/>
        <w:tabs>
          <w:tab w:leader="none" w:pos="119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the Participant’s right to exercise the Option during a limited period of time preceding the closing of the transaction if such suspension is administratively necessary to permit the closing of the transaction.</w:t>
      </w:r>
    </w:p>
    <w:p>
      <w:pPr>
        <w:spacing w:after="0" w:line="163" w:lineRule="exact"/>
        <w:rPr>
          <w:rFonts w:ascii="Times New Roman" w:cs="Times New Roman" w:eastAsia="Times New Roman" w:hAnsi="Times New Roman"/>
          <w:sz w:val="18"/>
          <w:szCs w:val="18"/>
          <w:color w:val="auto"/>
        </w:rPr>
      </w:pPr>
    </w:p>
    <w:p>
      <w:pPr>
        <w:ind w:right="440" w:firstLine="971"/>
        <w:spacing w:after="0" w:line="274" w:lineRule="auto"/>
        <w:tabs>
          <w:tab w:leader="none" w:pos="122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any right the Participant has to exercise the Option prior to vesting in the Shares subject to the Option (i.e., “early exercise”), such that following the closing of the transaction the Option may only be exercised to the extent it is vested.</w:t>
      </w:r>
    </w:p>
    <w:p>
      <w:pPr>
        <w:spacing w:after="0" w:line="163" w:lineRule="exact"/>
        <w:rPr>
          <w:sz w:val="20"/>
          <w:szCs w:val="20"/>
          <w:color w:val="auto"/>
        </w:rPr>
      </w:pPr>
    </w:p>
    <w:p>
      <w:pPr>
        <w:ind w:right="280" w:firstLine="973"/>
        <w:spacing w:after="0" w:line="274" w:lineRule="auto"/>
        <w:rPr>
          <w:sz w:val="20"/>
          <w:szCs w:val="20"/>
          <w:color w:val="auto"/>
        </w:rPr>
      </w:pPr>
      <w:r>
        <w:rPr>
          <w:rFonts w:ascii="Times New Roman" w:cs="Times New Roman" w:eastAsia="Times New Roman" w:hAnsi="Times New Roman"/>
          <w:sz w:val="18"/>
          <w:szCs w:val="18"/>
          <w:color w:val="auto"/>
        </w:rPr>
        <w:t>For the avoidance of doubt, the Board has discretion to accelerate, in whole or part, the vesting and exercisability of an Option or other Award in connection with a transaction covered by this Section 11.</w:t>
      </w:r>
    </w:p>
    <w:p>
      <w:pPr>
        <w:spacing w:after="0" w:line="163" w:lineRule="exact"/>
        <w:rPr>
          <w:sz w:val="20"/>
          <w:szCs w:val="20"/>
          <w:color w:val="auto"/>
        </w:rPr>
      </w:pPr>
    </w:p>
    <w:p>
      <w:pPr>
        <w:ind w:left="700" w:hanging="270"/>
        <w:spacing w:after="0"/>
        <w:tabs>
          <w:tab w:leader="none" w:pos="7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firstLine="971"/>
        <w:spacing w:after="0" w:line="255" w:lineRule="auto"/>
        <w:tabs>
          <w:tab w:leader="none" w:pos="1213"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0"/>
          </w:cols>
          <w:pgMar w:left="540" w:top="267" w:right="579" w:bottom="1440" w:gutter="0" w:footer="0" w:header="0"/>
        </w:sectPr>
      </w:pPr>
    </w:p>
    <w:bookmarkStart w:id="339" w:name="page340"/>
    <w:bookmarkEnd w:id="339"/>
    <w:p>
      <w:pPr>
        <w:ind w:left="2" w:right="60" w:firstLine="971"/>
        <w:spacing w:after="0" w:line="268" w:lineRule="auto"/>
        <w:tabs>
          <w:tab w:leader="none" w:pos="1225" w:val="left"/>
        </w:tabs>
        <w:numPr>
          <w:ilvl w:val="2"/>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Withholding Arrangements</w:t>
      </w:r>
      <w:r>
        <w:rPr>
          <w:rFonts w:ascii="Times New Roman" w:cs="Times New Roman" w:eastAsia="Times New Roman" w:hAnsi="Times New Roman"/>
          <w:sz w:val="17"/>
          <w:szCs w:val="17"/>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Shares having a Fair Market Value equal to the minimum statutory amount required to be withheld,</w:t>
      </w:r>
    </w:p>
    <w:p>
      <w:pPr>
        <w:ind w:left="2" w:hanging="2"/>
        <w:spacing w:after="0" w:line="246" w:lineRule="auto"/>
        <w:tabs>
          <w:tab w:leader="none" w:pos="31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91" w:lineRule="exact"/>
        <w:rPr>
          <w:rFonts w:ascii="Times New Roman" w:cs="Times New Roman" w:eastAsia="Times New Roman" w:hAnsi="Times New Roman"/>
          <w:sz w:val="18"/>
          <w:szCs w:val="18"/>
          <w:color w:val="auto"/>
        </w:rPr>
      </w:pPr>
    </w:p>
    <w:p>
      <w:pPr>
        <w:ind w:left="2" w:right="20" w:firstLine="971"/>
        <w:spacing w:after="0" w:line="249" w:lineRule="auto"/>
        <w:tabs>
          <w:tab w:leader="none" w:pos="1215"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90" w:lineRule="exact"/>
        <w:rPr>
          <w:rFonts w:ascii="Times New Roman" w:cs="Times New Roman" w:eastAsia="Times New Roman" w:hAnsi="Times New Roman"/>
          <w:sz w:val="18"/>
          <w:szCs w:val="18"/>
          <w:color w:val="auto"/>
        </w:rPr>
      </w:pPr>
    </w:p>
    <w:p>
      <w:pPr>
        <w:ind w:left="2" w:right="100" w:firstLine="430"/>
        <w:spacing w:after="0" w:line="259" w:lineRule="auto"/>
        <w:tabs>
          <w:tab w:leader="none" w:pos="69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7" w:lineRule="exact"/>
        <w:rPr>
          <w:rFonts w:ascii="Times New Roman" w:cs="Times New Roman" w:eastAsia="Times New Roman" w:hAnsi="Times New Roman"/>
          <w:sz w:val="18"/>
          <w:szCs w:val="18"/>
          <w:color w:val="auto"/>
        </w:rPr>
      </w:pPr>
    </w:p>
    <w:p>
      <w:pPr>
        <w:ind w:left="2" w:right="140" w:firstLine="430"/>
        <w:spacing w:after="0" w:line="259" w:lineRule="auto"/>
        <w:tabs>
          <w:tab w:leader="none" w:pos="69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7" w:lineRule="exact"/>
        <w:rPr>
          <w:rFonts w:ascii="Times New Roman" w:cs="Times New Roman" w:eastAsia="Times New Roman" w:hAnsi="Times New Roman"/>
          <w:sz w:val="18"/>
          <w:szCs w:val="18"/>
          <w:color w:val="auto"/>
        </w:rPr>
      </w:pPr>
    </w:p>
    <w:p>
      <w:pPr>
        <w:ind w:left="2" w:right="140" w:firstLine="430"/>
        <w:spacing w:after="0" w:line="274" w:lineRule="auto"/>
        <w:tabs>
          <w:tab w:leader="none" w:pos="69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19 of the Plan, the Plan will become effective upon its adoption by the Board. It will continue in effect for a term of ten (10) years from the date adopted by the Board, unless terminated earlier under Section 16 of the Plan.</w:t>
      </w:r>
    </w:p>
    <w:p>
      <w:pPr>
        <w:spacing w:after="0" w:line="163" w:lineRule="exact"/>
        <w:rPr>
          <w:rFonts w:ascii="Times New Roman" w:cs="Times New Roman" w:eastAsia="Times New Roman" w:hAnsi="Times New Roman"/>
          <w:sz w:val="18"/>
          <w:szCs w:val="18"/>
          <w:color w:val="auto"/>
        </w:rPr>
      </w:pPr>
    </w:p>
    <w:p>
      <w:pPr>
        <w:ind w:left="702" w:hanging="270"/>
        <w:spacing w:after="0"/>
        <w:tabs>
          <w:tab w:leader="none" w:pos="702"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left="2" w:right="280" w:firstLine="971"/>
        <w:spacing w:after="0" w:line="274" w:lineRule="auto"/>
        <w:tabs>
          <w:tab w:leader="none" w:pos="1215"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or suspend the Plan. The Company may at any time terminate the Plan.</w:t>
      </w:r>
    </w:p>
    <w:p>
      <w:pPr>
        <w:spacing w:after="0" w:line="163" w:lineRule="exact"/>
        <w:rPr>
          <w:rFonts w:ascii="Times New Roman" w:cs="Times New Roman" w:eastAsia="Times New Roman" w:hAnsi="Times New Roman"/>
          <w:sz w:val="18"/>
          <w:szCs w:val="18"/>
          <w:color w:val="auto"/>
        </w:rPr>
      </w:pPr>
    </w:p>
    <w:p>
      <w:pPr>
        <w:ind w:left="2" w:right="40" w:firstLine="971"/>
        <w:spacing w:after="0" w:line="274" w:lineRule="auto"/>
        <w:tabs>
          <w:tab w:leader="none" w:pos="1225"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3" w:lineRule="exact"/>
        <w:rPr>
          <w:rFonts w:ascii="Times New Roman" w:cs="Times New Roman" w:eastAsia="Times New Roman" w:hAnsi="Times New Roman"/>
          <w:sz w:val="18"/>
          <w:szCs w:val="18"/>
          <w:color w:val="auto"/>
        </w:rPr>
      </w:pPr>
    </w:p>
    <w:p>
      <w:pPr>
        <w:ind w:left="2" w:firstLine="971"/>
        <w:spacing w:after="0" w:line="255" w:lineRule="auto"/>
        <w:tabs>
          <w:tab w:leader="none" w:pos="1215"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of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1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2"/>
          </w:cols>
          <w:pgMar w:left="538" w:top="267" w:right="579" w:bottom="1440" w:gutter="0" w:footer="0" w:header="0"/>
        </w:sectPr>
      </w:pPr>
    </w:p>
    <w:bookmarkStart w:id="340" w:name="page341"/>
    <w:bookmarkEnd w:id="340"/>
    <w:p>
      <w:pPr>
        <w:ind w:left="700" w:hanging="270"/>
        <w:spacing w:after="0"/>
        <w:tabs>
          <w:tab w:leader="none" w:pos="7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Conditions Upon Issuance of Shares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right="180" w:firstLine="971"/>
        <w:spacing w:after="0" w:line="259" w:lineRule="auto"/>
        <w:tabs>
          <w:tab w:leader="none" w:pos="1213"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7" w:lineRule="exact"/>
        <w:rPr>
          <w:rFonts w:ascii="Times New Roman" w:cs="Times New Roman" w:eastAsia="Times New Roman" w:hAnsi="Times New Roman"/>
          <w:sz w:val="18"/>
          <w:szCs w:val="18"/>
          <w:color w:val="auto"/>
        </w:rPr>
      </w:pPr>
    </w:p>
    <w:p>
      <w:pPr>
        <w:ind w:firstLine="971"/>
        <w:spacing w:after="0" w:line="259" w:lineRule="auto"/>
        <w:tabs>
          <w:tab w:leader="none" w:pos="1223"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7" w:lineRule="exact"/>
        <w:rPr>
          <w:rFonts w:ascii="Times New Roman" w:cs="Times New Roman" w:eastAsia="Times New Roman" w:hAnsi="Times New Roman"/>
          <w:sz w:val="18"/>
          <w:szCs w:val="18"/>
          <w:color w:val="auto"/>
        </w:rPr>
      </w:pPr>
    </w:p>
    <w:p>
      <w:pPr>
        <w:ind w:right="40" w:firstLine="430"/>
        <w:spacing w:after="0" w:line="251" w:lineRule="auto"/>
        <w:tabs>
          <w:tab w:leader="none" w:pos="69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5" w:lineRule="exact"/>
        <w:rPr>
          <w:rFonts w:ascii="Times New Roman" w:cs="Times New Roman" w:eastAsia="Times New Roman" w:hAnsi="Times New Roman"/>
          <w:sz w:val="18"/>
          <w:szCs w:val="18"/>
          <w:color w:val="auto"/>
        </w:rPr>
      </w:pPr>
    </w:p>
    <w:p>
      <w:pPr>
        <w:ind w:right="160" w:firstLine="430"/>
        <w:spacing w:after="0" w:line="274" w:lineRule="auto"/>
        <w:tabs>
          <w:tab w:leader="none" w:pos="69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3" w:lineRule="exact"/>
        <w:rPr>
          <w:rFonts w:ascii="Times New Roman" w:cs="Times New Roman" w:eastAsia="Times New Roman" w:hAnsi="Times New Roman"/>
          <w:sz w:val="18"/>
          <w:szCs w:val="18"/>
          <w:color w:val="auto"/>
        </w:rPr>
      </w:pPr>
    </w:p>
    <w:p>
      <w:pPr>
        <w:ind w:firstLine="430"/>
        <w:spacing w:after="0" w:line="248" w:lineRule="auto"/>
        <w:tabs>
          <w:tab w:leader="none" w:pos="69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to Participants</w:t>
      </w:r>
      <w:r>
        <w:rPr>
          <w:rFonts w:ascii="Times New Roman" w:cs="Times New Roman" w:eastAsia="Times New Roman" w:hAnsi="Times New Roman"/>
          <w:sz w:val="18"/>
          <w:szCs w:val="18"/>
          <w:color w:val="auto"/>
        </w:rPr>
        <w:t>. If and as required (i) pursuant to Rule 701 of the Securities Act, if the Company is relying on the exemption from registration provided pursuant to Rule 701 of the Securities Act with respect to the applicable Award, and/or (ii) pursuant to Rule 12h-1(f) of the Exchange Act, to the extent the Company is relying on the Rule 12h-(1)(f) Exemption, then during the period of reliance on the applicable exemption and in each case of (i) and (ii) until such time as the Company becomes subject to the reporting requirements of Section 13 or 15(d) of the Exchange Act,, the Company shall provide to each Participant the information described in paragraphs (e)(3), (4), and (5) of Rule 701 under the Securities Act not less frequently than every six (6) 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(if the Company is relying on the Rule 12h-1(f) Exemption) or Rule 701 of the Securities Act (if the Company is relying on the exemption pursuant to Rule 701 of the Securities Act).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0"/>
          </w:cols>
          <w:pgMar w:left="540" w:top="267" w:right="559" w:bottom="1440" w:gutter="0" w:footer="0" w:header="0"/>
        </w:sectPr>
      </w:pPr>
    </w:p>
    <w:bookmarkStart w:id="341" w:name="page342"/>
    <w:bookmarkEnd w:id="341"/>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CG ONCOLOGY, INC. 2015 EQUITY INCENTIVE PLAN:</w:t>
      </w:r>
    </w:p>
    <w:p>
      <w:pPr>
        <w:spacing w:after="0" w:line="11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FORM OF STOCK GRANT</w:t>
      </w:r>
    </w:p>
    <w:p>
      <w:pPr>
        <w:spacing w:after="0" w:line="246" w:lineRule="exact"/>
        <w:rPr>
          <w:sz w:val="20"/>
          <w:szCs w:val="20"/>
          <w:color w:val="auto"/>
        </w:rPr>
      </w:pPr>
    </w:p>
    <w:p>
      <w:pPr>
        <w:ind w:left="562" w:right="3000" w:hanging="562"/>
        <w:spacing w:after="0" w:line="368" w:lineRule="auto"/>
        <w:tabs>
          <w:tab w:leader="none" w:pos="18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Purchaser is acquiring shares of the Common Stock of CG Oncology, Inc. on the following terms: Name of Purchaser:</w:t>
      </w:r>
    </w:p>
    <w:p>
      <w:pPr>
        <w:spacing w:after="0" w:line="1" w:lineRule="exact"/>
        <w:rPr>
          <w:rFonts w:ascii="Times New Roman" w:cs="Times New Roman" w:eastAsia="Times New Roman" w:hAnsi="Times New Roman"/>
          <w:sz w:val="18"/>
          <w:szCs w:val="18"/>
          <w:color w:val="auto"/>
        </w:rPr>
      </w:pPr>
    </w:p>
    <w:p>
      <w:pPr>
        <w:ind w:left="562" w:right="7740"/>
        <w:spacing w:after="0" w:line="3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Total Number of Purchased Shares: Purchase Price per Share: $</w:t>
      </w:r>
    </w:p>
    <w:p>
      <w:pPr>
        <w:ind w:left="5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Offer:</w:t>
      </w:r>
    </w:p>
    <w:p>
      <w:pPr>
        <w:spacing w:after="0" w:line="111"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8"/>
          <w:szCs w:val="18"/>
          <w:color w:val="auto"/>
        </w:rPr>
        <w:t>Date of Purchase:</w:t>
      </w:r>
    </w:p>
    <w:p>
      <w:pPr>
        <w:spacing w:after="0" w:line="111"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8"/>
          <w:szCs w:val="18"/>
          <w:color w:val="auto"/>
        </w:rPr>
        <w:t>Vesting Commencement Date:</w:t>
      </w:r>
    </w:p>
    <w:p>
      <w:pPr>
        <w:sectPr>
          <w:pgSz w:w="11900" w:h="16838" w:orient="portrait"/>
          <w:cols w:equalWidth="0" w:num="1">
            <w:col w:w="10802"/>
          </w:cols>
          <w:pgMar w:left="538" w:top="264" w:right="559" w:bottom="1440" w:gutter="0" w:footer="0" w:header="0"/>
        </w:sectPr>
      </w:pPr>
    </w:p>
    <w:p>
      <w:pPr>
        <w:spacing w:after="0" w:line="111"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The Right of Repurchase shall lapse with respect to the first ____% of the Purchased Shares when the Purchaser completes ___ months of continuous Service beginning with the Vesting Commencement Date set forth above. The Right of Repurchase shall lapse with respect to an additional ___% of the Purchased Shares when the Purchaser completes each month of continuous Service thereafter.</w:t>
      </w:r>
    </w:p>
    <w:p>
      <w:pPr>
        <w:spacing w:after="0" w:line="183" w:lineRule="exact"/>
        <w:rPr>
          <w:sz w:val="20"/>
          <w:szCs w:val="20"/>
          <w:color w:val="auto"/>
        </w:rPr>
      </w:pPr>
    </w:p>
    <w:p>
      <w:pPr>
        <w:sectPr>
          <w:pgSz w:w="11900" w:h="16838" w:orient="portrait"/>
          <w:cols w:equalWidth="0" w:num="2">
            <w:col w:w="2962" w:space="720"/>
            <w:col w:w="7120"/>
          </w:cols>
          <w:pgMar w:left="538" w:top="264" w:right="559" w:bottom="1440" w:gutter="0" w:footer="0" w:header="0"/>
          <w:type w:val="continuous"/>
        </w:sectPr>
      </w:pPr>
    </w:p>
    <w:p>
      <w:pPr>
        <w:ind w:left="2" w:right="180"/>
        <w:spacing w:after="0" w:line="276" w:lineRule="auto"/>
        <w:rPr>
          <w:sz w:val="20"/>
          <w:szCs w:val="20"/>
          <w:color w:val="auto"/>
        </w:rPr>
      </w:pPr>
      <w:r>
        <w:rPr>
          <w:rFonts w:ascii="Times New Roman" w:cs="Times New Roman" w:eastAsia="Times New Roman" w:hAnsi="Times New Roman"/>
          <w:sz w:val="18"/>
          <w:szCs w:val="18"/>
          <w:b w:val="1"/>
          <w:bCs w:val="1"/>
          <w:color w:val="auto"/>
        </w:rPr>
        <w:t>The Purchase Price must be paid on or before the Date of Purchase set forth above. If the Purchaser fails to make payment before the Date of Purchase, this offer automatically terminates.</w:t>
      </w:r>
    </w:p>
    <w:p>
      <w:pPr>
        <w:spacing w:after="0" w:line="162" w:lineRule="exact"/>
        <w:rPr>
          <w:sz w:val="20"/>
          <w:szCs w:val="20"/>
          <w:color w:val="auto"/>
        </w:rPr>
      </w:pPr>
    </w:p>
    <w:p>
      <w:pPr>
        <w:ind w:left="2" w:right="20"/>
        <w:spacing w:after="0" w:line="249" w:lineRule="auto"/>
        <w:rPr>
          <w:sz w:val="20"/>
          <w:szCs w:val="20"/>
          <w:color w:val="auto"/>
        </w:rPr>
      </w:pPr>
      <w:r>
        <w:rPr>
          <w:rFonts w:ascii="Times New Roman" w:cs="Times New Roman" w:eastAsia="Times New Roman" w:hAnsi="Times New Roman"/>
          <w:sz w:val="18"/>
          <w:szCs w:val="18"/>
          <w:color w:val="auto"/>
        </w:rPr>
        <w:t>By signing below, the Purchaser and the Company agree that the acquisition of the Purchased Shares is governed by the terms and conditions of the 2015 Equity Incentive Plan and the Restricted Stock Purchase Agreement. Both of these documents are attached to, and made a part of, this Summary of Stock Purchase. The Purchaser agrees to accept by email all documents relating to the Company, the Plan or this purchase and all other documents that the Company is required to deliver to its security holders (including, without limitation, disclosures that may be required by the Securities and Exchange Commission). The Purchaser also agrees that the Company may deliver these documents by posting them on a website maintained by the Company or by a third party under contract with the Company. If the Company posts these documents on a website, it shall notify the Purchaser by email of their availability. The Purchaser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the Purchaser gives the Company written notice that it should deliver paper documents.</w:t>
      </w:r>
    </w:p>
    <w:p>
      <w:pPr>
        <w:spacing w:after="0" w:line="214" w:lineRule="exact"/>
        <w:rPr>
          <w:sz w:val="20"/>
          <w:szCs w:val="20"/>
          <w:color w:val="auto"/>
        </w:rPr>
      </w:pPr>
    </w:p>
    <w:tbl>
      <w:tblPr>
        <w:tblLayout w:type="fixed"/>
        <w:tblInd w:w="2" w:type="dxa"/>
        <w:tblCellMar>
          <w:top w:w="0" w:type="dxa"/>
          <w:left w:w="0" w:type="dxa"/>
          <w:bottom w:w="0" w:type="dxa"/>
          <w:right w:w="0" w:type="dxa"/>
        </w:tblCellMar>
      </w:tblPr>
      <w:tr>
        <w:trPr>
          <w:trHeight w:val="231"/>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PURCHASER:</w:t>
            </w: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CG ONCOLOGY, INC.</w:t>
            </w:r>
          </w:p>
        </w:tc>
      </w:tr>
      <w:tr>
        <w:trPr>
          <w:trHeight w:val="423"/>
        </w:trPr>
        <w:tc>
          <w:tcPr>
            <w:tcW w:w="476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w:t>
            </w:r>
          </w:p>
        </w:tc>
      </w:tr>
      <w:tr>
        <w:trPr>
          <w:trHeight w:val="187"/>
        </w:trPr>
        <w:tc>
          <w:tcPr>
            <w:tcW w:w="4760" w:type="dxa"/>
            <w:vAlign w:val="bottom"/>
            <w:tcBorders>
              <w:top w:val="single" w:sz="8" w:color="auto"/>
            </w:tcBorders>
          </w:tcPr>
          <w:p>
            <w:pPr>
              <w:spacing w:after="0"/>
              <w:rPr>
                <w:sz w:val="16"/>
                <w:szCs w:val="16"/>
                <w:color w:val="auto"/>
              </w:rPr>
            </w:pPr>
          </w:p>
        </w:tc>
        <w:tc>
          <w:tcPr>
            <w:tcW w:w="1180" w:type="dxa"/>
            <w:vAlign w:val="bottom"/>
          </w:tcPr>
          <w:p>
            <w:pPr>
              <w:ind w:left="660"/>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Borders>
              <w:top w:val="single" w:sz="8" w:color="auto"/>
            </w:tcBorders>
          </w:tcPr>
          <w:p>
            <w:pPr>
              <w:spacing w:after="0"/>
              <w:rPr>
                <w:sz w:val="16"/>
                <w:szCs w:val="16"/>
                <w:color w:val="auto"/>
              </w:rPr>
            </w:pPr>
          </w:p>
        </w:tc>
      </w:tr>
      <w:tr>
        <w:trPr>
          <w:trHeight w:val="231"/>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Address for Mailing Stock Certificate:</w:t>
            </w: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Title:</w:t>
            </w:r>
          </w:p>
        </w:tc>
      </w:tr>
      <w:tr>
        <w:trPr>
          <w:trHeight w:val="211"/>
        </w:trPr>
        <w:tc>
          <w:tcPr>
            <w:tcW w:w="476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05"/>
        </w:trPr>
        <w:tc>
          <w:tcPr>
            <w:tcW w:w="476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205"/>
        </w:trPr>
        <w:tc>
          <w:tcPr>
            <w:tcW w:w="476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4860" w:type="dxa"/>
            <w:vAlign w:val="bottom"/>
          </w:tcPr>
          <w:p>
            <w:pPr>
              <w:spacing w:after="0"/>
              <w:rPr>
                <w:sz w:val="17"/>
                <w:szCs w:val="17"/>
                <w:color w:val="auto"/>
              </w:rPr>
            </w:pPr>
          </w:p>
        </w:tc>
      </w:tr>
    </w:tbl>
    <w:p>
      <w:pPr>
        <w:spacing w:after="0" w:line="1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Summary of Stock Purchase, page 1</w:t>
      </w:r>
    </w:p>
    <w:p>
      <w:pPr>
        <w:sectPr>
          <w:pgSz w:w="11900" w:h="16838" w:orient="portrait"/>
          <w:cols w:equalWidth="0" w:num="1">
            <w:col w:w="10802"/>
          </w:cols>
          <w:pgMar w:left="538" w:top="264" w:right="559" w:bottom="1440" w:gutter="0" w:footer="0" w:header="0"/>
          <w:type w:val="continuous"/>
        </w:sectPr>
      </w:pPr>
    </w:p>
    <w:bookmarkStart w:id="342" w:name="page343"/>
    <w:bookmarkEnd w:id="34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CG ONCOLOGY, INC. 2015 EQUITY INCENTIVE PLAN: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RESTRICTED STOCK PURCHASE AGREEMENT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ACQUISITION OF SHARES.</w:t>
      </w:r>
    </w:p>
    <w:p>
      <w:pPr>
        <w:spacing w:after="0" w:line="111" w:lineRule="exact"/>
        <w:rPr>
          <w:sz w:val="20"/>
          <w:szCs w:val="20"/>
          <w:color w:val="auto"/>
        </w:rPr>
      </w:pPr>
    </w:p>
    <w:p>
      <w:pPr>
        <w:ind w:left="440" w:right="40"/>
        <w:spacing w:after="0" w:line="259" w:lineRule="auto"/>
        <w:rPr>
          <w:sz w:val="20"/>
          <w:szCs w:val="20"/>
          <w:color w:val="auto"/>
        </w:rPr>
      </w:pPr>
      <w:r>
        <w:rPr>
          <w:rFonts w:ascii="Times New Roman" w:cs="Times New Roman" w:eastAsia="Times New Roman" w:hAnsi="Times New Roman"/>
          <w:sz w:val="18"/>
          <w:szCs w:val="18"/>
          <w:color w:val="auto"/>
        </w:rPr>
        <w:t>(a)  Issuance. On the terms and conditions set forth in the Summary of Stock Purchase and this Agreement, the Company agrees to issue to the Purchaser the number of Shares set forth in the Summary of Stock Purchase. The issuance shall occur at the offices of the Company on the date of purchase set forth in the Summary of Stock Purchase or at such other place and time as the parties may agree.</w:t>
      </w:r>
    </w:p>
    <w:p>
      <w:pPr>
        <w:spacing w:after="0" w:line="72" w:lineRule="exact"/>
        <w:rPr>
          <w:sz w:val="20"/>
          <w:szCs w:val="20"/>
          <w:color w:val="auto"/>
        </w:rPr>
      </w:pPr>
    </w:p>
    <w:p>
      <w:pPr>
        <w:ind w:left="440" w:right="260"/>
        <w:spacing w:after="0" w:line="259" w:lineRule="auto"/>
        <w:rPr>
          <w:sz w:val="20"/>
          <w:szCs w:val="20"/>
          <w:color w:val="auto"/>
        </w:rPr>
      </w:pPr>
      <w:r>
        <w:rPr>
          <w:rFonts w:ascii="Times New Roman" w:cs="Times New Roman" w:eastAsia="Times New Roman" w:hAnsi="Times New Roman"/>
          <w:sz w:val="18"/>
          <w:szCs w:val="18"/>
          <w:color w:val="auto"/>
        </w:rPr>
        <w:t>(b)  Consideration. The Purchaser agrees to pay the Purchase Price set forth in the Summary of Stock Purchase for each Purchased Share. The Purchase Price is agreed to be not less than 100% of the Fair Market Value of the Purchased Shares. Payment shall be made in cash or cash equivalents on the date of purchase set forth in the Summary of Stock Purchase.</w:t>
      </w:r>
    </w:p>
    <w:p>
      <w:pPr>
        <w:spacing w:after="0" w:line="72" w:lineRule="exact"/>
        <w:rPr>
          <w:sz w:val="20"/>
          <w:szCs w:val="20"/>
          <w:color w:val="auto"/>
        </w:rPr>
      </w:pPr>
    </w:p>
    <w:p>
      <w:pPr>
        <w:ind w:left="440" w:right="40"/>
        <w:spacing w:after="0" w:line="259" w:lineRule="auto"/>
        <w:rPr>
          <w:sz w:val="20"/>
          <w:szCs w:val="20"/>
          <w:color w:val="auto"/>
        </w:rPr>
      </w:pPr>
      <w:r>
        <w:rPr>
          <w:rFonts w:ascii="Times New Roman" w:cs="Times New Roman" w:eastAsia="Times New Roman" w:hAnsi="Times New Roman"/>
          <w:sz w:val="18"/>
          <w:szCs w:val="18"/>
          <w:color w:val="auto"/>
        </w:rPr>
        <w:t>(c)  Stock Plan and Defined Terms. The transfer of the Purchased Shares is subject to the Plan, a copy of which the Purchaser acknowledges having received. The provisions of the Plan are incorporated into this Agreement by this reference. Except as otherwise defined in this Agreement (including without limitation Section 11 hereof), capitalized terms shall have the meaning ascribed to such terms in the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RIGHT OF REPURCHASE.</w:t>
      </w:r>
    </w:p>
    <w:p>
      <w:pPr>
        <w:spacing w:after="0" w:line="111" w:lineRule="exact"/>
        <w:rPr>
          <w:sz w:val="20"/>
          <w:szCs w:val="20"/>
          <w:color w:val="auto"/>
        </w:rPr>
      </w:pPr>
    </w:p>
    <w:p>
      <w:pPr>
        <w:ind w:left="440" w:right="20"/>
        <w:spacing w:after="0" w:line="250" w:lineRule="auto"/>
        <w:rPr>
          <w:sz w:val="20"/>
          <w:szCs w:val="20"/>
          <w:color w:val="auto"/>
        </w:rPr>
      </w:pPr>
      <w:r>
        <w:rPr>
          <w:rFonts w:ascii="Times New Roman" w:cs="Times New Roman" w:eastAsia="Times New Roman" w:hAnsi="Times New Roman"/>
          <w:sz w:val="18"/>
          <w:szCs w:val="18"/>
          <w:color w:val="auto"/>
        </w:rPr>
        <w:t>(a)  Scope of Repurchase Right. Until they vest in accordance with the Summary of Stock Purchase and Subsection (b) below, the Purchased Shares 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Purchaser’s Service, but the Right of Repurchase may be exercised automatically under Subsection (d) below. If the Right of Repurchase is exercised, the Company shall pay the Purchaser an amount equal to the lower of (i) the Purchase Price of each Restricted Share being repurchased or (ii) the Fair Market Value of such Restricted Share at the time the Right of Repurchase is exercised.</w:t>
      </w:r>
    </w:p>
    <w:p>
      <w:pPr>
        <w:spacing w:after="0" w:line="81" w:lineRule="exact"/>
        <w:rPr>
          <w:sz w:val="20"/>
          <w:szCs w:val="20"/>
          <w:color w:val="auto"/>
        </w:rPr>
      </w:pPr>
    </w:p>
    <w:p>
      <w:pPr>
        <w:ind w:left="440" w:right="620"/>
        <w:spacing w:after="0" w:line="274" w:lineRule="auto"/>
        <w:rPr>
          <w:sz w:val="20"/>
          <w:szCs w:val="20"/>
          <w:color w:val="auto"/>
        </w:rPr>
      </w:pPr>
      <w:r>
        <w:rPr>
          <w:rFonts w:ascii="Times New Roman" w:cs="Times New Roman" w:eastAsia="Times New Roman" w:hAnsi="Times New Roman"/>
          <w:sz w:val="18"/>
          <w:szCs w:val="18"/>
          <w:color w:val="auto"/>
        </w:rPr>
        <w:t>(b)  Lapse of Repurchase Right. The Right of Repurchase shall lapse with respect to the Restricted Shares in accordance with the vesting schedule set forth in the Summary of Stock Purchase.</w:t>
      </w:r>
    </w:p>
    <w:p>
      <w:pPr>
        <w:spacing w:after="0" w:line="57" w:lineRule="exact"/>
        <w:rPr>
          <w:sz w:val="20"/>
          <w:szCs w:val="20"/>
          <w:color w:val="auto"/>
        </w:rPr>
      </w:pPr>
    </w:p>
    <w:p>
      <w:pPr>
        <w:ind w:left="440" w:right="40"/>
        <w:spacing w:after="0" w:line="265" w:lineRule="auto"/>
        <w:rPr>
          <w:sz w:val="20"/>
          <w:szCs w:val="20"/>
          <w:color w:val="auto"/>
        </w:rPr>
      </w:pPr>
      <w:r>
        <w:rPr>
          <w:rFonts w:ascii="Times New Roman" w:cs="Times New Roman" w:eastAsia="Times New Roman" w:hAnsi="Times New Roman"/>
          <w:sz w:val="17"/>
          <w:szCs w:val="17"/>
          <w:color w:val="auto"/>
        </w:rPr>
        <w:t>(c)  Escrow. Upon issuance, the certificate(s) for Restricted Shares shall be deposited in escrow with the Company to be held in accordance 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Purchaser and shall not be held in escrow. Restricted Shares, together with any other assets held in escrow under this Agreement, shall be (i) surrendered to the Company for repurchase upon exercise of the Right of Repurchase or the Right of First Refusal or</w:t>
      </w:r>
    </w:p>
    <w:p>
      <w:pPr>
        <w:ind w:left="440" w:hanging="10"/>
        <w:spacing w:after="0" w:line="247" w:lineRule="auto"/>
        <w:tabs>
          <w:tab w:leader="none" w:pos="7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to the Purchaser upon his or her request to the extent that the Shares have ceased to be Restricted Shares (but not more frequently than once every six months). In any event, all Purchased Shares that have ceased to be Restricted Shares, together with any other vested assets held in escrow under this Agreement, shall be released within 90 days after the earlier of (i) the termination of the Purchaser’s Service or (ii) the lapse of the Right of First Refusal.</w:t>
      </w:r>
    </w:p>
    <w:p>
      <w:pPr>
        <w:spacing w:after="0" w:line="83" w:lineRule="exact"/>
        <w:rPr>
          <w:sz w:val="20"/>
          <w:szCs w:val="20"/>
          <w:color w:val="auto"/>
        </w:rPr>
      </w:pPr>
    </w:p>
    <w:p>
      <w:pPr>
        <w:ind w:left="440" w:right="80"/>
        <w:spacing w:after="0" w:line="255" w:lineRule="auto"/>
        <w:rPr>
          <w:sz w:val="20"/>
          <w:szCs w:val="20"/>
          <w:color w:val="auto"/>
        </w:rPr>
      </w:pPr>
      <w:r>
        <w:rPr>
          <w:rFonts w:ascii="Times New Roman" w:cs="Times New Roman" w:eastAsia="Times New Roman" w:hAnsi="Times New Roman"/>
          <w:sz w:val="18"/>
          <w:szCs w:val="18"/>
          <w:color w:val="auto"/>
        </w:rPr>
        <w:t>(d)  Exercise of Repurchase Right. The Company shall be deemed to have exercised its Right of Repurchase automatically for all Restricted Shares as of the commencement of the Repurchase Period, unless the Company during the Repurchase Period notifies the holder of the Restricted Shares pursuant to Section 9 that it will not exercise its Right of Repurchase for some or all of the Restricted Shares. The Company shall pay to the holder of</w:t>
      </w:r>
    </w:p>
    <w:p>
      <w:pPr>
        <w:sectPr>
          <w:pgSz w:w="11900" w:h="16838" w:orient="portrait"/>
          <w:cols w:equalWidth="0" w:num="1">
            <w:col w:w="10800"/>
          </w:cols>
          <w:pgMar w:left="540" w:top="267" w:right="559" w:bottom="1440" w:gutter="0" w:footer="0" w:header="0"/>
        </w:sectPr>
      </w:pPr>
    </w:p>
    <w:bookmarkStart w:id="343" w:name="page344"/>
    <w:bookmarkEnd w:id="343"/>
    <w:p>
      <w:pPr>
        <w:jc w:val="both"/>
        <w:ind w:left="10" w:right="2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Restricted Shares the purchase price determined under Subsection (a) above for the Restricted Shares being repurchased. Payment shall be made in cash or cash equivalents and/or by canceling indebtedness to the Company incurred by the Purchaser in the purchase of the Restricted Shares. The certificate(s) representing the Restricted Shares being repurchased shall be delivered to the Company.</w:t>
      </w:r>
    </w:p>
    <w:p>
      <w:pPr>
        <w:spacing w:after="0" w:line="72" w:lineRule="exact"/>
        <w:rPr>
          <w:sz w:val="20"/>
          <w:szCs w:val="20"/>
          <w:color w:val="auto"/>
        </w:rPr>
      </w:pPr>
    </w:p>
    <w:p>
      <w:pPr>
        <w:ind w:left="10"/>
        <w:spacing w:after="0" w:line="252" w:lineRule="auto"/>
        <w:rPr>
          <w:sz w:val="20"/>
          <w:szCs w:val="20"/>
          <w:color w:val="auto"/>
        </w:rPr>
      </w:pPr>
      <w:r>
        <w:rPr>
          <w:rFonts w:ascii="Times New Roman" w:cs="Times New Roman" w:eastAsia="Times New Roman" w:hAnsi="Times New Roman"/>
          <w:sz w:val="18"/>
          <w:szCs w:val="18"/>
          <w:color w:val="auto"/>
        </w:rPr>
        <w:t>(e)  Termination of Rights as Stockholder. If the Right of Repurchase is exercised in accordance with this Section 2 and the Company 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2, whether or not the certificate(s) for such Restricted Shares have been delivered to the Company or the consideration for such Restricted Shares has been accepted.</w:t>
      </w:r>
    </w:p>
    <w:p>
      <w:pPr>
        <w:spacing w:after="0" w:line="79" w:lineRule="exact"/>
        <w:rPr>
          <w:sz w:val="20"/>
          <w:szCs w:val="20"/>
          <w:color w:val="auto"/>
        </w:rPr>
      </w:pPr>
    </w:p>
    <w:p>
      <w:pPr>
        <w:ind w:left="10" w:right="20"/>
        <w:spacing w:after="0" w:line="248" w:lineRule="auto"/>
        <w:rPr>
          <w:sz w:val="20"/>
          <w:szCs w:val="20"/>
          <w:color w:val="auto"/>
        </w:rPr>
      </w:pPr>
      <w:r>
        <w:rPr>
          <w:rFonts w:ascii="Times New Roman" w:cs="Times New Roman" w:eastAsia="Times New Roman" w:hAnsi="Times New Roman"/>
          <w:sz w:val="18"/>
          <w:szCs w:val="18"/>
          <w:color w:val="auto"/>
        </w:rPr>
        <w:t>(f)  Additional or Exchanged Securities and Property. In the event of a merger or consolidation of the Company, a sale of all or substantially all of the Company’s stock or assets, any other corporate reorganization, the declaration of a stock dividend, the declaration of an extraordinary dividend payable in a form other than stock, a spin off, a stock split,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or into which such Restricted Shares thereby become convertible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any transaction described in Section 11 of the Plan or any other corporate reorganization, the Right of Repurchase may be exercised by the Company’s successor.</w:t>
      </w:r>
    </w:p>
    <w:p>
      <w:pPr>
        <w:spacing w:after="0" w:line="87" w:lineRule="exact"/>
        <w:rPr>
          <w:sz w:val="20"/>
          <w:szCs w:val="20"/>
          <w:color w:val="auto"/>
        </w:rPr>
      </w:pPr>
    </w:p>
    <w:p>
      <w:pPr>
        <w:ind w:left="10" w:right="60"/>
        <w:spacing w:after="0" w:line="251" w:lineRule="auto"/>
        <w:rPr>
          <w:sz w:val="20"/>
          <w:szCs w:val="20"/>
          <w:color w:val="auto"/>
        </w:rPr>
      </w:pPr>
      <w:r>
        <w:rPr>
          <w:rFonts w:ascii="Times New Roman" w:cs="Times New Roman" w:eastAsia="Times New Roman" w:hAnsi="Times New Roman"/>
          <w:sz w:val="18"/>
          <w:szCs w:val="18"/>
          <w:color w:val="auto"/>
        </w:rPr>
        <w:t>(g)  Transfer of Restricted Shares. The Purchaser shall not transfer, assign, encumber or otherwise dispose of any Restricted Shares without the Company’s written consent, except as provided in the following sentence. The Purchaser may transfer Restricted Shares to one or more members of the Purchaser’s Immediate Family or to a trust established by the Purchaser for the benefit of the Purchaser and/or one or more members of the Purchaser’s Immediate Family, provided in either case that the Transferee agrees in writing on a form prescribed by the Company to be bound by all provisions of this Agreement. If the Purchaser transfers any Restricted Shares, then this Agreement shall apply to the Transferee to the same extent as to the Purchaser.</w:t>
      </w:r>
    </w:p>
    <w:p>
      <w:pPr>
        <w:spacing w:after="0" w:line="79" w:lineRule="exact"/>
        <w:rPr>
          <w:sz w:val="20"/>
          <w:szCs w:val="20"/>
          <w:color w:val="auto"/>
        </w:rPr>
      </w:pPr>
    </w:p>
    <w:p>
      <w:pPr>
        <w:ind w:left="10" w:right="100"/>
        <w:spacing w:after="0" w:line="259" w:lineRule="auto"/>
        <w:rPr>
          <w:sz w:val="20"/>
          <w:szCs w:val="20"/>
          <w:color w:val="auto"/>
        </w:rPr>
      </w:pPr>
      <w:r>
        <w:rPr>
          <w:rFonts w:ascii="Times New Roman" w:cs="Times New Roman" w:eastAsia="Times New Roman" w:hAnsi="Times New Roman"/>
          <w:sz w:val="18"/>
          <w:szCs w:val="18"/>
          <w:color w:val="auto"/>
        </w:rPr>
        <w:t>(h)  Assignment of Repurchase Right. The Board of Directors may freely assign the Company’s Right of Repurchase, in whole or in part. Any person who accepts an assignment of the Right of Repurchase from the Company shall assume all of the Company’s rights and obligations under this Section 2.</w:t>
      </w:r>
    </w:p>
    <w:p>
      <w:pPr>
        <w:spacing w:after="0" w:line="72" w:lineRule="exact"/>
        <w:rPr>
          <w:sz w:val="20"/>
          <w:szCs w:val="20"/>
          <w:color w:val="auto"/>
        </w:rPr>
      </w:pPr>
    </w:p>
    <w:p>
      <w:pPr>
        <w:ind w:left="10" w:right="20"/>
        <w:spacing w:after="0" w:line="266" w:lineRule="auto"/>
        <w:rPr>
          <w:sz w:val="20"/>
          <w:szCs w:val="20"/>
          <w:color w:val="auto"/>
        </w:rPr>
      </w:pPr>
      <w:r>
        <w:rPr>
          <w:rFonts w:ascii="Times New Roman" w:cs="Times New Roman" w:eastAsia="Times New Roman" w:hAnsi="Times New Roman"/>
          <w:sz w:val="17"/>
          <w:szCs w:val="17"/>
          <w:color w:val="auto"/>
        </w:rPr>
        <w:t>(i)  Part-Time Employment and Leaves of Absence. If the Purchaser commences working on a part-time basis, then the Company may adjust the vesting schedule set forth in the Summary of Stock Purchase. If the Purchaser goes on a leave of absence, then the Company may adjust the vesting schedule set forth in the Summary of Stock Purchase in accordance with the Company’s leave of absence policy or the terms of such leave. Except as provided in the preceding sentence, Service shall be deemed to continue while the Purchaser is on a bona fide leave of absence, if</w:t>
      </w:r>
    </w:p>
    <w:p>
      <w:pPr>
        <w:spacing w:after="0" w:line="1" w:lineRule="exact"/>
        <w:rPr>
          <w:sz w:val="20"/>
          <w:szCs w:val="20"/>
          <w:color w:val="auto"/>
        </w:rPr>
      </w:pPr>
    </w:p>
    <w:p>
      <w:pPr>
        <w:ind w:left="10" w:right="20" w:hanging="10"/>
        <w:spacing w:after="0" w:line="248" w:lineRule="auto"/>
        <w:tabs>
          <w:tab w:leader="none" w:pos="22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leave was approved by the Company in writing and (ii) continued crediting of Service is expressly required by the terms of such leave or by applicable law (as determined by the Company). Service shall be deemed to terminate when such leave ends, unless the Purchaser immediately returns to active work.</w:t>
      </w:r>
    </w:p>
    <w:p>
      <w:pPr>
        <w:sectPr>
          <w:pgSz w:w="11900" w:h="16838" w:orient="portrait"/>
          <w:cols w:equalWidth="0" w:num="1">
            <w:col w:w="10350"/>
          </w:cols>
          <w:pgMar w:left="970" w:top="267" w:right="57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SECTION 3.   RIGHT OF FIRST REFUSAL.</w:t>
      </w:r>
    </w:p>
    <w:p>
      <w:pPr>
        <w:spacing w:after="0" w:line="111" w:lineRule="exact"/>
        <w:rPr>
          <w:sz w:val="20"/>
          <w:szCs w:val="20"/>
          <w:color w:val="auto"/>
        </w:rPr>
      </w:pPr>
    </w:p>
    <w:p>
      <w:pPr>
        <w:ind w:left="440" w:right="80"/>
        <w:spacing w:after="0" w:line="248" w:lineRule="auto"/>
        <w:rPr>
          <w:sz w:val="20"/>
          <w:szCs w:val="20"/>
          <w:color w:val="auto"/>
        </w:rPr>
      </w:pPr>
      <w:r>
        <w:rPr>
          <w:rFonts w:ascii="Times New Roman" w:cs="Times New Roman" w:eastAsia="Times New Roman" w:hAnsi="Times New Roman"/>
          <w:sz w:val="18"/>
          <w:szCs w:val="18"/>
          <w:color w:val="auto"/>
        </w:rPr>
        <w:t>(a)  Right of First Refusal. In the event that the Purchaser proposes to sell, pledge or otherwise transfer to a third party any Purchased Shares, or any interest in Purchased Shares, the Company shall have the Right of First Refusal with respect to all (and not less than all) of such Purchased Shares. If the Purchaser desires to transfer Purchased Shares, the Purchaser shall give a written Transfer Notice to the Company describing fully the proposed transfer, including the number of Purchased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Purchaser and by the proposed Transferee and must constitute a binding commitment of both parties to the transfer of the Purchased Shares. The Company shall have the right to purchase all, and not less than all, of the Purchased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87" w:lineRule="exact"/>
        <w:rPr>
          <w:sz w:val="20"/>
          <w:szCs w:val="20"/>
          <w:color w:val="auto"/>
        </w:rPr>
      </w:pPr>
    </w:p>
    <w:p>
      <w:pPr>
        <w:ind w:left="440" w:right="120"/>
        <w:spacing w:after="0" w:line="248" w:lineRule="auto"/>
        <w:rPr>
          <w:sz w:val="20"/>
          <w:szCs w:val="20"/>
          <w:color w:val="auto"/>
        </w:rPr>
      </w:pPr>
      <w:r>
        <w:rPr>
          <w:rFonts w:ascii="Times New Roman" w:cs="Times New Roman" w:eastAsia="Times New Roman" w:hAnsi="Times New Roman"/>
          <w:sz w:val="18"/>
          <w:szCs w:val="18"/>
          <w:color w:val="auto"/>
        </w:rPr>
        <w:t>(b)  Transfer of Shares. If the Company fails to exercise its Right of First Refusal within 30 days after receiving the Transfer Notice, the Purchaser may, not later than 90 days after the Company received the Transfer Notice, conclude a transfer of the Purchased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Purchaser is bound. Any proposed transfer on terms and conditions different from those described in the Transfer Notice, as well as any subsequent proposed transfer by the Purchaser, shall again be subject to the Right of First Refusal and shall require compliance with the procedure described in Subsection (a) above. If the Company exercises its Right of First Refusal, the parties shall consummate the sale of the Purchased Shares on the terms set forth in the Transfer Notice within 60 days after the Company received the Transfer Notice (or within such longer period as may have been specified in the Transfer Notice); provided, however, that in the event the Transfer Notice provided that payment for the Purchased Shares was to be made in a form other than cash or cash equivalents paid at the time of transfer, the Company shall have the option of paying for the Purchased Shares with cash or cash equivalents equal to the present value of the consideration described in the Transfer Notice.</w:t>
      </w:r>
    </w:p>
    <w:p>
      <w:pPr>
        <w:spacing w:after="0" w:line="85" w:lineRule="exact"/>
        <w:rPr>
          <w:sz w:val="20"/>
          <w:szCs w:val="20"/>
          <w:color w:val="auto"/>
        </w:rPr>
      </w:pPr>
    </w:p>
    <w:p>
      <w:pPr>
        <w:ind w:left="440" w:right="80"/>
        <w:spacing w:after="0" w:line="250" w:lineRule="auto"/>
        <w:rPr>
          <w:sz w:val="20"/>
          <w:szCs w:val="20"/>
          <w:color w:val="auto"/>
        </w:rPr>
      </w:pPr>
      <w:r>
        <w:rPr>
          <w:rFonts w:ascii="Times New Roman" w:cs="Times New Roman" w:eastAsia="Times New Roman" w:hAnsi="Times New Roman"/>
          <w:sz w:val="18"/>
          <w:szCs w:val="18"/>
          <w:color w:val="auto"/>
        </w:rPr>
        <w:t>(c)  Additional or Exchanged Securities and Property. In the event of a merger or consolidation of the Company, a sale of all or substantially all of the Company’s stock or assets, any other corporate reorganization, a stock split, the declaration of a stock dividend, the declaration of an extraordinary dividend payable in a form other than stock, a spin 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Purchased Shares subject to this Section 3 shall immediately be subject to the Right of First Refusal. Appropriate adjustments to reflect the exchange or distribution of such securities or property shall be made to the number and/or class of the Purchased Shares subject to this Section 3.</w:t>
      </w:r>
    </w:p>
    <w:p>
      <w:pPr>
        <w:spacing w:after="0" w:line="81" w:lineRule="exact"/>
        <w:rPr>
          <w:sz w:val="20"/>
          <w:szCs w:val="20"/>
          <w:color w:val="auto"/>
        </w:rPr>
      </w:pPr>
    </w:p>
    <w:p>
      <w:pPr>
        <w:ind w:left="440"/>
        <w:spacing w:after="0" w:line="259" w:lineRule="auto"/>
        <w:rPr>
          <w:sz w:val="20"/>
          <w:szCs w:val="20"/>
          <w:color w:val="auto"/>
        </w:rPr>
      </w:pPr>
      <w:r>
        <w:rPr>
          <w:rFonts w:ascii="Times New Roman" w:cs="Times New Roman" w:eastAsia="Times New Roman" w:hAnsi="Times New Roman"/>
          <w:sz w:val="18"/>
          <w:szCs w:val="18"/>
          <w:color w:val="auto"/>
        </w:rPr>
        <w:t>(d)  Termination of Right of First Refusal. Any other provision of this Section 3 notwithstanding, in the event that the Stock is readily tradable on an established securities market when the Purchaser desires to transfer Purchased Shares, the Company shall have no Right of First Refusal, and the Purchaser shall have no obligation to comply with the procedures prescribed by Subsections (a) and (b) above.</w:t>
      </w:r>
    </w:p>
    <w:p>
      <w:pPr>
        <w:spacing w:after="0" w:line="72" w:lineRule="exact"/>
        <w:rPr>
          <w:sz w:val="20"/>
          <w:szCs w:val="20"/>
          <w:color w:val="auto"/>
        </w:rPr>
      </w:pPr>
    </w:p>
    <w:p>
      <w:pPr>
        <w:ind w:left="440" w:right="20"/>
        <w:spacing w:after="0" w:line="251" w:lineRule="auto"/>
        <w:rPr>
          <w:sz w:val="20"/>
          <w:szCs w:val="20"/>
          <w:color w:val="auto"/>
        </w:rPr>
      </w:pPr>
      <w:r>
        <w:rPr>
          <w:rFonts w:ascii="Times New Roman" w:cs="Times New Roman" w:eastAsia="Times New Roman" w:hAnsi="Times New Roman"/>
          <w:sz w:val="18"/>
          <w:szCs w:val="18"/>
          <w:color w:val="auto"/>
        </w:rPr>
        <w:t>(e)  Permitted Transfers. This Section 3 shall not apply to (i) a transfer by beneficiary designation, will or intestate succession or (ii) a transfer to one or more members of the Purchaser’s Immediate Family or to a trust established by the Purchaser for the benefit of the Purchaser and/or one or more members of the Purchaser’s Immediate Family, provided in either case that the Transferee agrees in writing on a form prescribed by the Company to be bound by all provisions of this Agreement. If the Purchaser transfers any Purchased Shares, either under this Subsection (e) or after the Company has failed to exercise the Right of First Refusal, then this Agreement shall apply to the Transferee to the same extent as to the Purchaser.</w:t>
      </w:r>
    </w:p>
    <w:p>
      <w:pPr>
        <w:sectPr>
          <w:pgSz w:w="11900" w:h="16838" w:orient="portrait"/>
          <w:cols w:equalWidth="0" w:num="1">
            <w:col w:w="10780"/>
          </w:cols>
          <w:pgMar w:left="540" w:top="267" w:right="579" w:bottom="1440" w:gutter="0" w:footer="0" w:header="0"/>
        </w:sectPr>
      </w:pPr>
    </w:p>
    <w:bookmarkStart w:id="345" w:name="page346"/>
    <w:bookmarkEnd w:id="345"/>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(f)  Termination of Rights as Stockholder. If the Company makes available, at the time and place and in the amount and form provided in this Agreement, the consideration for the Shares to be purchased in accordance with this Section 3,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79" w:lineRule="exact"/>
        <w:rPr>
          <w:sz w:val="20"/>
          <w:szCs w:val="20"/>
          <w:color w:val="auto"/>
        </w:rPr>
      </w:pPr>
    </w:p>
    <w:p>
      <w:pPr>
        <w:ind w:left="440" w:right="140"/>
        <w:spacing w:after="0" w:line="259" w:lineRule="auto"/>
        <w:rPr>
          <w:sz w:val="20"/>
          <w:szCs w:val="20"/>
          <w:color w:val="auto"/>
        </w:rPr>
      </w:pPr>
      <w:r>
        <w:rPr>
          <w:rFonts w:ascii="Times New Roman" w:cs="Times New Roman" w:eastAsia="Times New Roman" w:hAnsi="Times New Roman"/>
          <w:sz w:val="18"/>
          <w:szCs w:val="18"/>
          <w:color w:val="auto"/>
        </w:rPr>
        <w:t>(g)  Assignment of Right of First Refusal. The Board of Directors may freely assign the Company’s Right of First Refusal, in whole or in part. Any person who accepts an assignment of the Right of First Refusal from the Company shall assume all of the Company’s rights and obligations under this Section 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4.   OTHER RESTRICTIONS ON TRANSFER.</w:t>
      </w:r>
    </w:p>
    <w:p>
      <w:pPr>
        <w:spacing w:after="0" w:line="111" w:lineRule="exact"/>
        <w:rPr>
          <w:sz w:val="20"/>
          <w:szCs w:val="20"/>
          <w:color w:val="auto"/>
        </w:rPr>
      </w:pPr>
    </w:p>
    <w:p>
      <w:pPr>
        <w:ind w:left="440" w:right="80"/>
        <w:spacing w:after="0" w:line="274" w:lineRule="auto"/>
        <w:rPr>
          <w:sz w:val="20"/>
          <w:szCs w:val="20"/>
          <w:color w:val="auto"/>
        </w:rPr>
      </w:pPr>
      <w:r>
        <w:rPr>
          <w:rFonts w:ascii="Times New Roman" w:cs="Times New Roman" w:eastAsia="Times New Roman" w:hAnsi="Times New Roman"/>
          <w:sz w:val="18"/>
          <w:szCs w:val="18"/>
          <w:color w:val="auto"/>
        </w:rPr>
        <w:t>(a)  Purchaser Representations. In connection with the issuance and acquisition of Shares under this Agreement, the Purchaser hereby represents and warrants to the Company as follows:</w:t>
      </w:r>
    </w:p>
    <w:p>
      <w:pPr>
        <w:spacing w:after="0" w:line="57" w:lineRule="exact"/>
        <w:rPr>
          <w:sz w:val="20"/>
          <w:szCs w:val="20"/>
          <w:color w:val="auto"/>
        </w:rPr>
      </w:pPr>
    </w:p>
    <w:p>
      <w:pPr>
        <w:ind w:left="980"/>
        <w:spacing w:after="0" w:line="274" w:lineRule="auto"/>
        <w:rPr>
          <w:sz w:val="20"/>
          <w:szCs w:val="20"/>
          <w:color w:val="auto"/>
        </w:rPr>
      </w:pPr>
      <w:r>
        <w:rPr>
          <w:rFonts w:ascii="Times New Roman" w:cs="Times New Roman" w:eastAsia="Times New Roman" w:hAnsi="Times New Roman"/>
          <w:sz w:val="18"/>
          <w:szCs w:val="18"/>
          <w:color w:val="auto"/>
        </w:rPr>
        <w:t>(i)  The Purchaser is acquiring and will hold the Purchased Shares for investment for his or her account only and not with a view to, or for resale in connection with, any “distribution” thereof within the meaning of the Securities Act.</w:t>
      </w:r>
    </w:p>
    <w:p>
      <w:pPr>
        <w:spacing w:after="0" w:line="57" w:lineRule="exact"/>
        <w:rPr>
          <w:sz w:val="20"/>
          <w:szCs w:val="20"/>
          <w:color w:val="auto"/>
        </w:rPr>
      </w:pPr>
    </w:p>
    <w:p>
      <w:pPr>
        <w:ind w:left="980"/>
        <w:spacing w:after="0" w:line="252" w:lineRule="auto"/>
        <w:rPr>
          <w:sz w:val="20"/>
          <w:szCs w:val="20"/>
          <w:color w:val="auto"/>
        </w:rPr>
      </w:pPr>
      <w:r>
        <w:rPr>
          <w:rFonts w:ascii="Times New Roman" w:cs="Times New Roman" w:eastAsia="Times New Roman" w:hAnsi="Times New Roman"/>
          <w:sz w:val="18"/>
          <w:szCs w:val="18"/>
          <w:color w:val="auto"/>
        </w:rPr>
        <w:t>(ii)  The Purchaser understands that the Purchased Shares have not been registered under the Securities Act by reason of a specific exemption therefrom and that the Purchased Shares must be held indefinitely, unless their sale or other transfer is subsequently registered under the Securities Act or the Purchaser obtains an opinion of counsel, in form and substance satisfactory to the Company and its counsel, that such registration is not required. The Purchaser further acknowledges and understands that the Company is under no obligation to register the Purchased Shares.</w:t>
      </w:r>
    </w:p>
    <w:p>
      <w:pPr>
        <w:spacing w:after="0" w:line="79" w:lineRule="exact"/>
        <w:rPr>
          <w:sz w:val="20"/>
          <w:szCs w:val="20"/>
          <w:color w:val="auto"/>
        </w:rPr>
      </w:pPr>
    </w:p>
    <w:p>
      <w:pPr>
        <w:ind w:left="980" w:right="60"/>
        <w:spacing w:after="0" w:line="250" w:lineRule="auto"/>
        <w:rPr>
          <w:sz w:val="20"/>
          <w:szCs w:val="20"/>
          <w:color w:val="auto"/>
        </w:rPr>
      </w:pPr>
      <w:r>
        <w:rPr>
          <w:rFonts w:ascii="Times New Roman" w:cs="Times New Roman" w:eastAsia="Times New Roman" w:hAnsi="Times New Roman"/>
          <w:sz w:val="18"/>
          <w:szCs w:val="18"/>
          <w:color w:val="auto"/>
        </w:rPr>
        <w:t>(iii)  The Purchaser is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 month period not exceed specified limitations. The Purchaser acknowledges and understands that the conditions for resale set forth in Rule 144 have not been satisfied as of either the Date of Offer or the Date of Purchase and that the Company is not required to take action to satisfy any such conditions.</w:t>
      </w:r>
    </w:p>
    <w:p>
      <w:pPr>
        <w:spacing w:after="0" w:line="81" w:lineRule="exact"/>
        <w:rPr>
          <w:sz w:val="20"/>
          <w:szCs w:val="20"/>
          <w:color w:val="auto"/>
        </w:rPr>
      </w:pPr>
    </w:p>
    <w:p>
      <w:pPr>
        <w:ind w:left="980" w:right="20"/>
        <w:spacing w:after="0" w:line="249" w:lineRule="auto"/>
        <w:rPr>
          <w:sz w:val="20"/>
          <w:szCs w:val="20"/>
          <w:color w:val="auto"/>
        </w:rPr>
      </w:pPr>
      <w:r>
        <w:rPr>
          <w:rFonts w:ascii="Times New Roman" w:cs="Times New Roman" w:eastAsia="Times New Roman" w:hAnsi="Times New Roman"/>
          <w:sz w:val="18"/>
          <w:szCs w:val="18"/>
          <w:color w:val="auto"/>
        </w:rPr>
        <w:t>(iv)  The Purchaser will not sell, transfer or otherwise dispose of the Purchased Shares in violation of the Securities Act, the Securities Exchange Act of 1934, or the rules promulgated thereunder, including Rule 144 under the Securities Act. The Purchaser agrees that he or she will not dispose of the Purchased Shares unless and until he or she has complied with all requirements of this Agreement applicable to the disposition of Purchased Shares and he or she has provided the Company with written assurances, in substance and form satisfactory to the Company, that (A) the proposed disposition does not require registration of the Purchased Shares under the Securities Act or all appropriate action necessary for compliance with the registration requirements of the Securities Act or with any exemption from registration available under the Securities Act (including Rule 144) has been taken and (B) the proposed disposition will not result in the contravention of any transfer restrictions applicable to the Purchased Shares under applicable state law.</w:t>
      </w:r>
    </w:p>
    <w:p>
      <w:pPr>
        <w:spacing w:after="0" w:line="84" w:lineRule="exact"/>
        <w:rPr>
          <w:sz w:val="20"/>
          <w:szCs w:val="20"/>
          <w:color w:val="auto"/>
        </w:rPr>
      </w:pPr>
    </w:p>
    <w:p>
      <w:pPr>
        <w:ind w:left="980" w:right="460"/>
        <w:spacing w:after="0" w:line="259" w:lineRule="auto"/>
        <w:rPr>
          <w:sz w:val="20"/>
          <w:szCs w:val="20"/>
          <w:color w:val="auto"/>
        </w:rPr>
      </w:pPr>
      <w:r>
        <w:rPr>
          <w:rFonts w:ascii="Times New Roman" w:cs="Times New Roman" w:eastAsia="Times New Roman" w:hAnsi="Times New Roman"/>
          <w:sz w:val="18"/>
          <w:szCs w:val="18"/>
          <w:color w:val="auto"/>
        </w:rPr>
        <w:t>(v)  The Purchaser has received and has had access to such information as he or she considers necessary or appropriate for deciding whether to invest in the Purchased Shares, and the Purchaser has had an opportunity to ask questions and receive answers from the Company regarding the terms and conditions of the issuance of the Purchased Shares.</w:t>
      </w:r>
    </w:p>
    <w:p>
      <w:pPr>
        <w:sectPr>
          <w:pgSz w:w="11900" w:h="16838" w:orient="portrait"/>
          <w:cols w:equalWidth="0" w:num="1">
            <w:col w:w="10800"/>
          </w:cols>
          <w:pgMar w:left="540" w:top="266" w:right="559" w:bottom="1440" w:gutter="0" w:footer="0" w:header="0"/>
        </w:sectPr>
      </w:pPr>
    </w:p>
    <w:bookmarkStart w:id="346" w:name="page347"/>
    <w:bookmarkEnd w:id="346"/>
    <w:p>
      <w:pPr>
        <w:ind w:left="980" w:right="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(vi)  The Purchaser is aware that his or her investment in the Company is a speculative investment that has limited liquidity and is subject to the risk of complete loss. The Purchaser is able, without impairing his or her financial condition, to hold the Purchased Shares for an indefinite period and to suffer a complete loss of his or her investment in the Purchased Shares.</w:t>
      </w:r>
    </w:p>
    <w:p>
      <w:pPr>
        <w:spacing w:after="0" w:line="72" w:lineRule="exact"/>
        <w:rPr>
          <w:sz w:val="20"/>
          <w:szCs w:val="20"/>
          <w:color w:val="auto"/>
        </w:rPr>
      </w:pPr>
    </w:p>
    <w:p>
      <w:pPr>
        <w:ind w:left="440"/>
        <w:spacing w:after="0" w:line="250" w:lineRule="auto"/>
        <w:rPr>
          <w:sz w:val="20"/>
          <w:szCs w:val="20"/>
          <w:color w:val="auto"/>
        </w:rPr>
      </w:pPr>
      <w:r>
        <w:rPr>
          <w:rFonts w:ascii="Times New Roman" w:cs="Times New Roman" w:eastAsia="Times New Roman" w:hAnsi="Times New Roman"/>
          <w:sz w:val="18"/>
          <w:szCs w:val="18"/>
          <w:color w:val="auto"/>
        </w:rPr>
        <w:t>(b)  Securities Law Restrictions. Regardless of whether the offer and sale of Shares under the Plan have been registered under the Securities Act or have been registered or qualified under the securities laws of any State or other relevant jurisdiction, the Company at its discretion may impose restrictions upon the sale, pledge or other transfer of the Purchased Shares (including the placement of appropriate legends on the stock certificates (or electronic equivalent) or the imposition of stop 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81" w:lineRule="exact"/>
        <w:rPr>
          <w:sz w:val="20"/>
          <w:szCs w:val="20"/>
          <w:color w:val="auto"/>
        </w:rPr>
      </w:pPr>
    </w:p>
    <w:p>
      <w:pPr>
        <w:ind w:left="440"/>
        <w:spacing w:after="0" w:line="263" w:lineRule="auto"/>
        <w:rPr>
          <w:sz w:val="20"/>
          <w:szCs w:val="20"/>
          <w:color w:val="auto"/>
        </w:rPr>
      </w:pPr>
      <w:r>
        <w:rPr>
          <w:rFonts w:ascii="Times New Roman" w:cs="Times New Roman" w:eastAsia="Times New Roman" w:hAnsi="Times New Roman"/>
          <w:sz w:val="17"/>
          <w:szCs w:val="17"/>
          <w:color w:val="auto"/>
        </w:rPr>
        <w:t>(c)  Market Stand-Off. In connection with any underwritten public offering by the Company of its equity securities pursuant to an effective registration statement filed under the Securities Act, including the Company’s initial public offering, the Purchaser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Purchased Shares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 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Purchased Shares until the end of the applicable stand-off period. The Company’s underwriters shall be beneficiaries of the agreement set forth in this Subsection (c). This Subsection (c) shall not apply to Shares registered in the public offering under the Securities Act.</w:t>
      </w:r>
    </w:p>
    <w:p>
      <w:pPr>
        <w:spacing w:after="0" w:line="68" w:lineRule="exact"/>
        <w:rPr>
          <w:sz w:val="20"/>
          <w:szCs w:val="20"/>
          <w:color w:val="auto"/>
        </w:rPr>
      </w:pPr>
    </w:p>
    <w:p>
      <w:pPr>
        <w:ind w:left="440"/>
        <w:spacing w:after="0" w:line="259" w:lineRule="auto"/>
        <w:rPr>
          <w:sz w:val="20"/>
          <w:szCs w:val="20"/>
          <w:color w:val="auto"/>
        </w:rPr>
      </w:pPr>
      <w:r>
        <w:rPr>
          <w:rFonts w:ascii="Times New Roman" w:cs="Times New Roman" w:eastAsia="Times New Roman" w:hAnsi="Times New Roman"/>
          <w:sz w:val="18"/>
          <w:szCs w:val="18"/>
          <w:color w:val="auto"/>
        </w:rPr>
        <w:t>(d)  Rights of the Company. The Company shall not be required to (i) transfer on its books any Purchased Shares that have been sold or transferred in contravention of this Agreement or (ii) treat as the owner of Purchased Shares, or otherwise to accord voting, dividend or liquidation rights to, any transferee to whom Purchased Shares have been transferred in contravention of this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5.   SUCCESSORS AND ASSIGNS.</w:t>
      </w:r>
    </w:p>
    <w:p>
      <w:pPr>
        <w:spacing w:after="0" w:line="111" w:lineRule="exact"/>
        <w:rPr>
          <w:sz w:val="20"/>
          <w:szCs w:val="20"/>
          <w:color w:val="auto"/>
        </w:rPr>
      </w:pPr>
    </w:p>
    <w:p>
      <w:pPr>
        <w:ind w:left="440" w:right="80"/>
        <w:spacing w:after="0" w:line="255" w:lineRule="auto"/>
        <w:rPr>
          <w:sz w:val="20"/>
          <w:szCs w:val="20"/>
          <w:color w:val="auto"/>
        </w:rPr>
      </w:pPr>
      <w:r>
        <w:rPr>
          <w:rFonts w:ascii="Times New Roman" w:cs="Times New Roman" w:eastAsia="Times New Roman" w:hAnsi="Times New Roman"/>
          <w:sz w:val="18"/>
          <w:szCs w:val="18"/>
          <w:color w:val="auto"/>
        </w:rPr>
        <w:t>Except as otherwise expressly provided to the contrary, the provisions of this Agreement shall inure to the benefit of, and be binding upon, the Company and its successors and assigns and be binding upon the Purchaser and the Purchaser’s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ectPr>
          <w:pgSz w:w="11900" w:h="16838" w:orient="portrait"/>
          <w:cols w:equalWidth="0" w:num="1">
            <w:col w:w="10800"/>
          </w:cols>
          <w:pgMar w:left="540" w:top="267" w:right="55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SECTION 6.   NO RETENTION RIGHTS.</w:t>
      </w:r>
    </w:p>
    <w:p>
      <w:pPr>
        <w:spacing w:after="0" w:line="111"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Nothing in this Agreement or in the Plan shall confer upon the Purchaser any right to continue providing services to the Company for any period of specific duration or interfere with or otherwise restrict in any way the rights of the Company (or any Parent or Subsidiary employing or retaining the Purchaser) or of the Purchaser, which rights are hereby expressly reserved by each, to terminate his or her Service at any time and for any reason, with or without cause.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TAX ELECTION.</w:t>
      </w:r>
    </w:p>
    <w:p>
      <w:pPr>
        <w:spacing w:after="0" w:line="111" w:lineRule="exact"/>
        <w:rPr>
          <w:sz w:val="20"/>
          <w:szCs w:val="20"/>
          <w:color w:val="auto"/>
        </w:rPr>
      </w:pPr>
    </w:p>
    <w:p>
      <w:pPr>
        <w:ind w:left="440"/>
        <w:spacing w:after="0" w:line="251" w:lineRule="auto"/>
        <w:rPr>
          <w:sz w:val="20"/>
          <w:szCs w:val="20"/>
          <w:color w:val="auto"/>
        </w:rPr>
      </w:pPr>
      <w:r>
        <w:rPr>
          <w:rFonts w:ascii="Times New Roman" w:cs="Times New Roman" w:eastAsia="Times New Roman" w:hAnsi="Times New Roman"/>
          <w:sz w:val="18"/>
          <w:szCs w:val="18"/>
          <w:color w:val="auto"/>
        </w:rPr>
        <w:t>The acquisition of the Purchased Shares may result in adverse tax consequences that may be avoided or mitigated by filing an election under Code Section 83(b). Such election may be filed only within 30 days after the date of purchase set forth in the Summary of Stock Purchase. The form for making the Code Section 83(b) election is attached to this Agreement as Exhibit 1. The Purchaser should consult with his or her tax advisor to determine the tax consequences of acquiring the Purchased Shares and the advantages and disadvantages of filing the Code Section 83(b) election. The Purchaser acknowledges that it is his or her sole responsibility, and not the Company’s, to file a timely election under Code Section 83(b), even if the Purchaser requests the Company or its representatives to make this filing on his or her behalf.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LEGENDS.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certificates evidencing Purchased Shares shall bear the following legends:</w:t>
      </w:r>
    </w:p>
    <w:p>
      <w:pPr>
        <w:spacing w:after="0" w:line="111" w:lineRule="exact"/>
        <w:rPr>
          <w:sz w:val="20"/>
          <w:szCs w:val="20"/>
          <w:color w:val="auto"/>
        </w:rPr>
      </w:pPr>
    </w:p>
    <w:p>
      <w:pPr>
        <w:ind w:left="440" w:right="120"/>
        <w:spacing w:after="0" w:line="265" w:lineRule="auto"/>
        <w:rPr>
          <w:sz w:val="20"/>
          <w:szCs w:val="20"/>
          <w:color w:val="auto"/>
        </w:rPr>
      </w:pPr>
      <w:r>
        <w:rPr>
          <w:rFonts w:ascii="Times New Roman" w:cs="Times New Roman" w:eastAsia="Times New Roman" w:hAnsi="Times New Roman"/>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IN ADDITION, THE SHARES ARE SUBJECT TO RESTRICTIONS ON TRANSFER FOR A LIMITED PERIOD FOLLOWING THE EFFECTIVE DATE OF THE UNDERWRITTEN PUBLIC OFFERING OF THE COMPANY’S SECURITIES AND MAY NOT BE SOLD OR OTHERWISE DISPOSED OF BY THE HOLDER WITHOUT THE CONSENT OF THE COMPANY OR THE MANAGING UNDERWRITER. THE SECRETARY OF THE COMPANY WILL UPON WRITTEN REQUEST FURNISH A COPY OF SUCH AGREEMENT TO THE HOLDER HEREOF WITHOUT CHARGE.”</w:t>
      </w:r>
    </w:p>
    <w:p>
      <w:pPr>
        <w:spacing w:after="0" w:line="71" w:lineRule="exact"/>
        <w:rPr>
          <w:sz w:val="20"/>
          <w:szCs w:val="20"/>
          <w:color w:val="auto"/>
        </w:rPr>
      </w:pPr>
    </w:p>
    <w:p>
      <w:pPr>
        <w:ind w:left="440"/>
        <w:spacing w:after="0" w:line="274" w:lineRule="auto"/>
        <w:rPr>
          <w:sz w:val="20"/>
          <w:szCs w:val="20"/>
          <w:color w:val="auto"/>
        </w:rPr>
      </w:pPr>
      <w:r>
        <w:rPr>
          <w:rFonts w:ascii="Times New Roman" w:cs="Times New Roman" w:eastAsia="Times New Roman" w:hAnsi="Times New Roman"/>
          <w:sz w:val="18"/>
          <w:szCs w:val="18"/>
          <w:color w:val="auto"/>
        </w:rPr>
        <w:t>All certificates evidencing the Purchased Shares acquired under this Agreement in an unregistered transaction shall bear the following legend (and such other restrictive legends as are required or deemed advisable under the provisions of any applicable law):</w:t>
      </w:r>
    </w:p>
    <w:p>
      <w:pPr>
        <w:spacing w:after="0" w:line="57" w:lineRule="exact"/>
        <w:rPr>
          <w:sz w:val="20"/>
          <w:szCs w:val="20"/>
          <w:color w:val="auto"/>
        </w:rPr>
      </w:pPr>
    </w:p>
    <w:p>
      <w:pPr>
        <w:ind w:left="440" w:right="20"/>
        <w:spacing w:after="0" w:line="250"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w:t>
      </w:r>
    </w:p>
    <w:p>
      <w:pPr>
        <w:sectPr>
          <w:pgSz w:w="11900" w:h="16838" w:orient="portrait"/>
          <w:cols w:equalWidth="0" w:num="1">
            <w:col w:w="10780"/>
          </w:cols>
          <w:pgMar w:left="540" w:top="267" w:right="579" w:bottom="1440" w:gutter="0" w:footer="0" w:header="0"/>
        </w:sectPr>
      </w:pPr>
    </w:p>
    <w:bookmarkStart w:id="348" w:name="page349"/>
    <w:bookmarkEnd w:id="348"/>
    <w:p>
      <w:pPr>
        <w:ind w:left="440" w:right="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REGULATION S UNDER THE ACT), THESE SHARES MAY NOT BE SOLD, REOFFERED, PLEDGED, ASSIGNED, ENCUMBERED OR OTHERWISE TRANSFERRED OR DISPOSED OF. HEDGING TRANSACTIONS INVOLVING THESE SHARES MAY NOT BE CONDUCTED UNLESS IN COMPLIANCE WITH THE ACT.”</w:t>
      </w:r>
    </w:p>
    <w:p>
      <w:pPr>
        <w:spacing w:after="0" w:line="72" w:lineRule="exact"/>
        <w:rPr>
          <w:sz w:val="20"/>
          <w:szCs w:val="20"/>
          <w:color w:val="auto"/>
        </w:rPr>
      </w:pPr>
    </w:p>
    <w:p>
      <w:pPr>
        <w:ind w:left="440" w:right="260"/>
        <w:spacing w:after="0" w:line="274" w:lineRule="auto"/>
        <w:rPr>
          <w:sz w:val="20"/>
          <w:szCs w:val="20"/>
          <w:color w:val="auto"/>
        </w:rPr>
      </w:pPr>
      <w:r>
        <w:rPr>
          <w:rFonts w:ascii="Times New Roman" w:cs="Times New Roman" w:eastAsia="Times New Roman" w:hAnsi="Times New Roman"/>
          <w:sz w:val="18"/>
          <w:szCs w:val="18"/>
          <w:color w:val="auto"/>
        </w:rPr>
        <w:t>If required by the authorities of any State in connection with the issuance of the Purchased Shares, the legend or legends required by such State authorities shall also be endorsed on all such certificates.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9.   MISCELLANEOUS PROVISIONS.</w:t>
      </w:r>
    </w:p>
    <w:p>
      <w:pPr>
        <w:spacing w:after="0" w:line="111" w:lineRule="exact"/>
        <w:rPr>
          <w:sz w:val="20"/>
          <w:szCs w:val="20"/>
          <w:color w:val="auto"/>
        </w:rPr>
      </w:pPr>
    </w:p>
    <w:p>
      <w:pPr>
        <w:ind w:left="440" w:right="120"/>
        <w:spacing w:after="0" w:line="274" w:lineRule="auto"/>
        <w:rPr>
          <w:sz w:val="20"/>
          <w:szCs w:val="20"/>
          <w:color w:val="auto"/>
        </w:rPr>
      </w:pPr>
      <w:r>
        <w:rPr>
          <w:rFonts w:ascii="Times New Roman" w:cs="Times New Roman" w:eastAsia="Times New Roman" w:hAnsi="Times New Roman"/>
          <w:sz w:val="18"/>
          <w:szCs w:val="18"/>
          <w:color w:val="auto"/>
        </w:rPr>
        <w:t>(a)  Choice of Law. This Agreement shall be governed by, and construed in accordance with, the laws of the State of Delaware, as such laws are applied to contracts entered into and performed in such State.</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(b)   Notice. Any notice required by the terms of this Agreement shall be given in writing. It shall be deemed effective upon (i) personal delivery,</w:t>
      </w:r>
    </w:p>
    <w:p>
      <w:pPr>
        <w:spacing w:after="0" w:line="36" w:lineRule="exact"/>
        <w:rPr>
          <w:sz w:val="20"/>
          <w:szCs w:val="20"/>
          <w:color w:val="auto"/>
        </w:rPr>
      </w:pPr>
    </w:p>
    <w:p>
      <w:pPr>
        <w:ind w:left="440" w:right="120" w:hanging="10"/>
        <w:spacing w:after="0" w:line="247" w:lineRule="auto"/>
        <w:tabs>
          <w:tab w:leader="none" w:pos="7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United States Postal Service, by registered or certified mail, with postage and fees prepaid, (iii) deposit with Federal Express Corporation, with shipping charges prepaid or (iv) deposit with any internationally recognized express mail courier service. Notice shall be addressed to the Company at its principal executive office and to the Purchaser at the address that he or she most recently provided to the Company in accordance with this Subsection (b).</w:t>
      </w:r>
    </w:p>
    <w:p>
      <w:pPr>
        <w:spacing w:after="0" w:line="83" w:lineRule="exact"/>
        <w:rPr>
          <w:sz w:val="20"/>
          <w:szCs w:val="20"/>
          <w:color w:val="auto"/>
        </w:rPr>
      </w:pPr>
    </w:p>
    <w:p>
      <w:pPr>
        <w:jc w:val="both"/>
        <w:ind w:left="440" w:right="300"/>
        <w:spacing w:after="0" w:line="259" w:lineRule="auto"/>
        <w:rPr>
          <w:sz w:val="20"/>
          <w:szCs w:val="20"/>
          <w:color w:val="auto"/>
        </w:rPr>
      </w:pPr>
      <w:r>
        <w:rPr>
          <w:rFonts w:ascii="Times New Roman" w:cs="Times New Roman" w:eastAsia="Times New Roman" w:hAnsi="Times New Roman"/>
          <w:sz w:val="18"/>
          <w:szCs w:val="18"/>
          <w:color w:val="auto"/>
        </w:rPr>
        <w:t>(c)  Entire Agreement. The Summary of Stock Purchase,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10.   ACKNOWLEDGEMENTS OF THE PURCHASER.</w:t>
      </w:r>
    </w:p>
    <w:p>
      <w:pPr>
        <w:spacing w:after="0" w:line="111" w:lineRule="exact"/>
        <w:rPr>
          <w:sz w:val="20"/>
          <w:szCs w:val="20"/>
          <w:color w:val="auto"/>
        </w:rPr>
      </w:pPr>
    </w:p>
    <w:p>
      <w:pPr>
        <w:ind w:left="440" w:right="360"/>
        <w:spacing w:after="0" w:line="259" w:lineRule="auto"/>
        <w:rPr>
          <w:sz w:val="20"/>
          <w:szCs w:val="20"/>
          <w:color w:val="auto"/>
        </w:rPr>
      </w:pPr>
      <w:r>
        <w:rPr>
          <w:rFonts w:ascii="Times New Roman" w:cs="Times New Roman" w:eastAsia="Times New Roman" w:hAnsi="Times New Roman"/>
          <w:sz w:val="18"/>
          <w:szCs w:val="18"/>
          <w:color w:val="auto"/>
        </w:rPr>
        <w:t>In addition to the other terms, conditions and restrictions imposed on the Shares acquired pursuant to this Agreement, the Purchaser expressly acknowledges being subject to Sections 2 (Right of Repurchase), 3 (Right of First Refusal) and 4 (Other Restrictions on Transfer, including without limitation the Market Stand-Off), as well as the following provisions:</w:t>
      </w:r>
    </w:p>
    <w:p>
      <w:pPr>
        <w:spacing w:after="0" w:line="72" w:lineRule="exact"/>
        <w:rPr>
          <w:sz w:val="20"/>
          <w:szCs w:val="20"/>
          <w:color w:val="auto"/>
        </w:rPr>
      </w:pPr>
    </w:p>
    <w:p>
      <w:pPr>
        <w:ind w:left="440" w:right="100"/>
        <w:spacing w:after="0" w:line="252" w:lineRule="auto"/>
        <w:rPr>
          <w:sz w:val="20"/>
          <w:szCs w:val="20"/>
          <w:color w:val="auto"/>
        </w:rPr>
      </w:pPr>
      <w:r>
        <w:rPr>
          <w:rFonts w:ascii="Times New Roman" w:cs="Times New Roman" w:eastAsia="Times New Roman" w:hAnsi="Times New Roman"/>
          <w:sz w:val="18"/>
          <w:szCs w:val="18"/>
          <w:color w:val="auto"/>
        </w:rPr>
        <w:t>(a)  Plan Discretionary. The Purchaser understands and acknowledges that (i) the Plan is entirely discretionary, (ii) the Company and the Purchaser’s employer have reserved the right to amend, suspend or terminate the Plan at any time, (iii) the transfer of the Purchased Shares does not in any way create any contractual or other right to receive additional awards under the Plan at any time or in any amount and (iv) all determinations with respect to any additional awards, including (without limitation) the times when awards will be granted, the number of Shares offered and the vesting schedule, will be at the sole discretion of the Company.</w:t>
      </w:r>
    </w:p>
    <w:p>
      <w:pPr>
        <w:spacing w:after="0" w:line="79" w:lineRule="exact"/>
        <w:rPr>
          <w:sz w:val="20"/>
          <w:szCs w:val="20"/>
          <w:color w:val="auto"/>
        </w:rPr>
      </w:pPr>
    </w:p>
    <w:p>
      <w:pPr>
        <w:ind w:left="440" w:right="340"/>
        <w:spacing w:after="0" w:line="274" w:lineRule="auto"/>
        <w:rPr>
          <w:sz w:val="20"/>
          <w:szCs w:val="20"/>
          <w:color w:val="auto"/>
        </w:rPr>
      </w:pPr>
      <w:r>
        <w:rPr>
          <w:rFonts w:ascii="Times New Roman" w:cs="Times New Roman" w:eastAsia="Times New Roman" w:hAnsi="Times New Roman"/>
          <w:sz w:val="18"/>
          <w:szCs w:val="18"/>
          <w:color w:val="auto"/>
        </w:rPr>
        <w:t>(b)  Termination of Service. The Purchaser understands and acknowledges that participation in the Plan ceases upon termination of his or her Service for any reason, except as may explicitly be provided otherwise in the Plan or this Agreement.</w:t>
      </w:r>
    </w:p>
    <w:p>
      <w:pPr>
        <w:spacing w:after="0" w:line="57"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(c)  Extraordinary Compensation. The value of the Purchased Shares shall be an extraordinary item of compensation outside the scope of the Purchaser’s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74" w:lineRule="exact"/>
        <w:rPr>
          <w:sz w:val="20"/>
          <w:szCs w:val="20"/>
          <w:color w:val="auto"/>
        </w:rPr>
      </w:pPr>
    </w:p>
    <w:p>
      <w:pPr>
        <w:ind w:left="440" w:right="80"/>
        <w:spacing w:after="0" w:line="255" w:lineRule="auto"/>
        <w:rPr>
          <w:sz w:val="20"/>
          <w:szCs w:val="20"/>
          <w:color w:val="auto"/>
        </w:rPr>
      </w:pPr>
      <w:r>
        <w:rPr>
          <w:rFonts w:ascii="Times New Roman" w:cs="Times New Roman" w:eastAsia="Times New Roman" w:hAnsi="Times New Roman"/>
          <w:sz w:val="18"/>
          <w:szCs w:val="18"/>
          <w:color w:val="auto"/>
        </w:rPr>
        <w:t>(d)  Authorization to Disclose. The Purchaser hereby authorizes and directs the Purchaser’s employer to disclose to the Company or any Subsidiary any information regarding the Purchaser’s employment, the nature and amount of the Purchaser’s compensation and the fact and conditions of the Purchaser’s participation in the Plan, as the Purchaser’s employer deems necessary or appropriate to facilitate the administration of the Plan.</w:t>
      </w:r>
    </w:p>
    <w:p>
      <w:pPr>
        <w:sectPr>
          <w:pgSz w:w="11900" w:h="16838" w:orient="portrait"/>
          <w:cols w:equalWidth="0" w:num="1">
            <w:col w:w="10800"/>
          </w:cols>
          <w:pgMar w:left="540" w:top="267" w:right="559" w:bottom="1440" w:gutter="0" w:footer="0" w:header="0"/>
        </w:sectPr>
      </w:pPr>
    </w:p>
    <w:bookmarkStart w:id="349" w:name="page350"/>
    <w:bookmarkEnd w:id="349"/>
    <w:p>
      <w:pPr>
        <w:ind w:left="44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  Personal Data Authorization. The Purchaser consents to the collection, use and transfer of personal data as described in this Subsection (e). The Purchaser understands and acknowledges that the Company, the Purchaser’s employer and the Company’s other Subsidiaries hold certain personal information regarding the Purchaser for the purpose of managing and administering the Plan, including (without limitation) the Purchaser’s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Purchaser’s favor (the “Data”). The Purchaser further understands and acknowledges that the Company and/or its Subsidiaries will transfer Data among themselves as necessary for the purpose of implementation, administration and management of the Purchaser’s participation in the Plan and that the Company and/or any Subsidiary may each further transfer Data to any third party assisting the Company in the implementation, administration and management of the Plan. The Purchaser understands and acknowledges that the recipients of Data may be located in the United States or elsewhere. The Purchaser authorizes such recipients to receive, possess, use, retain and transfer Data, in electronic or other form, for the purpose of administering the Purchaser’s participation in the Plan, including a transfer to any broker or other third party with whom the Purchaser elects to deposit Shares acquired under the Plan of such Data as may be required for the administration of the Plan and/or the subsequent holding of Shares on the Purchaser’s behalf. The Purchaser may, at any time, view the Data, require any necessary modifications of Data or withdraw the consents set forth in this Subsection (e) by contacting the Company in writing.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DEFINITIONS.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“Agreement” shall mean this Stock Purchase Agreement.</w:t>
      </w:r>
    </w:p>
    <w:p>
      <w:pPr>
        <w:spacing w:after="0" w:line="111" w:lineRule="exact"/>
        <w:rPr>
          <w:sz w:val="20"/>
          <w:szCs w:val="20"/>
          <w:color w:val="auto"/>
        </w:rPr>
      </w:pPr>
    </w:p>
    <w:p>
      <w:pPr>
        <w:ind w:left="440" w:right="580"/>
        <w:spacing w:after="0" w:line="274" w:lineRule="auto"/>
        <w:rPr>
          <w:sz w:val="20"/>
          <w:szCs w:val="20"/>
          <w:color w:val="auto"/>
        </w:rPr>
      </w:pPr>
      <w:r>
        <w:rPr>
          <w:rFonts w:ascii="Times New Roman" w:cs="Times New Roman" w:eastAsia="Times New Roman" w:hAnsi="Times New Roman"/>
          <w:sz w:val="18"/>
          <w:szCs w:val="18"/>
          <w:color w:val="auto"/>
        </w:rPr>
        <w:t>(b)  “Board of Directors” shall mean the Board of Directors of the Company, as constituted from time to time or, if a Committee has been appointed, such Committee.</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“Company” shall mean CG Oncology, Inc., a Delaware corporation.</w:t>
      </w:r>
    </w:p>
    <w:p>
      <w:pPr>
        <w:spacing w:after="0" w:line="111" w:lineRule="exact"/>
        <w:rPr>
          <w:sz w:val="20"/>
          <w:szCs w:val="20"/>
          <w:color w:val="auto"/>
        </w:rPr>
      </w:pPr>
    </w:p>
    <w:p>
      <w:pPr>
        <w:ind w:left="440" w:right="920"/>
        <w:spacing w:after="0" w:line="274" w:lineRule="auto"/>
        <w:rPr>
          <w:sz w:val="20"/>
          <w:szCs w:val="20"/>
          <w:color w:val="auto"/>
        </w:rPr>
      </w:pPr>
      <w:r>
        <w:rPr>
          <w:rFonts w:ascii="Times New Roman" w:cs="Times New Roman" w:eastAsia="Times New Roman" w:hAnsi="Times New Roman"/>
          <w:sz w:val="18"/>
          <w:szCs w:val="18"/>
          <w:color w:val="auto"/>
        </w:rPr>
        <w:t>(d)  “Immediate Family” shall mean any child, stepchild, grandchild, parent, stepparent, grandparent, spouse, sibling, mother-in-law, father-in-law, son-in-law, daughter-in-law, brother-in-law or sister-in-law and shall include adoptive relationships.</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“Plan” shall mean the CG Oncology, Inc. 2015 Equity Incentive Plan.</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“Purchased Shares” shall mean the Shares purchased by the Purchaser pursuant to this Agreement.</w:t>
      </w:r>
    </w:p>
    <w:p>
      <w:pPr>
        <w:spacing w:after="0" w:line="111" w:lineRule="exact"/>
        <w:rPr>
          <w:sz w:val="20"/>
          <w:szCs w:val="20"/>
          <w:color w:val="auto"/>
        </w:rPr>
      </w:pPr>
    </w:p>
    <w:p>
      <w:pPr>
        <w:ind w:left="440" w:right="120"/>
        <w:spacing w:after="0" w:line="274" w:lineRule="auto"/>
        <w:rPr>
          <w:sz w:val="20"/>
          <w:szCs w:val="20"/>
          <w:color w:val="auto"/>
        </w:rPr>
      </w:pPr>
      <w:r>
        <w:rPr>
          <w:rFonts w:ascii="Times New Roman" w:cs="Times New Roman" w:eastAsia="Times New Roman" w:hAnsi="Times New Roman"/>
          <w:sz w:val="18"/>
          <w:szCs w:val="18"/>
          <w:color w:val="auto"/>
        </w:rPr>
        <w:t>(g)  “Purchase Price” shall mean the amount for which one Share may be purchased pursuant to this Agreement, as specified in the Summary of Stock Purchase.</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   “Purchaser” shall mean the person named in the Summary of Stock Purchase.</w:t>
      </w:r>
    </w:p>
    <w:p>
      <w:pPr>
        <w:spacing w:after="0" w:line="111" w:lineRule="exact"/>
        <w:rPr>
          <w:sz w:val="20"/>
          <w:szCs w:val="20"/>
          <w:color w:val="auto"/>
        </w:rPr>
      </w:pPr>
    </w:p>
    <w:p>
      <w:pPr>
        <w:ind w:left="440" w:right="240"/>
        <w:spacing w:after="0" w:line="274" w:lineRule="auto"/>
        <w:rPr>
          <w:sz w:val="20"/>
          <w:szCs w:val="20"/>
          <w:color w:val="auto"/>
        </w:rPr>
      </w:pPr>
      <w:r>
        <w:rPr>
          <w:rFonts w:ascii="Times New Roman" w:cs="Times New Roman" w:eastAsia="Times New Roman" w:hAnsi="Times New Roman"/>
          <w:sz w:val="18"/>
          <w:szCs w:val="18"/>
          <w:color w:val="auto"/>
        </w:rPr>
        <w:t>(i)  “Repurchase Period” shall mean a period of 90 consecutive days commencing on the date when the Purchaser’s Service terminates for any reason, including (without limitation) death or disability.</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   “Restricted Share” shall mean a Purchased Share that is subject to the Right of Repurchase.</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   “Right of First Refusal” shall mean the Company’s right of first refusal described in Section 3.</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   “Right of Repurchase” shall mean the Company’s right of repurchase described in Section 2.</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   “Service” means service as an Employee, Outside Director or Consultant.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   “Transferee” shall mean any person to whom the Purchaser has directly or indirectly transferred any Purchased Share.</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   “Transfer Notice” shall mean the notice of a proposed transfer of Purchased Shares described in Section 3.</w:t>
      </w:r>
    </w:p>
    <w:p>
      <w:pPr>
        <w:sectPr>
          <w:pgSz w:w="11900" w:h="16838" w:orient="portrait"/>
          <w:cols w:equalWidth="0" w:num="1">
            <w:col w:w="10800"/>
          </w:cols>
          <w:pgMar w:left="540" w:top="266" w:right="559" w:bottom="1440" w:gutter="0" w:footer="0" w:header="0"/>
        </w:sectPr>
      </w:pPr>
    </w:p>
    <w:bookmarkStart w:id="350" w:name="page351"/>
    <w:bookmarkEnd w:id="350"/>
    <w:p>
      <w:pPr>
        <w:jc w:val="center"/>
        <w:ind w:right="-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1</w:t>
      </w:r>
    </w:p>
    <w:p>
      <w:pPr>
        <w:spacing w:after="0" w:line="2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SECTION 83(b) ELECTION</w:t>
      </w:r>
    </w:p>
    <w:p>
      <w:pPr>
        <w:spacing w:after="0" w:line="198" w:lineRule="exact"/>
        <w:rPr>
          <w:sz w:val="20"/>
          <w:szCs w:val="20"/>
          <w:color w:val="auto"/>
        </w:rPr>
      </w:pPr>
    </w:p>
    <w:p>
      <w:pPr>
        <w:ind w:left="2" w:right="160"/>
        <w:spacing w:after="0" w:line="259" w:lineRule="auto"/>
        <w:rPr>
          <w:sz w:val="20"/>
          <w:szCs w:val="20"/>
          <w:color w:val="auto"/>
        </w:rPr>
      </w:pPr>
      <w:r>
        <w:rPr>
          <w:rFonts w:ascii="Times New Roman" w:cs="Times New Roman" w:eastAsia="Times New Roman" w:hAnsi="Times New Roman"/>
          <w:sz w:val="18"/>
          <w:szCs w:val="18"/>
          <w:color w:val="auto"/>
        </w:rPr>
        <w:t>The undersigned taxpayer hereby elects, pursuant to Section 83(b) of the Internal Revenue Code of 1986, as amended, and pursuant to Treasury Regulations Section 1.83-2, to include in gross income as compensation for services the excess (if any) of the fair market value of the shares described below over an amount paid for those shares.</w:t>
      </w:r>
    </w:p>
    <w:p>
      <w:pPr>
        <w:spacing w:after="0" w:line="72"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(a)   The taxpayer who performed the services is:</w:t>
      </w:r>
    </w:p>
    <w:p>
      <w:pPr>
        <w:spacing w:after="0" w:line="111"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8"/>
          <w:szCs w:val="18"/>
          <w:color w:val="auto"/>
        </w:rPr>
        <w:t>Address:</w:t>
      </w:r>
    </w:p>
    <w:p>
      <w:pPr>
        <w:spacing w:after="0" w:line="92"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8"/>
          <w:szCs w:val="18"/>
          <w:color w:val="auto"/>
        </w:rPr>
        <w:t>Social Security No.:</w:t>
      </w:r>
    </w:p>
    <w:p>
      <w:pPr>
        <w:spacing w:after="0" w:line="111" w:lineRule="exact"/>
        <w:rPr>
          <w:sz w:val="20"/>
          <w:szCs w:val="20"/>
          <w:color w:val="auto"/>
        </w:rPr>
      </w:pPr>
    </w:p>
    <w:p>
      <w:pPr>
        <w:ind w:left="442"/>
        <w:spacing w:after="0"/>
        <w:tabs>
          <w:tab w:leader="none" w:pos="5682" w:val="left"/>
        </w:tabs>
        <w:rPr>
          <w:sz w:val="20"/>
          <w:szCs w:val="20"/>
          <w:color w:val="auto"/>
        </w:rPr>
      </w:pPr>
      <w:r>
        <w:rPr>
          <w:rFonts w:ascii="Times New Roman" w:cs="Times New Roman" w:eastAsia="Times New Roman" w:hAnsi="Times New Roman"/>
          <w:sz w:val="18"/>
          <w:szCs w:val="18"/>
          <w:color w:val="auto"/>
        </w:rPr>
        <w:t xml:space="preserve">(b)   The property with respect to which the election is made is           </w:t>
      </w:r>
      <w:r>
        <w:rPr>
          <w:sz w:val="20"/>
          <w:szCs w:val="20"/>
          <w:color w:val="auto"/>
        </w:rPr>
        <w:tab/>
      </w:r>
      <w:r>
        <w:rPr>
          <w:rFonts w:ascii="Times New Roman" w:cs="Times New Roman" w:eastAsia="Times New Roman" w:hAnsi="Times New Roman"/>
          <w:sz w:val="17"/>
          <w:szCs w:val="17"/>
          <w:color w:val="auto"/>
        </w:rPr>
        <w:t>shares of the common stock of CG Oncology, Inc.</w:t>
      </w:r>
    </w:p>
    <w:p>
      <w:pPr>
        <w:spacing w:after="0" w:line="111"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(c)   The property was transferred to the taxpayer on          ,       .</w:t>
      </w:r>
    </w:p>
    <w:p>
      <w:pPr>
        <w:spacing w:after="0" w:line="111"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(d)   The taxable year for which the election is made is the calendar year       .</w:t>
      </w:r>
    </w:p>
    <w:p>
      <w:pPr>
        <w:spacing w:after="0" w:line="111" w:lineRule="exact"/>
        <w:rPr>
          <w:sz w:val="20"/>
          <w:szCs w:val="20"/>
          <w:color w:val="auto"/>
        </w:rPr>
      </w:pPr>
    </w:p>
    <w:p>
      <w:pPr>
        <w:jc w:val="both"/>
        <w:ind w:left="442" w:right="300"/>
        <w:spacing w:after="0" w:line="259" w:lineRule="auto"/>
        <w:rPr>
          <w:sz w:val="20"/>
          <w:szCs w:val="20"/>
          <w:color w:val="auto"/>
        </w:rPr>
      </w:pPr>
      <w:r>
        <w:rPr>
          <w:rFonts w:ascii="Times New Roman" w:cs="Times New Roman" w:eastAsia="Times New Roman" w:hAnsi="Times New Roman"/>
          <w:sz w:val="18"/>
          <w:szCs w:val="18"/>
          <w:color w:val="auto"/>
        </w:rPr>
        <w:t>(e)  The property is subject to a repurchase right pursuant to which the issuer has the right to acquire the property if for any reason taxpayer’s service with the issuer terminates. The issuer’s repurchase right lapses in a series of installments over a       -year period ending on       ,     .</w:t>
      </w:r>
    </w:p>
    <w:p>
      <w:pPr>
        <w:spacing w:after="0" w:line="72" w:lineRule="exact"/>
        <w:rPr>
          <w:sz w:val="20"/>
          <w:szCs w:val="20"/>
          <w:color w:val="auto"/>
        </w:rPr>
      </w:pPr>
    </w:p>
    <w:p>
      <w:pPr>
        <w:ind w:left="442" w:right="140"/>
        <w:spacing w:after="0" w:line="274" w:lineRule="auto"/>
        <w:rPr>
          <w:sz w:val="20"/>
          <w:szCs w:val="20"/>
          <w:color w:val="auto"/>
        </w:rPr>
      </w:pPr>
      <w:r>
        <w:rPr>
          <w:rFonts w:ascii="Times New Roman" w:cs="Times New Roman" w:eastAsia="Times New Roman" w:hAnsi="Times New Roman"/>
          <w:sz w:val="18"/>
          <w:szCs w:val="18"/>
          <w:color w:val="auto"/>
        </w:rPr>
        <w:t>(f)  The fair market value of such property at the time of transfer (determined without regard to any restriction other than a restriction that by its terms will never lapse) is $    per share x    shares = $    .</w:t>
      </w:r>
    </w:p>
    <w:p>
      <w:pPr>
        <w:sectPr>
          <w:pgSz w:w="11900" w:h="16838" w:orient="portrait"/>
          <w:cols w:equalWidth="0" w:num="1">
            <w:col w:w="10802"/>
          </w:cols>
          <w:pgMar w:left="538" w:top="267" w:right="559" w:bottom="1440" w:gutter="0" w:footer="0" w:header="0"/>
        </w:sectPr>
      </w:pPr>
    </w:p>
    <w:p>
      <w:pPr>
        <w:spacing w:after="0" w:line="5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 xml:space="preserve">(g)   For the property transferred, the taxpayer paid $    </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per share ×    </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 $      .</w:t>
      </w:r>
    </w:p>
    <w:p>
      <w:pPr>
        <w:spacing w:after="0" w:line="111" w:lineRule="exact"/>
        <w:rPr>
          <w:sz w:val="20"/>
          <w:szCs w:val="20"/>
          <w:color w:val="auto"/>
        </w:rPr>
      </w:pPr>
    </w:p>
    <w:p>
      <w:pPr>
        <w:sectPr>
          <w:pgSz w:w="11900" w:h="16838" w:orient="portrait"/>
          <w:cols w:equalWidth="0" w:num="3">
            <w:col w:w="4422" w:space="180"/>
            <w:col w:w="1020" w:space="160"/>
            <w:col w:w="5020"/>
          </w:cols>
          <w:pgMar w:left="538" w:top="267" w:right="559" w:bottom="1440" w:gutter="0" w:footer="0" w:header="0"/>
          <w:type w:val="continuous"/>
        </w:sectPr>
      </w:pPr>
    </w:p>
    <w:p>
      <w:pPr>
        <w:ind w:left="442"/>
        <w:spacing w:after="0"/>
        <w:rPr>
          <w:sz w:val="20"/>
          <w:szCs w:val="20"/>
          <w:color w:val="auto"/>
        </w:rPr>
      </w:pPr>
      <w:r>
        <w:rPr>
          <w:rFonts w:ascii="Times New Roman" w:cs="Times New Roman" w:eastAsia="Times New Roman" w:hAnsi="Times New Roman"/>
          <w:sz w:val="17"/>
          <w:szCs w:val="17"/>
          <w:color w:val="auto"/>
        </w:rPr>
        <w:t>(h)   The amount to include in gross income is $      . [The amount in Item f less the amount in Item g]</w:t>
      </w:r>
    </w:p>
    <w:p>
      <w:pPr>
        <w:sectPr>
          <w:pgSz w:w="11900" w:h="16838" w:orient="portrait"/>
          <w:cols w:equalWidth="0" w:num="1">
            <w:col w:w="10802"/>
          </w:cols>
          <w:pgMar w:left="538" w:top="267" w:right="559" w:bottom="1440" w:gutter="0" w:footer="0" w:header="0"/>
          <w:type w:val="continuous"/>
        </w:sectPr>
      </w:pPr>
    </w:p>
    <w:p>
      <w:pPr>
        <w:spacing w:after="0" w:line="123" w:lineRule="exact"/>
        <w:rPr>
          <w:sz w:val="20"/>
          <w:szCs w:val="20"/>
          <w:color w:val="auto"/>
        </w:rPr>
      </w:pPr>
    </w:p>
    <w:p>
      <w:pPr>
        <w:ind w:left="442" w:right="540"/>
        <w:spacing w:after="0" w:line="274" w:lineRule="auto"/>
        <w:rPr>
          <w:sz w:val="20"/>
          <w:szCs w:val="20"/>
          <w:color w:val="auto"/>
        </w:rPr>
      </w:pPr>
      <w:r>
        <w:rPr>
          <w:rFonts w:ascii="Times New Roman" w:cs="Times New Roman" w:eastAsia="Times New Roman" w:hAnsi="Times New Roman"/>
          <w:sz w:val="18"/>
          <w:szCs w:val="18"/>
          <w:color w:val="auto"/>
        </w:rPr>
        <w:t>(i)  A copy of this statement was furnished to CG Oncology, Inc., for whom taxpayer rendered the services underlying the transfer of such property.</w:t>
      </w:r>
    </w:p>
    <w:p>
      <w:pPr>
        <w:spacing w:after="0" w:line="5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(j) This statement is executed on          ,       .</w:t>
      </w:r>
    </w:p>
    <w:p>
      <w:pPr>
        <w:spacing w:after="0" w:line="244"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Spouse (if any)</w:t>
            </w:r>
          </w:p>
        </w:tc>
        <w:tc>
          <w:tcPr>
            <w:tcW w:w="660" w:type="dxa"/>
            <w:vAlign w:val="bottom"/>
          </w:tcPr>
          <w:p>
            <w:pPr>
              <w:spacing w:after="0"/>
              <w:rPr>
                <w:sz w:val="19"/>
                <w:szCs w:val="19"/>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Taxpayer</w:t>
            </w:r>
          </w:p>
        </w:tc>
      </w:tr>
    </w:tbl>
    <w:p>
      <w:pPr>
        <w:spacing w:after="0" w:line="184" w:lineRule="exact"/>
        <w:rPr>
          <w:sz w:val="20"/>
          <w:szCs w:val="20"/>
          <w:color w:val="auto"/>
        </w:rPr>
      </w:pPr>
    </w:p>
    <w:p>
      <w:pPr>
        <w:ind w:left="2" w:right="10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Within 30 days after the date of transfer of the property, this election must be filed with the Internal Revenue Service office where the taxpayer files his or her annual federal income tax return. The filing should be made by registered or certified mail, return receipt requested. The taxpayer must</w:t>
      </w:r>
    </w:p>
    <w:p>
      <w:pPr>
        <w:spacing w:after="0" w:line="1" w:lineRule="exact"/>
        <w:rPr>
          <w:sz w:val="20"/>
          <w:szCs w:val="20"/>
          <w:color w:val="auto"/>
        </w:rPr>
      </w:pPr>
    </w:p>
    <w:p>
      <w:pPr>
        <w:ind w:left="242" w:hanging="242"/>
        <w:spacing w:after="0"/>
        <w:tabs>
          <w:tab w:leader="none" w:pos="242" w:val="left"/>
        </w:tabs>
        <w:numPr>
          <w:ilvl w:val="0"/>
          <w:numId w:val="2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include a copy of the completed form with his or her federal income tax return for the taxable year in which the property is transferred and</w:t>
      </w:r>
    </w:p>
    <w:p>
      <w:pPr>
        <w:spacing w:after="0" w:line="5" w:lineRule="exact"/>
        <w:rPr>
          <w:rFonts w:ascii="Times New Roman" w:cs="Times New Roman" w:eastAsia="Times New Roman" w:hAnsi="Times New Roman"/>
          <w:sz w:val="18"/>
          <w:szCs w:val="18"/>
          <w:b w:val="1"/>
          <w:bCs w:val="1"/>
          <w:i w:val="1"/>
          <w:iCs w:val="1"/>
          <w:color w:val="auto"/>
        </w:rPr>
      </w:pPr>
    </w:p>
    <w:p>
      <w:pPr>
        <w:ind w:left="242" w:hanging="242"/>
        <w:spacing w:after="0"/>
        <w:tabs>
          <w:tab w:leader="none" w:pos="242" w:val="left"/>
        </w:tabs>
        <w:numPr>
          <w:ilvl w:val="0"/>
          <w:numId w:val="2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deliver an additional copy to the Company.</w:t>
      </w:r>
    </w:p>
    <w:p>
      <w:pPr>
        <w:sectPr>
          <w:pgSz w:w="11900" w:h="16838" w:orient="portrait"/>
          <w:cols w:equalWidth="0" w:num="1">
            <w:col w:w="10802"/>
          </w:cols>
          <w:pgMar w:left="538" w:top="267" w:right="559" w:bottom="1440" w:gutter="0" w:footer="0" w:header="0"/>
          <w:type w:val="continuous"/>
        </w:sectPr>
      </w:pPr>
    </w:p>
    <w:bookmarkStart w:id="351" w:name="page352"/>
    <w:bookmarkEnd w:id="351"/>
    <w:p>
      <w:pPr>
        <w:ind w:left="4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CG ONCOLOGY, INC.</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STOCK OPTION AGREEMENT</w:t>
      </w:r>
    </w:p>
    <w:p>
      <w:pPr>
        <w:spacing w:after="0" w:line="219" w:lineRule="exact"/>
        <w:rPr>
          <w:sz w:val="20"/>
          <w:szCs w:val="20"/>
          <w:color w:val="auto"/>
        </w:rPr>
      </w:pPr>
    </w:p>
    <w:p>
      <w:pPr>
        <w:ind w:right="160" w:firstLine="432"/>
        <w:spacing w:after="0" w:line="259" w:lineRule="auto"/>
        <w:rPr>
          <w:sz w:val="20"/>
          <w:szCs w:val="20"/>
          <w:color w:val="auto"/>
        </w:rPr>
      </w:pPr>
      <w:r>
        <w:rPr>
          <w:rFonts w:ascii="Times New Roman" w:cs="Times New Roman" w:eastAsia="Times New Roman" w:hAnsi="Times New Roman"/>
          <w:sz w:val="18"/>
          <w:szCs w:val="18"/>
          <w:color w:val="auto"/>
        </w:rPr>
        <w:t>Unless otherwise defined herein, the terms defined in the CG Oncology, Inc. 2015 Equity Incentive Plan (the “Plan”) will have the same defined meanings in this Stock Option Agreement (the “Agreement”), including the Notice of Stock Option Grant (the “Notice of Grant”) and Terms and Conditions of Stock Option Grant, attached hereto as Exhibit 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has been granted an Option to purchase Common Stock of CG Oncology, Inc. (the “Company”), subject to the terms and conditions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 this Agreement, as follows:</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 Number:</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of Grant: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Number of Shares Granted:</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Exercise Price per Share: $</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Exercise Price: $</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Type of Option:</w:t>
      </w:r>
    </w:p>
    <w:p>
      <w:pPr>
        <w:spacing w:after="0" w:line="1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___ Incentive Stock Option</w:t>
      </w:r>
    </w:p>
    <w:p>
      <w:pPr>
        <w:spacing w:after="0" w:line="1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___ Nonstatutory Stock Option</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Term/Expiration Date: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Schedule:</w:t>
      </w:r>
    </w:p>
    <w:p>
      <w:pPr>
        <w:spacing w:after="0" w:line="113" w:lineRule="exact"/>
        <w:rPr>
          <w:sz w:val="20"/>
          <w:szCs w:val="20"/>
          <w:color w:val="auto"/>
        </w:rPr>
      </w:pPr>
    </w:p>
    <w:p>
      <w:pPr>
        <w:ind w:right="660" w:firstLine="432"/>
        <w:spacing w:after="0" w:line="274" w:lineRule="auto"/>
        <w:rPr>
          <w:sz w:val="20"/>
          <w:szCs w:val="20"/>
          <w:color w:val="auto"/>
        </w:rPr>
      </w:pPr>
      <w:r>
        <w:rPr>
          <w:rFonts w:ascii="Times New Roman" w:cs="Times New Roman" w:eastAsia="Times New Roman" w:hAnsi="Times New Roman"/>
          <w:sz w:val="18"/>
          <w:szCs w:val="18"/>
          <w:color w:val="auto"/>
        </w:rPr>
        <w:t>Subject to accelerated vesting as set forth below or in the Plan, this Option will be exercisable, in whole or in part, in accordance with the following schedule:</w:t>
      </w:r>
    </w:p>
    <w:p>
      <w:pPr>
        <w:spacing w:after="0" w:line="5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Twenty-five percent (25%) of the Shares subject to the Option shall vest twelve (12) months after the Vesting Commencement Date, and thereafter 1/36 of the remaining unvested Shares subject to the Option shall vest on each of the next thirty-six (36) monthly anniversaries of the Vesting Commencement Date (and if there is no corresponding day, on the last day of the month), subject to Participant continuing to be a Service Provider through each such date.</w:t>
      </w:r>
    </w:p>
    <w:p>
      <w:pPr>
        <w:spacing w:after="0" w:line="180" w:lineRule="exact"/>
        <w:rPr>
          <w:sz w:val="20"/>
          <w:szCs w:val="20"/>
          <w:color w:val="auto"/>
        </w:rPr>
      </w:pPr>
    </w:p>
    <w:p>
      <w:pPr>
        <w:ind w:right="40" w:firstLine="432"/>
        <w:spacing w:after="0" w:line="249" w:lineRule="auto"/>
        <w:rPr>
          <w:sz w:val="20"/>
          <w:szCs w:val="20"/>
          <w:color w:val="auto"/>
        </w:rPr>
      </w:pPr>
      <w:r>
        <w:rPr>
          <w:rFonts w:ascii="Times New Roman" w:cs="Times New Roman" w:eastAsia="Times New Roman" w:hAnsi="Times New Roman"/>
          <w:sz w:val="18"/>
          <w:szCs w:val="18"/>
          <w:color w:val="auto"/>
        </w:rPr>
        <w:t>Notwithstanding the foregoing, the vesting of the Shares subject to the Option shall be subject to any vesting acceleration provisions applicable to this Option contained in the Plan and/or any employment or service agreement, offer letter, change in control severance agreement or policy, or any other agreement or policy that, prior to and effective as of the date of this Agreement, has been entered into or agreed upon, as the case may be, between Participant and the Company or any parent or subsidiary corporation of the Company (such agreement or policy, a “Separate Agreement”) to the extent not otherwise duplicative of the vesting terms described above (by way of example, if a Separate Agreement provides for different acceleration of vesting provisions for all of Participant’s stock options upon a termination of Participant as a Service Provider for “good reason” that is defined differently, and the Participant’s status as a Service Provider terminates in a manner that would trigger “good reason” under the Separate Agreement but not under this Agreement, the Participant would remain entitled to the acceleration of vesting under the Separate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 Option Agreement, page 1</w:t>
      </w:r>
    </w:p>
    <w:p>
      <w:pPr>
        <w:sectPr>
          <w:pgSz w:w="11900" w:h="16838" w:orient="portrait"/>
          <w:cols w:equalWidth="0" w:num="1">
            <w:col w:w="10800"/>
          </w:cols>
          <w:pgMar w:left="540" w:top="265" w:right="55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Termination Period:</w:t>
      </w:r>
    </w:p>
    <w:p>
      <w:pPr>
        <w:spacing w:after="0" w:line="113"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18"/>
          <w:szCs w:val="18"/>
          <w:color w:val="auto"/>
        </w:rPr>
        <w:t>Except as provided in a Separate Agreement, this Option will be exercisable for thirty (30) calendar days after Participant ceases to be a Service Provider, unless such termination is due to Participant’s death or Disability, in which case this Option will be exercisable for twelve (12) months after Participant ceases to be a Service Provider. Notwithstanding the foregoing sentence, if the exercise of the Option within the applicable time periods set forth in the preceding sentence is prevented by Section 18 of the Plan, the Option shall remain exercisable until thirty (30) days (or such longer period of time as determined by the Administrator, in its discretion) after the date Participant is notified by the Company that the Option is exercisable, but in any event no later than the expiration of the term of the Option as set forth in the Notice of Grant. Notwithstanding anything herein to the contrary, in no event may this Option be exercised after the Term/Expiration Date as provided above and may be subject to earlier termination as provided in Section 11 of the Plan.</w:t>
      </w:r>
    </w:p>
    <w:p>
      <w:pPr>
        <w:spacing w:after="0" w:line="190" w:lineRule="exact"/>
        <w:rPr>
          <w:sz w:val="20"/>
          <w:szCs w:val="20"/>
          <w:color w:val="auto"/>
        </w:rPr>
      </w:pPr>
    </w:p>
    <w:p>
      <w:pPr>
        <w:ind w:right="20" w:firstLine="432"/>
        <w:spacing w:after="0" w:line="251" w:lineRule="auto"/>
        <w:rPr>
          <w:sz w:val="20"/>
          <w:szCs w:val="20"/>
          <w:color w:val="auto"/>
        </w:rPr>
      </w:pPr>
      <w:r>
        <w:rPr>
          <w:rFonts w:ascii="Times New Roman" w:cs="Times New Roman" w:eastAsia="Times New Roman" w:hAnsi="Times New Roman"/>
          <w:sz w:val="18"/>
          <w:szCs w:val="18"/>
          <w:color w:val="auto"/>
        </w:rPr>
        <w:t>By Participant’s signature and the signature of the Company’s representative below, Participant and the Company agree that this Option is granted under and governed by the terms and conditions of the Plan and this Agreement, including exhibits hereto, all of which are made a part of this document. Participant has reviewed the Plan and this Agreement in their entirety, has had an opportunity to obtain the advice of counsel prior to executing this Agreement and fully understands all provisions of the Plan and Agreement. Participant hereby agrees to accept as binding, conclusive and final all decisions or interpretations of the Administrator upon any questions relating to the Plan and Agreement. Participant further agrees to notify the Company upon any change in the residence address indicated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PARTICIPANT</w:t>
            </w:r>
          </w:p>
        </w:tc>
        <w:tc>
          <w:tcPr>
            <w:tcW w:w="2600" w:type="dxa"/>
            <w:vAlign w:val="bottom"/>
          </w:tcPr>
          <w:p>
            <w:pPr>
              <w:spacing w:after="0"/>
              <w:rPr>
                <w:sz w:val="21"/>
                <w:szCs w:val="21"/>
                <w:color w:val="auto"/>
              </w:rPr>
            </w:pPr>
          </w:p>
        </w:tc>
        <w:tc>
          <w:tcPr>
            <w:tcW w:w="55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CG ONCOLOGY, INC.</w:t>
            </w:r>
          </w:p>
        </w:tc>
      </w:tr>
      <w:tr>
        <w:trPr>
          <w:trHeight w:val="43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7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4"/>
                <w:szCs w:val="24"/>
                <w:color w:val="auto"/>
              </w:rPr>
            </w:pPr>
          </w:p>
        </w:tc>
      </w:tr>
      <w:tr>
        <w:trPr>
          <w:trHeight w:val="41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17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bottom w:val="single" w:sz="8" w:color="auto"/>
            </w:tcBorders>
          </w:tcPr>
          <w:p>
            <w:pPr>
              <w:spacing w:after="0"/>
              <w:rPr>
                <w:sz w:val="24"/>
                <w:szCs w:val="24"/>
                <w:color w:val="auto"/>
              </w:rPr>
            </w:pPr>
          </w:p>
        </w:tc>
      </w:tr>
      <w:tr>
        <w:trPr>
          <w:trHeight w:val="41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7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Borders>
              <w:bottom w:val="single" w:sz="8" w:color="auto"/>
            </w:tcBorders>
          </w:tcPr>
          <w:p>
            <w:pPr>
              <w:spacing w:after="0"/>
              <w:rPr>
                <w:sz w:val="24"/>
                <w:szCs w:val="24"/>
                <w:color w:val="auto"/>
              </w:rPr>
            </w:pPr>
          </w:p>
        </w:tc>
      </w:tr>
      <w:tr>
        <w:trPr>
          <w:trHeight w:val="352"/>
        </w:trPr>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1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Stock Option Agreement, page 2</w:t>
            </w:r>
          </w:p>
        </w:tc>
      </w:tr>
    </w:tbl>
    <w:p>
      <w:pPr>
        <w:sectPr>
          <w:pgSz w:w="11900" w:h="16838" w:orient="portrait"/>
          <w:cols w:equalWidth="0" w:num="1">
            <w:col w:w="10800"/>
          </w:cols>
          <w:pgMar w:left="540" w:top="265" w:right="559" w:bottom="1440" w:gutter="0" w:footer="0" w:header="0"/>
        </w:sectPr>
      </w:pPr>
    </w:p>
    <w:bookmarkStart w:id="353" w:name="page354"/>
    <w:bookmarkEnd w:id="3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A</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STOCK OPTION GRANT</w:t>
      </w:r>
    </w:p>
    <w:p>
      <w:pPr>
        <w:spacing w:after="0" w:line="219" w:lineRule="exact"/>
        <w:rPr>
          <w:sz w:val="20"/>
          <w:szCs w:val="20"/>
          <w:color w:val="auto"/>
        </w:rPr>
      </w:pPr>
    </w:p>
    <w:p>
      <w:pPr>
        <w:ind w:left="-20" w:right="100" w:firstLine="430"/>
        <w:spacing w:after="0" w:line="252" w:lineRule="auto"/>
        <w:tabs>
          <w:tab w:leader="none" w:pos="58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hereby grants to the Participant named in the Notice of Grant (the “Participant”) an option (the “Option”) to purchase the number of Shares, as set forth in the Notice of Grant, at the exercise price per Share set forth in the Notice of Grant (the “Exercise Price”), subject to all of the terms and conditions in this Agreement, the Plan, and the Separate Agreement (as applicable), which are incorporated herein by reference. In the event of a conflict between the terms and conditions of the Plan and the terms and conditions of this Agreement, the terms and conditions of the Plan will prevail.</w:t>
      </w:r>
    </w:p>
    <w:p>
      <w:pPr>
        <w:spacing w:after="0" w:line="79" w:lineRule="exact"/>
        <w:rPr>
          <w:rFonts w:ascii="Times New Roman" w:cs="Times New Roman" w:eastAsia="Times New Roman" w:hAnsi="Times New Roman"/>
          <w:sz w:val="18"/>
          <w:szCs w:val="18"/>
          <w:color w:val="auto"/>
        </w:rPr>
      </w:pPr>
    </w:p>
    <w:p>
      <w:pPr>
        <w:jc w:val="both"/>
        <w:ind w:left="420" w:right="60" w:firstLine="405"/>
        <w:spacing w:after="0" w:line="268" w:lineRule="auto"/>
        <w:tabs>
          <w:tab w:leader="none" w:pos="1075"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Incentive Stock Option, to the extent that it exceeds the $100,000 rule of Code</w:t>
      </w:r>
    </w:p>
    <w:p>
      <w:pPr>
        <w:ind w:left="420" w:right="2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82" w:lineRule="exact"/>
        <w:rPr>
          <w:rFonts w:ascii="Times New Roman" w:cs="Times New Roman" w:eastAsia="Times New Roman" w:hAnsi="Times New Roman"/>
          <w:sz w:val="17"/>
          <w:szCs w:val="17"/>
          <w:color w:val="auto"/>
        </w:rPr>
      </w:pPr>
    </w:p>
    <w:p>
      <w:pPr>
        <w:ind w:left="1080" w:hanging="255"/>
        <w:spacing w:after="0"/>
        <w:tabs>
          <w:tab w:leader="none" w:pos="108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non-U.S. taxpayers and Participants not subject to U.S. taxation, the Option will be designated as an NSO.</w:t>
      </w:r>
    </w:p>
    <w:p>
      <w:pPr>
        <w:spacing w:after="0" w:line="217" w:lineRule="exact"/>
        <w:rPr>
          <w:rFonts w:ascii="Times New Roman" w:cs="Times New Roman" w:eastAsia="Times New Roman" w:hAnsi="Times New Roman"/>
          <w:sz w:val="18"/>
          <w:szCs w:val="18"/>
          <w:color w:val="auto"/>
        </w:rPr>
      </w:pPr>
    </w:p>
    <w:p>
      <w:pPr>
        <w:ind w:left="-20" w:right="60" w:firstLine="430"/>
        <w:spacing w:after="0" w:line="255" w:lineRule="auto"/>
        <w:tabs>
          <w:tab w:leader="none" w:pos="58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3, the Option awarded by this Agreement will vest in accordance with the vesting provisions set forth in the Notice of Grant. Shares scheduled to vest on a certain date or upon the occurrence of a certain condition will not vest in Participant in accordance with any of the provisions of this Agreement, unless Participant will have been continuously a Service Provider from the Date of Grant until the date such vesting occurs.</w:t>
      </w:r>
    </w:p>
    <w:p>
      <w:pPr>
        <w:spacing w:after="0" w:line="180" w:lineRule="exact"/>
        <w:rPr>
          <w:rFonts w:ascii="Times New Roman" w:cs="Times New Roman" w:eastAsia="Times New Roman" w:hAnsi="Times New Roman"/>
          <w:sz w:val="18"/>
          <w:szCs w:val="18"/>
          <w:color w:val="auto"/>
        </w:rPr>
      </w:pPr>
    </w:p>
    <w:p>
      <w:pPr>
        <w:ind w:left="-20" w:right="140" w:firstLine="430"/>
        <w:spacing w:after="0" w:line="259" w:lineRule="auto"/>
        <w:tabs>
          <w:tab w:leader="none" w:pos="58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7" w:lineRule="exact"/>
        <w:rPr>
          <w:rFonts w:ascii="Times New Roman" w:cs="Times New Roman" w:eastAsia="Times New Roman" w:hAnsi="Times New Roman"/>
          <w:sz w:val="18"/>
          <w:szCs w:val="18"/>
          <w:color w:val="auto"/>
        </w:rPr>
      </w:pPr>
    </w:p>
    <w:p>
      <w:pPr>
        <w:ind w:left="580" w:hanging="170"/>
        <w:spacing w:after="0"/>
        <w:tabs>
          <w:tab w:leader="none" w:pos="5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420" w:right="220" w:firstLine="405"/>
        <w:spacing w:after="0" w:line="274" w:lineRule="auto"/>
        <w:tabs>
          <w:tab w:leader="none" w:pos="1075"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may be exercised only within the term set out in the Notice of Grant, and may be exercised during such term only in accordance with the Plan and the terms of this Agreement.</w:t>
      </w:r>
    </w:p>
    <w:p>
      <w:pPr>
        <w:spacing w:after="0" w:line="57" w:lineRule="exact"/>
        <w:rPr>
          <w:rFonts w:ascii="Times New Roman" w:cs="Times New Roman" w:eastAsia="Times New Roman" w:hAnsi="Times New Roman"/>
          <w:sz w:val="18"/>
          <w:szCs w:val="18"/>
          <w:color w:val="auto"/>
        </w:rPr>
      </w:pPr>
    </w:p>
    <w:p>
      <w:pPr>
        <w:ind w:left="420" w:firstLine="405"/>
        <w:spacing w:after="0" w:line="250" w:lineRule="auto"/>
        <w:tabs>
          <w:tab w:leader="none" w:pos="1085"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This Option is exercisable by delivery of an exercise notice, in the form attached as Exhibit B (the “Exercise Notice”)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Tax-Related Items (as defined in Section 6(a)). This Option will be deemed to be exercised upon receipt by the Company of such fully executed Exercise Notice accompanied by the aggregate Exercise Price.</w:t>
      </w:r>
    </w:p>
    <w:p>
      <w:pPr>
        <w:spacing w:after="0" w:line="186" w:lineRule="exact"/>
        <w:rPr>
          <w:rFonts w:ascii="Times New Roman" w:cs="Times New Roman" w:eastAsia="Times New Roman" w:hAnsi="Times New Roman"/>
          <w:sz w:val="18"/>
          <w:szCs w:val="18"/>
          <w:color w:val="auto"/>
        </w:rPr>
      </w:pPr>
    </w:p>
    <w:p>
      <w:pPr>
        <w:ind w:left="-20" w:right="520" w:firstLine="430"/>
        <w:spacing w:after="0" w:line="274" w:lineRule="auto"/>
        <w:tabs>
          <w:tab w:leader="none" w:pos="58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will be by any of the following, or a combination thereof, at the election of Participant:</w:t>
      </w:r>
    </w:p>
    <w:p>
      <w:pPr>
        <w:spacing w:after="0" w:line="57" w:lineRule="exact"/>
        <w:rPr>
          <w:rFonts w:ascii="Times New Roman" w:cs="Times New Roman" w:eastAsia="Times New Roman" w:hAnsi="Times New Roman"/>
          <w:sz w:val="18"/>
          <w:szCs w:val="18"/>
          <w:color w:val="auto"/>
        </w:rPr>
      </w:pPr>
    </w:p>
    <w:p>
      <w:pPr>
        <w:ind w:left="1060" w:hanging="235"/>
        <w:spacing w:after="0"/>
        <w:tabs>
          <w:tab w:leader="none" w:pos="10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Exhibit A to Stock Option Agreement, page </w:t>
      </w:r>
      <w:r>
        <w:rPr>
          <w:rFonts w:ascii="Times New Roman" w:cs="Times New Roman" w:eastAsia="Times New Roman" w:hAnsi="Times New Roman"/>
          <w:sz w:val="18"/>
          <w:szCs w:val="18"/>
          <w:b w:val="1"/>
          <w:bCs w:val="1"/>
          <w:color w:val="auto"/>
        </w:rPr>
        <w:t>1</w:t>
      </w:r>
    </w:p>
    <w:p>
      <w:pPr>
        <w:sectPr>
          <w:pgSz w:w="11900" w:h="16838" w:orient="portrait"/>
          <w:cols w:equalWidth="0" w:num="1">
            <w:col w:w="10780"/>
          </w:cols>
          <w:pgMar w:left="560" w:top="264" w:right="559" w:bottom="1440" w:gutter="0" w:footer="0" w:header="0"/>
        </w:sectPr>
      </w:pPr>
    </w:p>
    <w:bookmarkStart w:id="354" w:name="page355"/>
    <w:bookmarkEnd w:id="354"/>
    <w:p>
      <w:pPr>
        <w:ind w:left="670" w:hanging="255"/>
        <w:spacing w:after="0"/>
        <w:tabs>
          <w:tab w:leader="none" w:pos="67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check;</w:t>
      </w:r>
    </w:p>
    <w:p>
      <w:pPr>
        <w:spacing w:after="0" w:line="111" w:lineRule="exact"/>
        <w:rPr>
          <w:rFonts w:ascii="Times New Roman" w:cs="Times New Roman" w:eastAsia="Times New Roman" w:hAnsi="Times New Roman"/>
          <w:sz w:val="18"/>
          <w:szCs w:val="18"/>
          <w:color w:val="auto"/>
        </w:rPr>
      </w:pPr>
    </w:p>
    <w:p>
      <w:pPr>
        <w:ind w:left="650" w:hanging="235"/>
        <w:spacing w:after="0"/>
        <w:tabs>
          <w:tab w:leader="none" w:pos="65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received by the Company under a formal cashless exercise program adopted by the Company in connection with the Plan;</w:t>
      </w:r>
    </w:p>
    <w:p>
      <w:pPr>
        <w:spacing w:after="0" w:line="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or</w:t>
      </w:r>
    </w:p>
    <w:p>
      <w:pPr>
        <w:spacing w:after="0" w:line="92" w:lineRule="exact"/>
        <w:rPr>
          <w:sz w:val="20"/>
          <w:szCs w:val="20"/>
          <w:color w:val="auto"/>
        </w:rPr>
      </w:pPr>
    </w:p>
    <w:p>
      <w:pPr>
        <w:ind w:left="670" w:hanging="255"/>
        <w:spacing w:after="0"/>
        <w:tabs>
          <w:tab w:leader="none" w:pos="67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is a U.S. employee, surrender of other Shares which have a Fair Market Value on the date of surrender equal to the</w:t>
      </w:r>
    </w:p>
    <w:p>
      <w:pPr>
        <w:spacing w:after="0" w:line="24" w:lineRule="exact"/>
        <w:rPr>
          <w:rFonts w:ascii="Times New Roman" w:cs="Times New Roman" w:eastAsia="Times New Roman" w:hAnsi="Times New Roman"/>
          <w:sz w:val="18"/>
          <w:szCs w:val="18"/>
          <w:color w:val="auto"/>
        </w:rPr>
      </w:pPr>
    </w:p>
    <w:p>
      <w:pPr>
        <w:ind w:left="1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Exercise Price of the Exercised Shares, provided that accepting such Shares, in the sole discretion of the Administrator, will not result in any adverse accounting consequences to the Company.</w:t>
      </w:r>
    </w:p>
    <w:p>
      <w:pPr>
        <w:spacing w:after="0" w:line="183" w:lineRule="exact"/>
        <w:rPr>
          <w:rFonts w:ascii="Times New Roman" w:cs="Times New Roman" w:eastAsia="Times New Roman" w:hAnsi="Times New Roman"/>
          <w:sz w:val="18"/>
          <w:szCs w:val="18"/>
          <w:color w:val="auto"/>
        </w:rPr>
      </w:pPr>
    </w:p>
    <w:p>
      <w:pPr>
        <w:ind w:left="170" w:hanging="170"/>
        <w:spacing w:after="0"/>
        <w:tabs>
          <w:tab w:leader="none" w:pos="17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10" w:right="20" w:firstLine="405"/>
        <w:spacing w:after="0" w:line="262" w:lineRule="auto"/>
        <w:tabs>
          <w:tab w:leader="none" w:pos="665"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Notwithstanding any contrary provision of this Agreement, no certificate representing the Shares will be issued to Participant, unless and until satisfactory arrangements (as determined by the Administrator) will have been made by Participant with respect to the payment of income, employment, social insurance, payroll tax, fringe benefit tax, payment on account or other tax-related items related to Participant’s participation in the Plan and legally applicable to Participant including, without limitation, in connection with the grant, vesting or exercise of the Option, the subsequent sale of Shares acquired under the Plan and/or the receipt of any dividends on such Shares which the Company determines must be withheld (“Tax-Related Items”). To the extent determined appropriate by the Company in its discretion, it will have the right (but not the obligation) to satisfy any Tax-Related Items by reducing the number of Shares otherwise deliverable to Participant. If Participant fails to make satisfactory arrangements for the payment of any required Tax-Related Items hereunder at the time of the Option exercise, Participant acknowledges and agrees that the Company may refuse to honor the exercise and refuse to deliver the Shares if such amounts are not delivered at the time of exercise. Participant authorizes the Company and/or the Employer to withhold any Tax-Related Items legally payable by Participant from his or her wages or other cash compensation paid to Participant by the Company and/or the Employer or from proceeds of the sale of Shares. Further, if Participant is subject to tax in more than one jurisdiction between the Date of Grant and the date of any relevant taxable or tax withholding event, as applicable, Participant acknowledges and agrees that the Company and/or Participant’s employer (the “Employer”), or former employer, as applicable, may be required to withhold or account for tax in more than one jurisdiction. Regardless of any action of the Company or the Employer, Participant acknowledges that the ultimate liability for all Tax-Related Items is and remains Participant’s responsibility and may exceed the amount actually withheld by the Company or the Employer. Participant further acknowledges that the Company and the Employer (1) make no representations or undertakings regarding the treatment of any Tax-Related Items in connection with any aspect of the Option; and (2) do not commit to and are under no obligation to structure the terms of the grant or any aspect of the Option to reduce or eliminate Participant’s liability for Tax-Related Items or achieve any particular tax result.</w:t>
      </w:r>
    </w:p>
    <w:p>
      <w:pPr>
        <w:spacing w:after="0" w:line="292" w:lineRule="exact"/>
        <w:rPr>
          <w:rFonts w:ascii="Times New Roman" w:cs="Times New Roman" w:eastAsia="Times New Roman" w:hAnsi="Times New Roman"/>
          <w:sz w:val="17"/>
          <w:szCs w:val="17"/>
          <w:color w:val="auto"/>
        </w:rPr>
      </w:pPr>
    </w:p>
    <w:p>
      <w:pPr>
        <w:ind w:left="10" w:right="140" w:firstLine="405"/>
        <w:spacing w:after="0" w:line="274" w:lineRule="auto"/>
        <w:tabs>
          <w:tab w:leader="none" w:pos="675"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Disqualifying Disposition of ISO Shares</w:t>
      </w:r>
      <w:r>
        <w:rPr>
          <w:rFonts w:ascii="Times New Roman" w:cs="Times New Roman" w:eastAsia="Times New Roman" w:hAnsi="Times New Roman"/>
          <w:sz w:val="17"/>
          <w:szCs w:val="17"/>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61" w:lineRule="exact"/>
        <w:rPr>
          <w:rFonts w:ascii="Times New Roman" w:cs="Times New Roman" w:eastAsia="Times New Roman" w:hAnsi="Times New Roman"/>
          <w:sz w:val="17"/>
          <w:szCs w:val="17"/>
          <w:color w:val="auto"/>
        </w:rPr>
      </w:pPr>
    </w:p>
    <w:p>
      <w:pPr>
        <w:ind w:left="10" w:right="80" w:firstLine="405"/>
        <w:spacing w:after="0" w:line="265" w:lineRule="auto"/>
        <w:tabs>
          <w:tab w:leader="none" w:pos="665"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Code Section 409A</w:t>
      </w:r>
      <w:r>
        <w:rPr>
          <w:rFonts w:ascii="Times New Roman" w:cs="Times New Roman" w:eastAsia="Times New Roman" w:hAnsi="Times New Roman"/>
          <w:sz w:val="17"/>
          <w:szCs w:val="17"/>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109" w:lineRule="exact"/>
        <w:rPr>
          <w:sz w:val="20"/>
          <w:szCs w:val="20"/>
          <w:color w:val="auto"/>
        </w:rPr>
      </w:pPr>
    </w:p>
    <w:p>
      <w:pPr>
        <w:ind w:left="3370"/>
        <w:spacing w:after="0"/>
        <w:rPr>
          <w:sz w:val="20"/>
          <w:szCs w:val="20"/>
          <w:color w:val="auto"/>
        </w:rPr>
      </w:pPr>
      <w:r>
        <w:rPr>
          <w:rFonts w:ascii="Times New Roman" w:cs="Times New Roman" w:eastAsia="Times New Roman" w:hAnsi="Times New Roman"/>
          <w:sz w:val="18"/>
          <w:szCs w:val="18"/>
          <w:color w:val="auto"/>
        </w:rPr>
        <w:t xml:space="preserve">Exhibit A to Stock Option Agreement, page </w:t>
      </w:r>
      <w:r>
        <w:rPr>
          <w:rFonts w:ascii="Times New Roman" w:cs="Times New Roman" w:eastAsia="Times New Roman" w:hAnsi="Times New Roman"/>
          <w:sz w:val="18"/>
          <w:szCs w:val="18"/>
          <w:b w:val="1"/>
          <w:bCs w:val="1"/>
          <w:color w:val="auto"/>
        </w:rPr>
        <w:t>2</w:t>
      </w:r>
    </w:p>
    <w:p>
      <w:pPr>
        <w:sectPr>
          <w:pgSz w:w="11900" w:h="16838" w:orient="portrait"/>
          <w:cols w:equalWidth="0" w:num="1">
            <w:col w:w="10370"/>
          </w:cols>
          <w:pgMar w:left="970" w:top="267" w:right="559" w:bottom="1440" w:gutter="0" w:footer="0" w:header="0"/>
        </w:sectPr>
      </w:pPr>
    </w:p>
    <w:bookmarkStart w:id="355" w:name="page356"/>
    <w:bookmarkEnd w:id="355"/>
    <w:p>
      <w:pPr>
        <w:ind w:left="-20" w:firstLine="430"/>
        <w:spacing w:after="0" w:line="252" w:lineRule="auto"/>
        <w:tabs>
          <w:tab w:leader="none" w:pos="58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5" w:lineRule="exact"/>
        <w:rPr>
          <w:rFonts w:ascii="Times New Roman" w:cs="Times New Roman" w:eastAsia="Times New Roman" w:hAnsi="Times New Roman"/>
          <w:sz w:val="18"/>
          <w:szCs w:val="18"/>
          <w:color w:val="auto"/>
        </w:rPr>
      </w:pPr>
    </w:p>
    <w:p>
      <w:pPr>
        <w:ind w:left="580" w:hanging="170"/>
        <w:spacing w:after="0"/>
        <w:tabs>
          <w:tab w:leader="none" w:pos="5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420" w:right="100" w:firstLine="405"/>
        <w:spacing w:after="0" w:line="264" w:lineRule="auto"/>
        <w:tabs>
          <w:tab w:leader="none" w:pos="1075" w:val="left"/>
        </w:tabs>
        <w:numPr>
          <w:ilvl w:val="1"/>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of First Refusal</w:t>
      </w:r>
      <w:r>
        <w:rPr>
          <w:rFonts w:ascii="Times New Roman" w:cs="Times New Roman" w:eastAsia="Times New Roman" w:hAnsi="Times New Roman"/>
          <w:sz w:val="17"/>
          <w:szCs w:val="17"/>
          <w:color w:val="auto"/>
        </w:rPr>
        <w:t>. In the event that the Participant proposes to sell, pledge or otherwise transfer to a third party any Shares acquired under this Agreement, or any interest in such Shares, the Company shall have a right of first refusal with respect to all (and not less than all) of such Shares (the “Right of First Refusal”). If the Participant desires to transfer Shares acquired under this Agreement, the Participant shall give a written notice (the “Transfer Notice”) of a proposed transfer of the Shares to the Company describing fully the proposed transfer, including the number of Shares proposed to be transferred, the proposed transfer price, the name and address of the proposed person to whom the Participant wants to transfer the Shares to (whether directly or indirectly, such person, the “Transferee”) and proof satisfactory to the Company that the proposed sale or transfer will not violate any applicable federal, State or foreign securities laws. The Transfer Notice shall be signed both by the Participant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72" w:lineRule="exact"/>
        <w:rPr>
          <w:rFonts w:ascii="Times New Roman" w:cs="Times New Roman" w:eastAsia="Times New Roman" w:hAnsi="Times New Roman"/>
          <w:sz w:val="17"/>
          <w:szCs w:val="17"/>
          <w:color w:val="auto"/>
        </w:rPr>
      </w:pPr>
    </w:p>
    <w:p>
      <w:pPr>
        <w:ind w:left="420" w:firstLine="405"/>
        <w:spacing w:after="0" w:line="248" w:lineRule="auto"/>
        <w:tabs>
          <w:tab w:leader="none" w:pos="1085"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 Transfer Notice, the Participant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Participant is bound. Any proposed transfer on terms and conditions different from those described in the Transfer Notice, as well as any subsequent proposed transfer by the Participant,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85" w:lineRule="exact"/>
        <w:rPr>
          <w:rFonts w:ascii="Times New Roman" w:cs="Times New Roman" w:eastAsia="Times New Roman" w:hAnsi="Times New Roman"/>
          <w:sz w:val="18"/>
          <w:szCs w:val="18"/>
          <w:color w:val="auto"/>
        </w:rPr>
      </w:pPr>
    </w:p>
    <w:p>
      <w:pPr>
        <w:ind w:left="420" w:firstLine="405"/>
        <w:spacing w:after="0" w:line="250" w:lineRule="auto"/>
        <w:tabs>
          <w:tab w:leader="none" w:pos="1075"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or Exchanged Securities and Property</w:t>
      </w:r>
      <w:r>
        <w:rPr>
          <w:rFonts w:ascii="Times New Roman" w:cs="Times New Roman" w:eastAsia="Times New Roman" w:hAnsi="Times New Roman"/>
          <w:sz w:val="18"/>
          <w:szCs w:val="18"/>
          <w:color w:val="auto"/>
        </w:rPr>
        <w:t>. In the event of a Change in Control or a merger of the Company with or into another corporation or 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Exhibit A to Stock Option Agreement, page </w:t>
      </w:r>
      <w:r>
        <w:rPr>
          <w:rFonts w:ascii="Times New Roman" w:cs="Times New Roman" w:eastAsia="Times New Roman" w:hAnsi="Times New Roman"/>
          <w:sz w:val="18"/>
          <w:szCs w:val="18"/>
          <w:b w:val="1"/>
          <w:bCs w:val="1"/>
          <w:color w:val="auto"/>
        </w:rPr>
        <w:t>3</w:t>
      </w:r>
    </w:p>
    <w:p>
      <w:pPr>
        <w:sectPr>
          <w:pgSz w:w="11900" w:h="16838" w:orient="portrait"/>
          <w:cols w:equalWidth="0" w:num="1">
            <w:col w:w="10760"/>
          </w:cols>
          <w:pgMar w:left="560" w:top="267" w:right="579" w:bottom="1440" w:gutter="0" w:footer="0" w:header="0"/>
        </w:sectPr>
      </w:pPr>
    </w:p>
    <w:bookmarkStart w:id="356" w:name="page357"/>
    <w:bookmarkEnd w:id="356"/>
    <w:p>
      <w:pPr>
        <w:jc w:val="both"/>
        <w:ind w:left="440" w:right="400" w:firstLine="405"/>
        <w:spacing w:after="0" w:line="282" w:lineRule="auto"/>
        <w:tabs>
          <w:tab w:leader="none" w:pos="1105"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Termination of Right of First Refusal</w:t>
      </w:r>
      <w:r>
        <w:rPr>
          <w:rFonts w:ascii="Times New Roman" w:cs="Times New Roman" w:eastAsia="Times New Roman" w:hAnsi="Times New Roman"/>
          <w:sz w:val="17"/>
          <w:szCs w:val="17"/>
          <w:color w:val="auto"/>
        </w:rPr>
        <w:t>. Any other provision of this Section 8 notwithstanding, in the event that the Common Stock is readily tradable on an established securities market when the Participant desires to transfer Shares, the Company shall have no Right of First Refusal, and the Participant shall have no obligation to comply with the procedures prescribed by Subsections (a) and (b) above.</w:t>
      </w:r>
    </w:p>
    <w:p>
      <w:pPr>
        <w:spacing w:after="0" w:line="52" w:lineRule="exact"/>
        <w:rPr>
          <w:rFonts w:ascii="Times New Roman" w:cs="Times New Roman" w:eastAsia="Times New Roman" w:hAnsi="Times New Roman"/>
          <w:sz w:val="17"/>
          <w:szCs w:val="17"/>
          <w:color w:val="auto"/>
        </w:rPr>
      </w:pPr>
    </w:p>
    <w:p>
      <w:pPr>
        <w:ind w:left="440" w:firstLine="405"/>
        <w:spacing w:after="0" w:line="249" w:lineRule="auto"/>
        <w:tabs>
          <w:tab w:leader="none" w:pos="1095"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This Section 8 shall not apply to (i) a transfer by beneficiary designation, will or intestate succession or (ii) a transfer to one or more members of the Participant’s Immediate Family or to a trust established by the Participant for the benefit of the Participant and/or one or more members of the Participant’s Immediate Family, provided in either case that the Transferee agrees in writing on a form prescribed by the Company to be bound by all provisions of this Agreement. If the Participant transfers any Shares acquired under this Agreement, either under this Subsection (e) or after the Company has failed to exercise the Right of First Refusal, then this Agreement shall apply to the Transferee to the same extent as to the Participant. For purposes of this Agreement, “Immediate Family” shall mean any child, stepchild, grandchild, parent, stepparent, grandparent, spouse, sibling, mother-in-law, father-in-law, son-in-law, daughter-in-law, brother-in-law or sister-in-law and shall include adoptive relationships.</w:t>
      </w:r>
    </w:p>
    <w:p>
      <w:pPr>
        <w:spacing w:after="0" w:line="84" w:lineRule="exact"/>
        <w:rPr>
          <w:rFonts w:ascii="Times New Roman" w:cs="Times New Roman" w:eastAsia="Times New Roman" w:hAnsi="Times New Roman"/>
          <w:sz w:val="18"/>
          <w:szCs w:val="18"/>
          <w:color w:val="auto"/>
        </w:rPr>
      </w:pPr>
    </w:p>
    <w:p>
      <w:pPr>
        <w:ind w:left="440" w:firstLine="405"/>
        <w:spacing w:after="0" w:line="252" w:lineRule="auto"/>
        <w:tabs>
          <w:tab w:leader="none" w:pos="107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 Agreement, the consideration 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79" w:lineRule="exact"/>
        <w:rPr>
          <w:rFonts w:ascii="Times New Roman" w:cs="Times New Roman" w:eastAsia="Times New Roman" w:hAnsi="Times New Roman"/>
          <w:sz w:val="18"/>
          <w:szCs w:val="18"/>
          <w:color w:val="auto"/>
        </w:rPr>
      </w:pPr>
    </w:p>
    <w:p>
      <w:pPr>
        <w:ind w:left="440" w:right="40" w:firstLine="405"/>
        <w:spacing w:after="0" w:line="259" w:lineRule="auto"/>
        <w:tabs>
          <w:tab w:leader="none" w:pos="1105"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Right of First Refusal</w:t>
      </w:r>
      <w:r>
        <w:rPr>
          <w:rFonts w:ascii="Times New Roman" w:cs="Times New Roman" w:eastAsia="Times New Roman" w:hAnsi="Times New Roman"/>
          <w:sz w:val="18"/>
          <w:szCs w:val="18"/>
          <w:color w:val="auto"/>
        </w:rPr>
        <w:t>. The Board may freely assign the Company’s Right of First Refusal, in whole or in part. Any person who accepts an assignment of the Right of First Refusal from the Company shall assume all of the Company’s rights and obligations under this Section 8.</w:t>
      </w:r>
    </w:p>
    <w:p>
      <w:pPr>
        <w:spacing w:after="0" w:line="177" w:lineRule="exact"/>
        <w:rPr>
          <w:rFonts w:ascii="Times New Roman" w:cs="Times New Roman" w:eastAsia="Times New Roman" w:hAnsi="Times New Roman"/>
          <w:sz w:val="18"/>
          <w:szCs w:val="18"/>
          <w:color w:val="auto"/>
        </w:rPr>
      </w:pPr>
    </w:p>
    <w:p>
      <w:pPr>
        <w:ind w:right="140" w:firstLine="430"/>
        <w:spacing w:after="0" w:line="248" w:lineRule="auto"/>
        <w:tabs>
          <w:tab w:leader="none" w:pos="60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 SUBJECT TO APPLICABLE LAWS.</w:t>
      </w:r>
    </w:p>
    <w:p>
      <w:pPr>
        <w:spacing w:after="0" w:line="193" w:lineRule="exact"/>
        <w:rPr>
          <w:rFonts w:ascii="Times New Roman" w:cs="Times New Roman" w:eastAsia="Times New Roman" w:hAnsi="Times New Roman"/>
          <w:sz w:val="18"/>
          <w:szCs w:val="18"/>
          <w:color w:val="auto"/>
        </w:rPr>
      </w:pPr>
    </w:p>
    <w:p>
      <w:pPr>
        <w:ind w:left="700" w:hanging="270"/>
        <w:spacing w:after="0"/>
        <w:tabs>
          <w:tab w:leader="none" w:pos="7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Acknowledgments</w:t>
      </w:r>
      <w:r>
        <w:rPr>
          <w:rFonts w:ascii="Times New Roman" w:cs="Times New Roman" w:eastAsia="Times New Roman" w:hAnsi="Times New Roman"/>
          <w:sz w:val="18"/>
          <w:szCs w:val="18"/>
          <w:color w:val="auto"/>
        </w:rPr>
        <w:t>. In accepting the Option, Participant acknowledges, understands and agrees that:</w:t>
      </w:r>
    </w:p>
    <w:p>
      <w:pPr>
        <w:spacing w:after="0" w:line="111" w:lineRule="exact"/>
        <w:rPr>
          <w:rFonts w:ascii="Times New Roman" w:cs="Times New Roman" w:eastAsia="Times New Roman" w:hAnsi="Times New Roman"/>
          <w:sz w:val="18"/>
          <w:szCs w:val="18"/>
          <w:color w:val="auto"/>
        </w:rPr>
      </w:pPr>
    </w:p>
    <w:p>
      <w:pPr>
        <w:ind w:left="440" w:right="280" w:firstLine="405"/>
        <w:spacing w:after="0" w:line="274" w:lineRule="auto"/>
        <w:tabs>
          <w:tab w:leader="none" w:pos="109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amended, suspended or terminated by the Company at any time, to the extent permitted by the Plan;</w:t>
      </w:r>
    </w:p>
    <w:p>
      <w:pPr>
        <w:spacing w:after="0" w:line="57" w:lineRule="exact"/>
        <w:rPr>
          <w:rFonts w:ascii="Times New Roman" w:cs="Times New Roman" w:eastAsia="Times New Roman" w:hAnsi="Times New Roman"/>
          <w:sz w:val="18"/>
          <w:szCs w:val="18"/>
          <w:color w:val="auto"/>
        </w:rPr>
      </w:pPr>
    </w:p>
    <w:p>
      <w:pPr>
        <w:ind w:left="440" w:right="140" w:firstLine="405"/>
        <w:spacing w:after="0" w:line="274" w:lineRule="auto"/>
        <w:tabs>
          <w:tab w:leader="none" w:pos="110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options, or benefits in lieu of options, even if options have been granted in the past;</w:t>
      </w:r>
    </w:p>
    <w:p>
      <w:pPr>
        <w:spacing w:after="0" w:line="57" w:lineRule="exact"/>
        <w:rPr>
          <w:rFonts w:ascii="Times New Roman" w:cs="Times New Roman" w:eastAsia="Times New Roman" w:hAnsi="Times New Roman"/>
          <w:sz w:val="18"/>
          <w:szCs w:val="18"/>
          <w:color w:val="auto"/>
        </w:rPr>
      </w:pPr>
    </w:p>
    <w:p>
      <w:pPr>
        <w:ind w:left="1080" w:hanging="235"/>
        <w:spacing w:after="0"/>
        <w:tabs>
          <w:tab w:leader="none" w:pos="108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 or other grants, if any, will be at the sole discretion of the Company;</w:t>
      </w:r>
    </w:p>
    <w:p>
      <w:pPr>
        <w:spacing w:after="0" w:line="111" w:lineRule="exact"/>
        <w:rPr>
          <w:rFonts w:ascii="Times New Roman" w:cs="Times New Roman" w:eastAsia="Times New Roman" w:hAnsi="Times New Roman"/>
          <w:sz w:val="18"/>
          <w:szCs w:val="18"/>
          <w:color w:val="auto"/>
        </w:rPr>
      </w:pPr>
    </w:p>
    <w:p>
      <w:pPr>
        <w:ind w:left="1100" w:hanging="255"/>
        <w:spacing w:after="0"/>
        <w:tabs>
          <w:tab w:leader="none" w:pos="110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Exhibit A to Stock Option Agreement, page </w:t>
      </w:r>
      <w:r>
        <w:rPr>
          <w:rFonts w:ascii="Times New Roman" w:cs="Times New Roman" w:eastAsia="Times New Roman" w:hAnsi="Times New Roman"/>
          <w:sz w:val="18"/>
          <w:szCs w:val="18"/>
          <w:b w:val="1"/>
          <w:bCs w:val="1"/>
          <w:color w:val="auto"/>
        </w:rPr>
        <w:t>4</w:t>
      </w:r>
    </w:p>
    <w:p>
      <w:pPr>
        <w:sectPr>
          <w:pgSz w:w="11900" w:h="16838" w:orient="portrait"/>
          <w:cols w:equalWidth="0" w:num="1">
            <w:col w:w="10800"/>
          </w:cols>
          <w:pgMar w:left="540" w:top="267" w:right="559" w:bottom="1440" w:gutter="0" w:footer="0" w:header="0"/>
        </w:sectPr>
      </w:pPr>
    </w:p>
    <w:bookmarkStart w:id="357" w:name="page358"/>
    <w:bookmarkEnd w:id="357"/>
    <w:p>
      <w:pPr>
        <w:ind w:left="235" w:hanging="235"/>
        <w:spacing w:after="0"/>
        <w:tabs>
          <w:tab w:leader="none" w:pos="23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Option and any Shares acquired under the Plan are not intended to replace any pension rights or compensation;</w:t>
      </w:r>
    </w:p>
    <w:p>
      <w:pPr>
        <w:spacing w:after="0" w:line="111" w:lineRule="exact"/>
        <w:rPr>
          <w:rFonts w:ascii="Times New Roman" w:cs="Times New Roman" w:eastAsia="Times New Roman" w:hAnsi="Times New Roman"/>
          <w:sz w:val="18"/>
          <w:szCs w:val="18"/>
          <w:color w:val="auto"/>
        </w:rPr>
      </w:pPr>
    </w:p>
    <w:p>
      <w:pPr>
        <w:jc w:val="both"/>
        <w:ind w:left="-405" w:right="220" w:firstLine="405"/>
        <w:spacing w:after="0" w:line="259" w:lineRule="auto"/>
        <w:tabs>
          <w:tab w:leader="none" w:pos="23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71" w:lineRule="exact"/>
        <w:rPr>
          <w:rFonts w:ascii="Times New Roman" w:cs="Times New Roman" w:eastAsia="Times New Roman" w:hAnsi="Times New Roman"/>
          <w:sz w:val="18"/>
          <w:szCs w:val="18"/>
          <w:color w:val="auto"/>
        </w:rPr>
      </w:pPr>
    </w:p>
    <w:p>
      <w:pPr>
        <w:ind w:left="255" w:hanging="255"/>
        <w:spacing w:after="0"/>
        <w:tabs>
          <w:tab w:leader="none" w:pos="25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 is unknown, indeterminable, and cannot be predicted with certainty;</w:t>
      </w:r>
    </w:p>
    <w:p>
      <w:pPr>
        <w:spacing w:after="0" w:line="111" w:lineRule="exact"/>
        <w:rPr>
          <w:rFonts w:ascii="Times New Roman" w:cs="Times New Roman" w:eastAsia="Times New Roman" w:hAnsi="Times New Roman"/>
          <w:sz w:val="18"/>
          <w:szCs w:val="18"/>
          <w:color w:val="auto"/>
        </w:rPr>
      </w:pPr>
    </w:p>
    <w:p>
      <w:pPr>
        <w:ind w:left="255" w:hanging="255"/>
        <w:spacing w:after="0"/>
        <w:tabs>
          <w:tab w:leader="none" w:pos="25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do not increase in value, the Option will have no value;</w:t>
      </w:r>
    </w:p>
    <w:p>
      <w:pPr>
        <w:spacing w:after="0" w:line="111" w:lineRule="exact"/>
        <w:rPr>
          <w:rFonts w:ascii="Times New Roman" w:cs="Times New Roman" w:eastAsia="Times New Roman" w:hAnsi="Times New Roman"/>
          <w:sz w:val="18"/>
          <w:szCs w:val="18"/>
          <w:color w:val="auto"/>
        </w:rPr>
      </w:pPr>
    </w:p>
    <w:p>
      <w:pPr>
        <w:ind w:left="-405" w:right="500" w:firstLine="405"/>
        <w:spacing w:after="0" w:line="274" w:lineRule="auto"/>
        <w:tabs>
          <w:tab w:leader="none" w:pos="22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exercises the Option and acquires Shares, the value of such Shares may increase or decrease in value, even below the Exercise Price;</w:t>
      </w:r>
    </w:p>
    <w:p>
      <w:pPr>
        <w:spacing w:after="0" w:line="57" w:lineRule="exact"/>
        <w:rPr>
          <w:rFonts w:ascii="Times New Roman" w:cs="Times New Roman" w:eastAsia="Times New Roman" w:hAnsi="Times New Roman"/>
          <w:sz w:val="18"/>
          <w:szCs w:val="18"/>
          <w:color w:val="auto"/>
        </w:rPr>
      </w:pPr>
    </w:p>
    <w:p>
      <w:pPr>
        <w:ind w:left="-405" w:firstLine="405"/>
        <w:spacing w:after="0" w:line="248" w:lineRule="auto"/>
        <w:tabs>
          <w:tab w:leader="none" w:pos="22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 Participant’s engagement as a Service Provider will be considered terminated as of the Service End Date, and unless otherwise expressly provided in this Agreement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Participant’s engagement agreement, if any, unless Participant is providing bona fide services during such time); and (ii) the period (if any) during which Participant may exercise the Option after such termination of Participant’s engagement as a Service Provider will commence on the Service End Date and will not be extended by any notice period mandated under employment laws in the jurisdiction where Participant is employed or terms of Participant’s engagement agreement, if any; the Administrator shall have the exclusive discretion to determine the Service End Date (including the determination whether Participant may still be considered to be providing services while on a leave of absence);</w:t>
      </w:r>
    </w:p>
    <w:p>
      <w:pPr>
        <w:spacing w:after="0" w:line="87" w:lineRule="exact"/>
        <w:rPr>
          <w:rFonts w:ascii="Times New Roman" w:cs="Times New Roman" w:eastAsia="Times New Roman" w:hAnsi="Times New Roman"/>
          <w:sz w:val="18"/>
          <w:szCs w:val="18"/>
          <w:color w:val="auto"/>
        </w:rPr>
      </w:pPr>
    </w:p>
    <w:p>
      <w:pPr>
        <w:ind w:left="-405" w:firstLine="405"/>
        <w:spacing w:after="0" w:line="259" w:lineRule="auto"/>
        <w:tabs>
          <w:tab w:leader="none" w:pos="2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71" w:lineRule="exact"/>
        <w:rPr>
          <w:rFonts w:ascii="Times New Roman" w:cs="Times New Roman" w:eastAsia="Times New Roman" w:hAnsi="Times New Roman"/>
          <w:sz w:val="18"/>
          <w:szCs w:val="18"/>
          <w:color w:val="auto"/>
        </w:rPr>
      </w:pPr>
    </w:p>
    <w:p>
      <w:pPr>
        <w:ind w:left="215" w:hanging="215"/>
        <w:spacing w:after="0"/>
        <w:tabs>
          <w:tab w:leader="none" w:pos="21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111" w:lineRule="exact"/>
        <w:rPr>
          <w:rFonts w:ascii="Times New Roman" w:cs="Times New Roman" w:eastAsia="Times New Roman" w:hAnsi="Times New Roman"/>
          <w:sz w:val="18"/>
          <w:szCs w:val="18"/>
          <w:color w:val="auto"/>
        </w:rPr>
      </w:pPr>
    </w:p>
    <w:p>
      <w:pPr>
        <w:ind w:left="735" w:hanging="216"/>
        <w:spacing w:after="0"/>
        <w:tabs>
          <w:tab w:leader="none" w:pos="735"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part of normal or expected compensation or salary for any purpose;</w:t>
      </w:r>
    </w:p>
    <w:p>
      <w:pPr>
        <w:spacing w:after="0" w:line="111" w:lineRule="exact"/>
        <w:rPr>
          <w:rFonts w:ascii="Times New Roman" w:cs="Times New Roman" w:eastAsia="Times New Roman" w:hAnsi="Times New Roman"/>
          <w:sz w:val="18"/>
          <w:szCs w:val="18"/>
          <w:color w:val="auto"/>
        </w:rPr>
      </w:pPr>
    </w:p>
    <w:p>
      <w:pPr>
        <w:jc w:val="both"/>
        <w:ind w:left="135" w:right="40" w:firstLine="384"/>
        <w:spacing w:after="0" w:line="255" w:lineRule="auto"/>
        <w:tabs>
          <w:tab w:leader="none" w:pos="78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74" w:lineRule="exact"/>
        <w:rPr>
          <w:rFonts w:ascii="Times New Roman" w:cs="Times New Roman" w:eastAsia="Times New Roman" w:hAnsi="Times New Roman"/>
          <w:sz w:val="18"/>
          <w:szCs w:val="18"/>
          <w:color w:val="auto"/>
        </w:rPr>
      </w:pPr>
    </w:p>
    <w:p>
      <w:pPr>
        <w:ind w:left="135" w:firstLine="384"/>
        <w:spacing w:after="0" w:line="266" w:lineRule="auto"/>
        <w:tabs>
          <w:tab w:leader="none" w:pos="837"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engagement agreement, if any), and in consideration of the grant of the Option to which Participant is otherwise not entitled, Participant irrevocably agrees never to institute any claim against the Company, any Parent, any Subsidiary or the Employer, waives his or her ability, if any, to bring any such claim, and releases the Company, any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06" w:lineRule="exact"/>
        <w:rPr>
          <w:sz w:val="20"/>
          <w:szCs w:val="20"/>
          <w:color w:val="auto"/>
        </w:rPr>
      </w:pPr>
    </w:p>
    <w:p>
      <w:pPr>
        <w:ind w:left="2955"/>
        <w:spacing w:after="0"/>
        <w:rPr>
          <w:sz w:val="20"/>
          <w:szCs w:val="20"/>
          <w:color w:val="auto"/>
        </w:rPr>
      </w:pPr>
      <w:r>
        <w:rPr>
          <w:rFonts w:ascii="Times New Roman" w:cs="Times New Roman" w:eastAsia="Times New Roman" w:hAnsi="Times New Roman"/>
          <w:sz w:val="18"/>
          <w:szCs w:val="18"/>
          <w:color w:val="auto"/>
        </w:rPr>
        <w:t xml:space="preserve">Exhibit A to Stock Option Agreement, page </w:t>
      </w:r>
      <w:r>
        <w:rPr>
          <w:rFonts w:ascii="Times New Roman" w:cs="Times New Roman" w:eastAsia="Times New Roman" w:hAnsi="Times New Roman"/>
          <w:sz w:val="18"/>
          <w:szCs w:val="18"/>
          <w:b w:val="1"/>
          <w:bCs w:val="1"/>
          <w:color w:val="auto"/>
        </w:rPr>
        <w:t>5</w:t>
      </w:r>
    </w:p>
    <w:p>
      <w:pPr>
        <w:sectPr>
          <w:pgSz w:w="11900" w:h="16838" w:orient="portrait"/>
          <w:cols w:equalWidth="0" w:num="1">
            <w:col w:w="9935"/>
          </w:cols>
          <w:pgMar w:left="1385" w:top="266" w:right="579" w:bottom="1440" w:gutter="0" w:footer="0" w:header="0"/>
        </w:sectPr>
      </w:pPr>
    </w:p>
    <w:bookmarkStart w:id="358" w:name="page359"/>
    <w:bookmarkEnd w:id="358"/>
    <w:p>
      <w:pPr>
        <w:ind w:left="420" w:right="20" w:firstLine="405"/>
        <w:spacing w:after="0" w:line="247" w:lineRule="auto"/>
        <w:tabs>
          <w:tab w:leader="none" w:pos="113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Participant consents to the collection, use and transfer of personal data as described in this Subsection (m). The Participant understands and acknowledges that the Company, the Participant’s employer and the Company’s other Subsidiaries hold certain personal information regarding the Participant for the purpose of managing and administering the Plan, including (without limitation) the Participant’s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Participant’s favor (the “Data”). The Participant further understands and acknowledges that the Company and/or its Subsidiaries will transfer Data among themselves as necessary for the purpose of implementation, administration and management of the Participant’s participation in the Plan and that the Company and/or any Subsidiary may each further transfer Data to any third party assisting the Company in the implementation, administration and management of the Plan. The Participant understands and acknowledges that the recipients of Data may be located in the United States or elsewhere. The Participant authorizes such recipients to receive, possess, use, retain and transfer Data, in electronic or other form, for the purpose of administering the Participant’s participation in the Plan, including a transfer to any broker or other third party with whom the Participant elects to deposit Shares acquired under the Plan of such Data as may be required for the administration of the Plan and/or the subsequent holding of Shares on the Participant’s behalf. The Participant may, at any time, view the Data, require any necessary modifications of Data or withdraw the consents set forth in this Subsection (m) by contacting the Company in writing.</w:t>
      </w:r>
    </w:p>
    <w:p>
      <w:pPr>
        <w:spacing w:after="0" w:line="197" w:lineRule="exact"/>
        <w:rPr>
          <w:rFonts w:ascii="Times New Roman" w:cs="Times New Roman" w:eastAsia="Times New Roman" w:hAnsi="Times New Roman"/>
          <w:sz w:val="18"/>
          <w:szCs w:val="18"/>
          <w:color w:val="auto"/>
        </w:rPr>
      </w:pPr>
    </w:p>
    <w:p>
      <w:pPr>
        <w:ind w:left="-20" w:right="20" w:firstLine="430"/>
        <w:spacing w:after="0" w:line="255" w:lineRule="auto"/>
        <w:tabs>
          <w:tab w:leader="none" w:pos="67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or assessments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80" w:lineRule="exact"/>
        <w:rPr>
          <w:rFonts w:ascii="Times New Roman" w:cs="Times New Roman" w:eastAsia="Times New Roman" w:hAnsi="Times New Roman"/>
          <w:sz w:val="18"/>
          <w:szCs w:val="18"/>
          <w:color w:val="auto"/>
        </w:rPr>
      </w:pPr>
    </w:p>
    <w:p>
      <w:pPr>
        <w:ind w:left="-20" w:right="100" w:firstLine="430"/>
        <w:spacing w:after="0" w:line="304" w:lineRule="auto"/>
        <w:tabs>
          <w:tab w:leader="none" w:pos="677"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Address for Notices</w:t>
      </w:r>
      <w:r>
        <w:rPr>
          <w:rFonts w:ascii="Times New Roman" w:cs="Times New Roman" w:eastAsia="Times New Roman" w:hAnsi="Times New Roman"/>
          <w:sz w:val="17"/>
          <w:szCs w:val="17"/>
          <w:color w:val="auto"/>
        </w:rPr>
        <w:t>. Any notice to be given to the Company under the terms of this Agreement will be addressed to the Company at CG Oncology, Inc., 400 Spectrum Center Drive, Suite 2040, Irvine, CA 92618, or at such other address as the Company may hereafter designate in writing.</w:t>
      </w:r>
    </w:p>
    <w:p>
      <w:pPr>
        <w:spacing w:after="0" w:line="140" w:lineRule="exact"/>
        <w:rPr>
          <w:rFonts w:ascii="Times New Roman" w:cs="Times New Roman" w:eastAsia="Times New Roman" w:hAnsi="Times New Roman"/>
          <w:sz w:val="17"/>
          <w:szCs w:val="17"/>
          <w:color w:val="auto"/>
        </w:rPr>
      </w:pPr>
    </w:p>
    <w:p>
      <w:pPr>
        <w:ind w:left="-20" w:right="720" w:firstLine="430"/>
        <w:spacing w:after="0" w:line="274" w:lineRule="auto"/>
        <w:tabs>
          <w:tab w:leader="none" w:pos="67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This Option may not be transferred in any manner otherwise than by will or by the laws of descent or distribution and may be exercised during the lifetime of Participant only by Participant.</w:t>
      </w:r>
    </w:p>
    <w:p>
      <w:pPr>
        <w:spacing w:after="0" w:line="163"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Shares</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420" w:firstLine="405"/>
        <w:spacing w:after="0" w:line="249" w:lineRule="auto"/>
        <w:tabs>
          <w:tab w:leader="none" w:pos="1075"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Restrictions</w:t>
      </w:r>
      <w:r>
        <w:rPr>
          <w:rFonts w:ascii="Times New Roman" w:cs="Times New Roman" w:eastAsia="Times New Roman" w:hAnsi="Times New Roman"/>
          <w:sz w:val="18"/>
          <w:szCs w:val="18"/>
          <w:color w:val="auto"/>
        </w:rPr>
        <w:t>. Regardless of whether the offer and sale of Shares under the Plan have been registered under the Securities Act of 1933, as amended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84" w:lineRule="exact"/>
        <w:rPr>
          <w:rFonts w:ascii="Times New Roman" w:cs="Times New Roman" w:eastAsia="Times New Roman" w:hAnsi="Times New Roman"/>
          <w:sz w:val="18"/>
          <w:szCs w:val="18"/>
          <w:color w:val="auto"/>
        </w:rPr>
      </w:pPr>
    </w:p>
    <w:p>
      <w:pPr>
        <w:ind w:left="420" w:right="180" w:firstLine="405"/>
        <w:spacing w:after="0" w:line="282" w:lineRule="auto"/>
        <w:tabs>
          <w:tab w:leader="none" w:pos="1085"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Market Stand-Off</w:t>
      </w:r>
      <w:r>
        <w:rPr>
          <w:rFonts w:ascii="Times New Roman" w:cs="Times New Roman" w:eastAsia="Times New Roman" w:hAnsi="Times New Roman"/>
          <w:sz w:val="17"/>
          <w:szCs w:val="17"/>
          <w:color w:val="auto"/>
        </w:rPr>
        <w:t>. In connection with any underwritten public offering by the Company of its equity securities pursuant to an effective registration statement filed under the Securities Act, including the Company’s initial public offering, the Participant or a Transferee shall not directly or indirectly sell, make any short sale of, loan, hypothecate, pledge, offer, grant or sell any option or other contract for the purchase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Exhibit A to Stock Option Agreement, page </w:t>
      </w:r>
      <w:r>
        <w:rPr>
          <w:rFonts w:ascii="Times New Roman" w:cs="Times New Roman" w:eastAsia="Times New Roman" w:hAnsi="Times New Roman"/>
          <w:sz w:val="18"/>
          <w:szCs w:val="18"/>
          <w:b w:val="1"/>
          <w:bCs w:val="1"/>
          <w:color w:val="auto"/>
        </w:rPr>
        <w:t>6</w:t>
      </w:r>
    </w:p>
    <w:p>
      <w:pPr>
        <w:sectPr>
          <w:pgSz w:w="11900" w:h="16838" w:orient="portrait"/>
          <w:cols w:equalWidth="0" w:num="1">
            <w:col w:w="10780"/>
          </w:cols>
          <w:pgMar w:left="560" w:top="267" w:right="559" w:bottom="1440" w:gutter="0" w:footer="0" w:header="0"/>
        </w:sectPr>
      </w:pPr>
    </w:p>
    <w:bookmarkStart w:id="359" w:name="page360"/>
    <w:bookmarkEnd w:id="359"/>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91" w:lineRule="exact"/>
        <w:rPr>
          <w:sz w:val="20"/>
          <w:szCs w:val="20"/>
          <w:color w:val="auto"/>
        </w:rPr>
      </w:pPr>
    </w:p>
    <w:p>
      <w:pPr>
        <w:ind w:right="440" w:firstLine="405"/>
        <w:spacing w:after="0" w:line="274" w:lineRule="auto"/>
        <w:tabs>
          <w:tab w:leader="none" w:pos="65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Intent at Grant</w:t>
      </w:r>
      <w:r>
        <w:rPr>
          <w:rFonts w:ascii="Times New Roman" w:cs="Times New Roman" w:eastAsia="Times New Roman" w:hAnsi="Times New Roman"/>
          <w:sz w:val="18"/>
          <w:szCs w:val="18"/>
          <w:color w:val="auto"/>
        </w:rPr>
        <w:t>. The Participant represents and agrees that the Shares to be acquired upon exercising this Option will be acquired for investment, and not with a view to the sale or distribution thereof.</w:t>
      </w:r>
    </w:p>
    <w:p>
      <w:pPr>
        <w:spacing w:after="0" w:line="57" w:lineRule="exact"/>
        <w:rPr>
          <w:rFonts w:ascii="Times New Roman" w:cs="Times New Roman" w:eastAsia="Times New Roman" w:hAnsi="Times New Roman"/>
          <w:sz w:val="18"/>
          <w:szCs w:val="18"/>
          <w:color w:val="auto"/>
        </w:rPr>
      </w:pPr>
    </w:p>
    <w:p>
      <w:pPr>
        <w:ind w:right="60" w:firstLine="405"/>
        <w:spacing w:after="0" w:line="250" w:lineRule="auto"/>
        <w:tabs>
          <w:tab w:leader="none" w:pos="66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 exemption is available that requires an investment representation or other representation, the Participant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Participant is (i) not a U.S. Person; (ii) not acquiring the Shares on behalf, or for the account or benefit, of a U.S. Person; and (iii) is not exercising the option in the United States.</w:t>
      </w:r>
    </w:p>
    <w:p>
      <w:pPr>
        <w:spacing w:after="0" w:line="80" w:lineRule="exact"/>
        <w:rPr>
          <w:rFonts w:ascii="Times New Roman" w:cs="Times New Roman" w:eastAsia="Times New Roman" w:hAnsi="Times New Roman"/>
          <w:sz w:val="18"/>
          <w:szCs w:val="18"/>
          <w:color w:val="auto"/>
        </w:rPr>
      </w:pPr>
    </w:p>
    <w:p>
      <w:pPr>
        <w:ind w:left="640" w:hanging="235"/>
        <w:spacing w:after="0"/>
        <w:tabs>
          <w:tab w:leader="none" w:pos="6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All certificates evidencing Shares purchased under this Agreement shall bear the following legend:</w:t>
      </w:r>
    </w:p>
    <w:p>
      <w:pPr>
        <w:spacing w:after="0" w:line="111" w:lineRule="exact"/>
        <w:rPr>
          <w:sz w:val="20"/>
          <w:szCs w:val="20"/>
          <w:color w:val="auto"/>
        </w:rPr>
      </w:pPr>
    </w:p>
    <w:p>
      <w:pPr>
        <w:ind w:left="540" w:right="20"/>
        <w:spacing w:after="0" w:line="249" w:lineRule="auto"/>
        <w:rPr>
          <w:sz w:val="20"/>
          <w:szCs w:val="20"/>
          <w:color w:val="auto"/>
        </w:rPr>
      </w:pPr>
      <w:r>
        <w:rPr>
          <w:rFonts w:ascii="Times New Roman" w:cs="Times New Roman" w:eastAsia="Times New Roman" w:hAnsi="Times New Roman"/>
          <w:sz w:val="18"/>
          <w:szCs w:val="18"/>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IN ADDITION, THE SHARES ARE SUBJECT TO RESTRICTIONS ON TRANSFER FOR A LIMITED PERIOD FOLLOWING THE EFFECTIVE DATE OF THE UNDERWRITTEN PUBLIC OFFERING OF THE COMPANY’S SECURITIES AND MAY NOT BE SOLD OR OTHERWISE DISPOSED OF BY THE HOLDER WITHOUT THE CONSENT OF THE COMPANY OR THE MANAGING UNDERWRITER. THE SECRETARY OF THE COMPANY WILL UPON WRITTEN REQUEST FURNISH A COPY OF SUCH AGREEMENT TO THE HOLDER HEREOF WITHOUT CHARGE.”</w:t>
      </w:r>
    </w:p>
    <w:p>
      <w:pPr>
        <w:spacing w:after="0" w:line="11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 xml:space="preserve">Exhibit A to Stock Option Agreement, page </w:t>
      </w:r>
      <w:r>
        <w:rPr>
          <w:rFonts w:ascii="Times New Roman" w:cs="Times New Roman" w:eastAsia="Times New Roman" w:hAnsi="Times New Roman"/>
          <w:sz w:val="18"/>
          <w:szCs w:val="18"/>
          <w:b w:val="1"/>
          <w:bCs w:val="1"/>
          <w:color w:val="auto"/>
        </w:rPr>
        <w:t>7</w:t>
      </w:r>
    </w:p>
    <w:p>
      <w:pPr>
        <w:sectPr>
          <w:pgSz w:w="11900" w:h="16838" w:orient="portrait"/>
          <w:cols w:equalWidth="0" w:num="1">
            <w:col w:w="10320"/>
          </w:cols>
          <w:pgMar w:left="980" w:top="267" w:right="599" w:bottom="1440" w:gutter="0" w:footer="0" w:header="0"/>
        </w:sectPr>
      </w:pPr>
    </w:p>
    <w:bookmarkStart w:id="360" w:name="page361"/>
    <w:bookmarkEnd w:id="360"/>
    <w:p>
      <w:pPr>
        <w:ind w:right="600"/>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57" w:lineRule="exact"/>
        <w:rPr>
          <w:sz w:val="20"/>
          <w:szCs w:val="20"/>
          <w:color w:val="auto"/>
        </w:rPr>
      </w:pPr>
    </w:p>
    <w:p>
      <w:pPr>
        <w:ind w:left="980" w:right="20"/>
        <w:spacing w:after="0" w:line="248"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87" w:lineRule="exact"/>
        <w:rPr>
          <w:sz w:val="20"/>
          <w:szCs w:val="20"/>
          <w:color w:val="auto"/>
        </w:rPr>
      </w:pPr>
    </w:p>
    <w:p>
      <w:pPr>
        <w:jc w:val="both"/>
        <w:ind w:left="440" w:firstLine="405"/>
        <w:spacing w:after="0" w:line="259" w:lineRule="auto"/>
        <w:tabs>
          <w:tab w:leader="none" w:pos="107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spacing w:after="0" w:line="71" w:lineRule="exact"/>
        <w:rPr>
          <w:rFonts w:ascii="Times New Roman" w:cs="Times New Roman" w:eastAsia="Times New Roman" w:hAnsi="Times New Roman"/>
          <w:sz w:val="18"/>
          <w:szCs w:val="18"/>
          <w:color w:val="auto"/>
        </w:rPr>
      </w:pPr>
    </w:p>
    <w:p>
      <w:pPr>
        <w:ind w:left="440" w:right="340" w:firstLine="405"/>
        <w:spacing w:after="0" w:line="274" w:lineRule="auto"/>
        <w:tabs>
          <w:tab w:leader="none" w:pos="110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14 shall be conclusive and binding on the Participant and all other persons.</w:t>
      </w:r>
    </w:p>
    <w:p>
      <w:pPr>
        <w:spacing w:after="0" w:line="163" w:lineRule="exact"/>
        <w:rPr>
          <w:rFonts w:ascii="Times New Roman" w:cs="Times New Roman" w:eastAsia="Times New Roman" w:hAnsi="Times New Roman"/>
          <w:sz w:val="18"/>
          <w:szCs w:val="18"/>
          <w:color w:val="auto"/>
        </w:rPr>
      </w:pPr>
    </w:p>
    <w:p>
      <w:pPr>
        <w:ind w:right="300" w:firstLine="430"/>
        <w:spacing w:after="0" w:line="274" w:lineRule="auto"/>
        <w:tabs>
          <w:tab w:leader="none" w:pos="69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63" w:lineRule="exact"/>
        <w:rPr>
          <w:rFonts w:ascii="Times New Roman" w:cs="Times New Roman" w:eastAsia="Times New Roman" w:hAnsi="Times New Roman"/>
          <w:sz w:val="18"/>
          <w:szCs w:val="18"/>
          <w:color w:val="auto"/>
        </w:rPr>
      </w:pPr>
    </w:p>
    <w:p>
      <w:pPr>
        <w:ind w:firstLine="430"/>
        <w:spacing w:after="0" w:line="249" w:lineRule="auto"/>
        <w:tabs>
          <w:tab w:leader="none" w:pos="69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foreign law, the tax code and related regulations or the consent or approval of any governmental regulatory authority is necessary or desirable as a condition to the purchase by, or issuance of Shares to, Participant (or his or her estate) hereunder, such purchase or issuance will not occur unless and until such listing, registration, qualification, rule compliance, consent or approval will have been completed, effected or obtained free of any conditions not acceptable to the Company. The Company will make all reasonable efforts to meet the requirements of any such state, federal or foreign law or securities exchange and to obtain any such consent or approval of any such governmental authority or securities exchange. Assuming such compliance, for income tax purposes the Exercised Shares will be considered transferred to Participant on the date the Option is exercised with respect to such Exercised Shares.</w:t>
      </w:r>
    </w:p>
    <w:p>
      <w:pPr>
        <w:spacing w:after="0" w:line="190" w:lineRule="exact"/>
        <w:rPr>
          <w:rFonts w:ascii="Times New Roman" w:cs="Times New Roman" w:eastAsia="Times New Roman" w:hAnsi="Times New Roman"/>
          <w:sz w:val="18"/>
          <w:szCs w:val="18"/>
          <w:color w:val="auto"/>
        </w:rPr>
      </w:pPr>
    </w:p>
    <w:p>
      <w:pPr>
        <w:ind w:right="40" w:firstLine="430"/>
        <w:spacing w:after="0" w:line="259" w:lineRule="auto"/>
        <w:tabs>
          <w:tab w:leader="none" w:pos="69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This Agreement is subject to all terms and provisions of the Plan. In the event of a conflict between one or more provisions of this Agreement and one or more provisions of the Plan, the provisions of the Plan will govern. Capitalized terms used and not defined in this Agreement will have the meaning set forth in the Plan.</w:t>
      </w:r>
    </w:p>
    <w:p>
      <w:pPr>
        <w:spacing w:after="0" w:line="177" w:lineRule="exact"/>
        <w:rPr>
          <w:rFonts w:ascii="Times New Roman" w:cs="Times New Roman" w:eastAsia="Times New Roman" w:hAnsi="Times New Roman"/>
          <w:sz w:val="18"/>
          <w:szCs w:val="18"/>
          <w:color w:val="auto"/>
        </w:rPr>
      </w:pPr>
    </w:p>
    <w:p>
      <w:pPr>
        <w:ind w:right="100" w:firstLine="430"/>
        <w:spacing w:after="0" w:line="251" w:lineRule="auto"/>
        <w:tabs>
          <w:tab w:leader="none" w:pos="69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and all other interested persons or entities (other than the Company). No member of the Administrator will be personally liable for any action, determination or interpretation made in good faith with respect to the Plan or this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Exhibit A to Stock Option Agreement, page </w:t>
      </w:r>
      <w:r>
        <w:rPr>
          <w:rFonts w:ascii="Times New Roman" w:cs="Times New Roman" w:eastAsia="Times New Roman" w:hAnsi="Times New Roman"/>
          <w:sz w:val="18"/>
          <w:szCs w:val="18"/>
          <w:b w:val="1"/>
          <w:bCs w:val="1"/>
          <w:color w:val="auto"/>
        </w:rPr>
        <w:t>8</w:t>
      </w:r>
    </w:p>
    <w:p>
      <w:pPr>
        <w:sectPr>
          <w:pgSz w:w="11900" w:h="16838" w:orient="portrait"/>
          <w:cols w:equalWidth="0" w:num="1">
            <w:col w:w="10800"/>
          </w:cols>
          <w:pgMar w:left="540" w:top="267" w:right="559" w:bottom="1440" w:gutter="0" w:footer="0" w:header="0"/>
        </w:sectPr>
      </w:pPr>
    </w:p>
    <w:bookmarkStart w:id="361" w:name="page362"/>
    <w:bookmarkEnd w:id="361"/>
    <w:p>
      <w:pPr>
        <w:ind w:right="60" w:firstLine="430"/>
        <w:spacing w:after="0" w:line="247" w:lineRule="auto"/>
        <w:tabs>
          <w:tab w:leader="none" w:pos="69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Electronic Delivery and Acceptance</w:t>
      </w:r>
      <w:r>
        <w:rPr>
          <w:rFonts w:ascii="Times New Roman" w:cs="Times New Roman" w:eastAsia="Times New Roman" w:hAnsi="Times New Roman"/>
          <w:sz w:val="18"/>
          <w:szCs w:val="18"/>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such means of electronic delivery and agrees to participate in the Plan through any online or electronic system established and maintained by the Company which may, but do not necessarily, include the delivery of a link to a Company intranet or the Internet site of a third party involved in administering the Plan, the delivery of the document via e-mail or such other means of electronic delivery specified by the Company. Participant consents to the electronic delivery of the Plan documents and this Agreement. Participant acknowledges that he or she may receive from the Company a paper copy of any documents delivered electronically at no cost to Participant by contacting the Company by telephone or in writing. Participant further acknowledges that Participant will be provided with a paper copy of any documents if the attempted electronic delivery of such documents fails. Similarly, Participant understands that Participant must provide the Company or any designated third party administrator with a paper copy of any documents if the attempted electronic delivery of such documents fails.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Participant understands that he or she is not required to consent to electronic delivery of documents.</w:t>
      </w:r>
    </w:p>
    <w:p>
      <w:pPr>
        <w:spacing w:after="0" w:line="197" w:lineRule="exact"/>
        <w:rPr>
          <w:rFonts w:ascii="Times New Roman" w:cs="Times New Roman" w:eastAsia="Times New Roman" w:hAnsi="Times New Roman"/>
          <w:sz w:val="18"/>
          <w:szCs w:val="18"/>
          <w:color w:val="auto"/>
        </w:rPr>
      </w:pPr>
    </w:p>
    <w:p>
      <w:pPr>
        <w:ind w:right="820" w:firstLine="430"/>
        <w:spacing w:after="0" w:line="274" w:lineRule="auto"/>
        <w:tabs>
          <w:tab w:leader="none" w:pos="69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Agreement.</w:t>
      </w:r>
    </w:p>
    <w:p>
      <w:pPr>
        <w:spacing w:after="0" w:line="163" w:lineRule="exact"/>
        <w:rPr>
          <w:rFonts w:ascii="Times New Roman" w:cs="Times New Roman" w:eastAsia="Times New Roman" w:hAnsi="Times New Roman"/>
          <w:sz w:val="18"/>
          <w:szCs w:val="18"/>
          <w:color w:val="auto"/>
        </w:rPr>
      </w:pPr>
    </w:p>
    <w:p>
      <w:pPr>
        <w:ind w:right="200" w:firstLine="430"/>
        <w:spacing w:after="0" w:line="259" w:lineRule="auto"/>
        <w:tabs>
          <w:tab w:leader="none" w:pos="69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Agreement, or any other document related to the Option and/or the Plan translated into a language other than English and if the meaning of the translated version is different than the English version, the English version will control, subject to Applicable Laws.</w:t>
      </w:r>
    </w:p>
    <w:p>
      <w:pPr>
        <w:spacing w:after="0" w:line="177" w:lineRule="exact"/>
        <w:rPr>
          <w:rFonts w:ascii="Times New Roman" w:cs="Times New Roman" w:eastAsia="Times New Roman" w:hAnsi="Times New Roman"/>
          <w:sz w:val="18"/>
          <w:szCs w:val="18"/>
          <w:color w:val="auto"/>
        </w:rPr>
      </w:pPr>
    </w:p>
    <w:p>
      <w:pPr>
        <w:ind w:right="20" w:firstLine="430"/>
        <w:spacing w:after="0" w:line="274" w:lineRule="auto"/>
        <w:tabs>
          <w:tab w:leader="none" w:pos="69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63" w:lineRule="exact"/>
        <w:rPr>
          <w:rFonts w:ascii="Times New Roman" w:cs="Times New Roman" w:eastAsia="Times New Roman" w:hAnsi="Times New Roman"/>
          <w:sz w:val="18"/>
          <w:szCs w:val="18"/>
          <w:color w:val="auto"/>
        </w:rPr>
      </w:pPr>
    </w:p>
    <w:p>
      <w:pPr>
        <w:jc w:val="both"/>
        <w:ind w:right="240" w:firstLine="430"/>
        <w:spacing w:after="0" w:line="259" w:lineRule="auto"/>
        <w:tabs>
          <w:tab w:leader="none" w:pos="69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77" w:lineRule="exact"/>
        <w:rPr>
          <w:rFonts w:ascii="Times New Roman" w:cs="Times New Roman" w:eastAsia="Times New Roman" w:hAnsi="Times New Roman"/>
          <w:sz w:val="18"/>
          <w:szCs w:val="18"/>
          <w:color w:val="auto"/>
        </w:rPr>
      </w:pPr>
    </w:p>
    <w:p>
      <w:pPr>
        <w:ind w:firstLine="430"/>
        <w:spacing w:after="0" w:line="255" w:lineRule="auto"/>
        <w:tabs>
          <w:tab w:leader="none" w:pos="69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Agreement will be governed by the laws of California, without giving effect to the conflict of law principles thereof. For purposes of litigating any dispute that arises under this Option or this Agreement, the parties hereby submit to and consent to the jurisdiction of the State of California, and agree that such litigation will be conducted in the courts of Orange County, California, or the federal courts for the United States for the Central District of California, and no other courts, where this Option is made and/or to be performed.</w:t>
      </w:r>
    </w:p>
    <w:p>
      <w:pPr>
        <w:spacing w:after="0" w:line="180" w:lineRule="exact"/>
        <w:rPr>
          <w:rFonts w:ascii="Times New Roman" w:cs="Times New Roman" w:eastAsia="Times New Roman" w:hAnsi="Times New Roman"/>
          <w:sz w:val="18"/>
          <w:szCs w:val="18"/>
          <w:color w:val="auto"/>
        </w:rPr>
      </w:pPr>
    </w:p>
    <w:p>
      <w:pPr>
        <w:ind w:firstLine="430"/>
        <w:spacing w:after="0" w:line="251" w:lineRule="auto"/>
        <w:tabs>
          <w:tab w:leader="none" w:pos="69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Agreement</w:t>
      </w:r>
      <w:r>
        <w:rPr>
          <w:rFonts w:ascii="Times New Roman" w:cs="Times New Roman" w:eastAsia="Times New Roman" w:hAnsi="Times New Roman"/>
          <w:sz w:val="18"/>
          <w:szCs w:val="18"/>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85" w:lineRule="exact"/>
        <w:rPr>
          <w:rFonts w:ascii="Times New Roman" w:cs="Times New Roman" w:eastAsia="Times New Roman" w:hAnsi="Times New Roman"/>
          <w:sz w:val="18"/>
          <w:szCs w:val="18"/>
          <w:color w:val="auto"/>
        </w:rPr>
      </w:pPr>
    </w:p>
    <w:p>
      <w:pPr>
        <w:ind w:right="700" w:firstLine="430"/>
        <w:spacing w:after="0" w:line="274" w:lineRule="auto"/>
        <w:tabs>
          <w:tab w:leader="none" w:pos="69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Participant acknowledges that a waiver by the Company of breach of any provision of this Agreement shall not operate or be construed as a waiver of any other provision of this Agreement, or of any subsequent breach by Participant or any other Participant.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Exhibit A to Stock Option Agreement, page </w:t>
      </w:r>
      <w:r>
        <w:rPr>
          <w:rFonts w:ascii="Times New Roman" w:cs="Times New Roman" w:eastAsia="Times New Roman" w:hAnsi="Times New Roman"/>
          <w:sz w:val="18"/>
          <w:szCs w:val="18"/>
          <w:b w:val="1"/>
          <w:bCs w:val="1"/>
          <w:color w:val="auto"/>
        </w:rPr>
        <w:t>9</w:t>
      </w:r>
    </w:p>
    <w:p>
      <w:pPr>
        <w:sectPr>
          <w:pgSz w:w="11900" w:h="16838" w:orient="portrait"/>
          <w:cols w:equalWidth="0" w:num="1">
            <w:col w:w="10800"/>
          </w:cols>
          <w:pgMar w:left="540" w:top="266" w:right="559" w:bottom="1440" w:gutter="0" w:footer="0" w:header="0"/>
        </w:sectPr>
      </w:pPr>
    </w:p>
    <w:bookmarkStart w:id="362" w:name="page363"/>
    <w:bookmarkEnd w:id="362"/>
    <w:p>
      <w:pPr>
        <w:ind w:left="49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B</w:t>
      </w:r>
    </w:p>
    <w:p>
      <w:pPr>
        <w:spacing w:after="0" w:line="1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Oncology,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Spectrum Center Drive, Suite 2040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 92618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Stock Administration</w:t>
      </w:r>
    </w:p>
    <w:p>
      <w:pPr>
        <w:spacing w:after="0" w:line="198" w:lineRule="exact"/>
        <w:rPr>
          <w:sz w:val="20"/>
          <w:szCs w:val="20"/>
          <w:color w:val="auto"/>
        </w:rPr>
      </w:pPr>
    </w:p>
    <w:p>
      <w:pPr>
        <w:ind w:firstLine="430"/>
        <w:spacing w:after="0" w:line="272" w:lineRule="auto"/>
        <w:tabs>
          <w:tab w:leader="none" w:pos="609"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w:t>
      </w:r>
      <w:r>
        <w:rPr>
          <w:rFonts w:ascii="Times New Roman" w:cs="Times New Roman" w:eastAsia="Times New Roman" w:hAnsi="Times New Roman"/>
          <w:sz w:val="17"/>
          <w:szCs w:val="17"/>
          <w:color w:val="auto"/>
        </w:rPr>
        <w:t>. Effective as of today, ______________, 20___, the undersigned (“Purchaser”) hereby elects to purchase __________ shares (the “Shares”) of the Common Stock of CG Oncology, Inc. (the “Company”) under and pursuant to the 2015 Equity Incentive Plan (the “Plan”) and the</w:t>
      </w:r>
    </w:p>
    <w:p>
      <w:pPr>
        <w:spacing w:after="0"/>
        <w:rPr>
          <w:sz w:val="20"/>
          <w:szCs w:val="20"/>
          <w:color w:val="auto"/>
        </w:rPr>
      </w:pPr>
      <w:r>
        <w:rPr>
          <w:rFonts w:ascii="Times New Roman" w:cs="Times New Roman" w:eastAsia="Times New Roman" w:hAnsi="Times New Roman"/>
          <w:sz w:val="18"/>
          <w:szCs w:val="18"/>
          <w:color w:val="auto"/>
        </w:rPr>
        <w:t>Stock Option Agreement dated            (the “Agreement”). The purchase price for the Shares will be $__________, as required by the Agreement.</w:t>
      </w:r>
    </w:p>
    <w:p>
      <w:pPr>
        <w:spacing w:after="0" w:line="198" w:lineRule="exact"/>
        <w:rPr>
          <w:sz w:val="20"/>
          <w:szCs w:val="20"/>
          <w:color w:val="auto"/>
        </w:rPr>
      </w:pPr>
    </w:p>
    <w:p>
      <w:pPr>
        <w:ind w:right="140" w:firstLine="430"/>
        <w:spacing w:after="0" w:line="274" w:lineRule="auto"/>
        <w:tabs>
          <w:tab w:leader="none" w:pos="60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Purchaser herewith delivers to the Company the full purchase price of the Shares and any required tax withholding to be paid in connection with the exercise of the Option.</w:t>
      </w:r>
    </w:p>
    <w:p>
      <w:pPr>
        <w:spacing w:after="0" w:line="163" w:lineRule="exact"/>
        <w:rPr>
          <w:rFonts w:ascii="Times New Roman" w:cs="Times New Roman" w:eastAsia="Times New Roman" w:hAnsi="Times New Roman"/>
          <w:sz w:val="18"/>
          <w:szCs w:val="18"/>
          <w:color w:val="auto"/>
        </w:rPr>
      </w:pPr>
    </w:p>
    <w:p>
      <w:pPr>
        <w:ind w:right="20" w:firstLine="430"/>
        <w:spacing w:after="0" w:line="274" w:lineRule="auto"/>
        <w:tabs>
          <w:tab w:leader="none" w:pos="60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Purchaser</w:t>
      </w:r>
      <w:r>
        <w:rPr>
          <w:rFonts w:ascii="Times New Roman" w:cs="Times New Roman" w:eastAsia="Times New Roman" w:hAnsi="Times New Roman"/>
          <w:sz w:val="18"/>
          <w:szCs w:val="18"/>
          <w:color w:val="auto"/>
        </w:rPr>
        <w:t>. Purchaser acknowledges that Purchaser has received, read and understood the Plan and the Agreement and agrees to abide by and be bound by their terms and conditions.</w:t>
      </w:r>
    </w:p>
    <w:p>
      <w:pPr>
        <w:spacing w:after="0" w:line="163" w:lineRule="exact"/>
        <w:rPr>
          <w:rFonts w:ascii="Times New Roman" w:cs="Times New Roman" w:eastAsia="Times New Roman" w:hAnsi="Times New Roman"/>
          <w:sz w:val="18"/>
          <w:szCs w:val="18"/>
          <w:color w:val="auto"/>
        </w:rPr>
      </w:pPr>
    </w:p>
    <w:p>
      <w:pPr>
        <w:ind w:firstLine="430"/>
        <w:spacing w:after="0" w:line="252" w:lineRule="auto"/>
        <w:tabs>
          <w:tab w:leader="none" w:pos="60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10 of the Plan.</w:t>
      </w:r>
    </w:p>
    <w:p>
      <w:pPr>
        <w:spacing w:after="0" w:line="185" w:lineRule="exact"/>
        <w:rPr>
          <w:rFonts w:ascii="Times New Roman" w:cs="Times New Roman" w:eastAsia="Times New Roman" w:hAnsi="Times New Roman"/>
          <w:sz w:val="18"/>
          <w:szCs w:val="18"/>
          <w:color w:val="auto"/>
        </w:rPr>
      </w:pPr>
    </w:p>
    <w:p>
      <w:pPr>
        <w:jc w:val="both"/>
        <w:ind w:right="100" w:firstLine="430"/>
        <w:spacing w:after="0" w:line="259" w:lineRule="auto"/>
        <w:tabs>
          <w:tab w:leader="none" w:pos="60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77" w:lineRule="exact"/>
        <w:rPr>
          <w:rFonts w:ascii="Times New Roman" w:cs="Times New Roman" w:eastAsia="Times New Roman" w:hAnsi="Times New Roman"/>
          <w:sz w:val="18"/>
          <w:szCs w:val="18"/>
          <w:color w:val="auto"/>
        </w:rPr>
      </w:pPr>
    </w:p>
    <w:p>
      <w:pPr>
        <w:ind w:right="160" w:firstLine="430"/>
        <w:spacing w:after="0" w:line="252" w:lineRule="auto"/>
        <w:tabs>
          <w:tab w:leader="none" w:pos="60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and Agreement are incorporated herein by reference. This Exercise Notice, the Plan and the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Submitted by:</w:t>
            </w:r>
          </w:p>
        </w:tc>
        <w:tc>
          <w:tcPr>
            <w:tcW w:w="2860" w:type="dxa"/>
            <w:vAlign w:val="bottom"/>
          </w:tcPr>
          <w:p>
            <w:pPr>
              <w:spacing w:after="0"/>
              <w:rPr>
                <w:sz w:val="20"/>
                <w:szCs w:val="20"/>
                <w:color w:val="auto"/>
              </w:rPr>
            </w:pPr>
          </w:p>
        </w:tc>
        <w:tc>
          <w:tcPr>
            <w:tcW w:w="55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Accepted by:</w:t>
            </w:r>
          </w:p>
        </w:tc>
      </w:tr>
      <w:tr>
        <w:trPr>
          <w:trHeight w:val="42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w:t>
            </w:r>
          </w:p>
        </w:tc>
        <w:tc>
          <w:tcPr>
            <w:tcW w:w="2860" w:type="dxa"/>
            <w:vAlign w:val="bottom"/>
          </w:tcPr>
          <w:p>
            <w:pPr>
              <w:spacing w:after="0"/>
              <w:rPr>
                <w:sz w:val="24"/>
                <w:szCs w:val="24"/>
                <w:color w:val="auto"/>
              </w:rPr>
            </w:pPr>
          </w:p>
        </w:tc>
        <w:tc>
          <w:tcPr>
            <w:tcW w:w="55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CG ONCOLOGY, INC.</w:t>
            </w:r>
          </w:p>
        </w:tc>
      </w:tr>
      <w:tr>
        <w:trPr>
          <w:trHeight w:val="42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5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4"/>
                <w:szCs w:val="24"/>
                <w:color w:val="auto"/>
              </w:rPr>
            </w:pPr>
          </w:p>
        </w:tc>
      </w:tr>
      <w:tr>
        <w:trPr>
          <w:trHeight w:val="187"/>
        </w:trPr>
        <w:tc>
          <w:tcPr>
            <w:tcW w:w="8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w w:val="95"/>
              </w:rPr>
              <w:t>Print Name:</w:t>
            </w:r>
          </w:p>
        </w:tc>
        <w:tc>
          <w:tcPr>
            <w:tcW w:w="1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520" w:type="dxa"/>
            <w:vAlign w:val="bottom"/>
            <w:gridSpan w:val="2"/>
          </w:tcPr>
          <w:p>
            <w:pPr>
              <w:ind w:left="680"/>
              <w:spacing w:after="0" w:line="187" w:lineRule="exact"/>
              <w:rPr>
                <w:sz w:val="20"/>
                <w:szCs w:val="20"/>
                <w:color w:val="auto"/>
              </w:rPr>
            </w:pPr>
            <w:r>
              <w:rPr>
                <w:rFonts w:ascii="Times New Roman" w:cs="Times New Roman" w:eastAsia="Times New Roman" w:hAnsi="Times New Roman"/>
                <w:sz w:val="18"/>
                <w:szCs w:val="18"/>
                <w:color w:val="auto"/>
              </w:rPr>
              <w:t>Name:</w:t>
            </w:r>
          </w:p>
        </w:tc>
      </w:tr>
      <w:tr>
        <w:trPr>
          <w:trHeight w:val="225"/>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2860" w:type="dxa"/>
            <w:vAlign w:val="bottom"/>
          </w:tcPr>
          <w:p>
            <w:pPr>
              <w:spacing w:after="0"/>
              <w:rPr>
                <w:sz w:val="19"/>
                <w:szCs w:val="19"/>
                <w:color w:val="auto"/>
              </w:rPr>
            </w:pPr>
          </w:p>
        </w:tc>
        <w:tc>
          <w:tcPr>
            <w:tcW w:w="55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Title:</w:t>
            </w:r>
          </w:p>
        </w:tc>
      </w:tr>
      <w:tr>
        <w:trPr>
          <w:trHeight w:val="231"/>
        </w:trPr>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5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Date Received:</w:t>
            </w:r>
          </w:p>
        </w:tc>
      </w:tr>
      <w:tr>
        <w:trPr>
          <w:trHeight w:val="371"/>
        </w:trPr>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 xml:space="preserve">Exhibit B to Stock Option Agreement, page </w:t>
            </w:r>
            <w:r>
              <w:rPr>
                <w:rFonts w:ascii="Times New Roman" w:cs="Times New Roman" w:eastAsia="Times New Roman" w:hAnsi="Times New Roman"/>
                <w:sz w:val="18"/>
                <w:szCs w:val="18"/>
                <w:b w:val="1"/>
                <w:bCs w:val="1"/>
                <w:color w:val="auto"/>
              </w:rPr>
              <w:t>1</w:t>
            </w:r>
          </w:p>
        </w:tc>
      </w:tr>
    </w:tbl>
    <w:p>
      <w:pPr>
        <w:sectPr>
          <w:pgSz w:w="11900" w:h="16838" w:orient="portrait"/>
          <w:cols w:equalWidth="0" w:num="1">
            <w:col w:w="10800"/>
          </w:cols>
          <w:pgMar w:left="540" w:top="265" w:right="559"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2022 INCENTIVE AWARD PLAN</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98" w:lineRule="exact"/>
        <w:rPr>
          <w:sz w:val="20"/>
          <w:szCs w:val="20"/>
          <w:color w:val="auto"/>
        </w:rPr>
      </w:pPr>
    </w:p>
    <w:p>
      <w:pPr>
        <w:jc w:val="both"/>
        <w:ind w:right="400" w:firstLine="432"/>
        <w:spacing w:after="0" w:line="259"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8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198" w:lineRule="exact"/>
        <w:rPr>
          <w:sz w:val="20"/>
          <w:szCs w:val="20"/>
          <w:color w:val="auto"/>
        </w:rPr>
      </w:pPr>
    </w:p>
    <w:p>
      <w:pPr>
        <w:ind w:right="40" w:firstLine="432"/>
        <w:spacing w:after="0" w:line="250"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87"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AVAILABLE FOR AWARDS</w:t>
      </w:r>
    </w:p>
    <w:p>
      <w:pPr>
        <w:spacing w:after="0" w:line="19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VIII and the terms of this Article IV, Awards may be made under the Plan covering up to the Overall Share Limit. As of the Plan’s effective date, the Company will cease granting awards under the Prior Plan; however, the Prior Plan Awards will remain subject to the terms of the Prior Plan. Shares issued under the Plan may consist of authorized but unissued Shares, Shares purchased on the open market or treasury Shares.</w:t>
      </w:r>
    </w:p>
    <w:p>
      <w:pPr>
        <w:spacing w:after="0" w:line="180" w:lineRule="exact"/>
        <w:rPr>
          <w:sz w:val="20"/>
          <w:szCs w:val="20"/>
          <w:color w:val="auto"/>
        </w:rPr>
      </w:pPr>
    </w:p>
    <w:p>
      <w:pPr>
        <w:ind w:right="160" w:firstLine="432"/>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 If all or any part of an Award or a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w:t>
      </w:r>
    </w:p>
    <w:p>
      <w:pPr>
        <w:sectPr>
          <w:pgSz w:w="11900" w:h="16838" w:orient="portrait"/>
          <w:cols w:equalWidth="0" w:num="1">
            <w:col w:w="10820"/>
          </w:cols>
          <w:pgMar w:left="540" w:top="119" w:right="539" w:bottom="1440" w:gutter="0" w:footer="0" w:header="0"/>
        </w:sectPr>
      </w:pPr>
    </w:p>
    <w:bookmarkStart w:id="364" w:name="page365"/>
    <w:bookmarkEnd w:id="36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w:t>
      </w:r>
    </w:p>
    <w:p>
      <w:pPr>
        <w:spacing w:after="0" w:line="185" w:lineRule="exact"/>
        <w:rPr>
          <w:sz w:val="20"/>
          <w:szCs w:val="20"/>
          <w:color w:val="auto"/>
        </w:rPr>
      </w:pPr>
    </w:p>
    <w:p>
      <w:pPr>
        <w:ind w:right="40" w:firstLine="432"/>
        <w:spacing w:after="0" w:line="27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54,505,146 Shares may be issued pursuant to the exercise of Incentive Stock Options.</w:t>
      </w:r>
    </w:p>
    <w:p>
      <w:pPr>
        <w:spacing w:after="0" w:line="163" w:lineRule="exact"/>
        <w:rPr>
          <w:sz w:val="20"/>
          <w:szCs w:val="20"/>
          <w:color w:val="auto"/>
        </w:rPr>
      </w:pPr>
    </w:p>
    <w:p>
      <w:pPr>
        <w:ind w:firstLine="432"/>
        <w:spacing w:after="0" w:line="247"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spacing w:after="0" w:line="19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Non-Employee Director Compensation</w:t>
      </w:r>
      <w:r>
        <w:rPr>
          <w:rFonts w:ascii="Times New Roman" w:cs="Times New Roman" w:eastAsia="Times New Roman" w:hAnsi="Times New Roman"/>
          <w:sz w:val="18"/>
          <w:szCs w:val="18"/>
          <w:color w:val="auto"/>
        </w:rPr>
        <w:t>.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198" w:lineRule="exact"/>
        <w:rPr>
          <w:sz w:val="20"/>
          <w:szCs w:val="20"/>
          <w:color w:val="auto"/>
        </w:rPr>
      </w:pPr>
    </w:p>
    <w:p>
      <w:pPr>
        <w:ind w:firstLine="432"/>
        <w:spacing w:after="0" w:line="25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540" w:top="267" w:right="579" w:bottom="1440" w:gutter="0" w:footer="0" w:header="0"/>
        </w:sectPr>
      </w:pPr>
    </w:p>
    <w:bookmarkStart w:id="365" w:name="page366"/>
    <w:bookmarkEnd w:id="365"/>
    <w:p>
      <w:pPr>
        <w:ind w:right="100" w:firstLine="43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Administrator will establish each Option’s and Stock Appreciation Right’s exercise price and specify the exercise price in the Award Agreement. Unless otherwise determined by the Administrator,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w:t>
      </w:r>
    </w:p>
    <w:p>
      <w:pPr>
        <w:spacing w:after="0" w:line="185" w:lineRule="exact"/>
        <w:rPr>
          <w:sz w:val="20"/>
          <w:szCs w:val="20"/>
          <w:color w:val="auto"/>
        </w:rPr>
      </w:pPr>
    </w:p>
    <w:p>
      <w:pPr>
        <w:ind w:right="40" w:firstLine="432"/>
        <w:spacing w:after="0" w:line="250"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Each Option or Stock Appreciation Right will be exercisable at such times and as specified in the Award Agreement, provided that, unless otherwise determined by the Administrator, the term of an Option or Stock Appreciation Right will not exceed ten (10) years (subject to Section 5.6). Notwithstanding the foregoing and unless determined otherwise by the Company,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187"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85" w:lineRule="exact"/>
        <w:rPr>
          <w:sz w:val="20"/>
          <w:szCs w:val="20"/>
          <w:color w:val="auto"/>
        </w:rPr>
      </w:pPr>
    </w:p>
    <w:p>
      <w:pPr>
        <w:ind w:right="140" w:firstLine="432"/>
        <w:spacing w:after="0" w:line="27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 10.8, any Company insider trading policy (including blackout periods) and Applicable Laws, the exercise price of an Option must be paid by:</w:t>
      </w:r>
    </w:p>
    <w:p>
      <w:pPr>
        <w:spacing w:after="0" w:line="57" w:lineRule="exact"/>
        <w:rPr>
          <w:sz w:val="20"/>
          <w:szCs w:val="20"/>
          <w:color w:val="auto"/>
        </w:rPr>
      </w:pPr>
    </w:p>
    <w:p>
      <w:pPr>
        <w:ind w:right="200" w:firstLine="971"/>
        <w:spacing w:after="0" w:line="274" w:lineRule="auto"/>
        <w:tabs>
          <w:tab w:leader="none" w:pos="121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63" w:lineRule="exact"/>
        <w:rPr>
          <w:rFonts w:ascii="Times New Roman" w:cs="Times New Roman" w:eastAsia="Times New Roman" w:hAnsi="Times New Roman"/>
          <w:sz w:val="18"/>
          <w:szCs w:val="18"/>
          <w:color w:val="auto"/>
        </w:rPr>
      </w:pPr>
    </w:p>
    <w:p>
      <w:pPr>
        <w:ind w:right="160" w:firstLine="971"/>
        <w:spacing w:after="0" w:line="252" w:lineRule="auto"/>
        <w:tabs>
          <w:tab w:leader="none" w:pos="122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85" w:lineRule="exact"/>
        <w:rPr>
          <w:rFonts w:ascii="Times New Roman" w:cs="Times New Roman" w:eastAsia="Times New Roman" w:hAnsi="Times New Roman"/>
          <w:sz w:val="18"/>
          <w:szCs w:val="18"/>
          <w:color w:val="auto"/>
        </w:rPr>
      </w:pPr>
    </w:p>
    <w:p>
      <w:pPr>
        <w:ind w:right="480" w:firstLine="971"/>
        <w:spacing w:after="0" w:line="274" w:lineRule="auto"/>
        <w:tabs>
          <w:tab w:leader="none" w:pos="121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(either by actual delivery or attestation) of Shares owned by the Participant valued at their fair market value;</w:t>
      </w:r>
    </w:p>
    <w:p>
      <w:pPr>
        <w:spacing w:after="0" w:line="163" w:lineRule="exact"/>
        <w:rPr>
          <w:rFonts w:ascii="Times New Roman" w:cs="Times New Roman" w:eastAsia="Times New Roman" w:hAnsi="Times New Roman"/>
          <w:sz w:val="18"/>
          <w:szCs w:val="18"/>
          <w:color w:val="auto"/>
        </w:rPr>
      </w:pPr>
    </w:p>
    <w:p>
      <w:pPr>
        <w:ind w:right="200" w:firstLine="971"/>
        <w:spacing w:after="0" w:line="274" w:lineRule="auto"/>
        <w:tabs>
          <w:tab w:leader="none" w:pos="122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surrendering Shares then issuable upon the Option’s exercise valued at their fair market value on the exercise date;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540" w:top="266" w:right="559" w:bottom="1440" w:gutter="0" w:footer="0" w:header="0"/>
        </w:sectPr>
      </w:pPr>
    </w:p>
    <w:bookmarkStart w:id="366" w:name="page367"/>
    <w:bookmarkEnd w:id="366"/>
    <w:p>
      <w:pPr>
        <w:ind w:right="200" w:firstLine="971"/>
        <w:spacing w:after="0" w:line="274" w:lineRule="auto"/>
        <w:tabs>
          <w:tab w:leader="none" w:pos="121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to the extent permitted by the Administrator, delivery of a promissory note or any other property that the Administrator determines is good and valuable consideration; or</w:t>
      </w:r>
    </w:p>
    <w:p>
      <w:pPr>
        <w:spacing w:after="0" w:line="163" w:lineRule="exact"/>
        <w:rPr>
          <w:rFonts w:ascii="Times New Roman" w:cs="Times New Roman" w:eastAsia="Times New Roman" w:hAnsi="Times New Roman"/>
          <w:sz w:val="18"/>
          <w:szCs w:val="18"/>
          <w:color w:val="auto"/>
        </w:rPr>
      </w:pPr>
    </w:p>
    <w:p>
      <w:pPr>
        <w:ind w:left="1200" w:hanging="229"/>
        <w:spacing w:after="0"/>
        <w:tabs>
          <w:tab w:leader="none" w:pos="12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Company, any combination of the above payment forms approved by the Administrator.</w:t>
      </w:r>
    </w:p>
    <w:p>
      <w:pPr>
        <w:spacing w:after="0" w:line="217" w:lineRule="exact"/>
        <w:rPr>
          <w:sz w:val="20"/>
          <w:szCs w:val="20"/>
          <w:color w:val="auto"/>
        </w:rPr>
      </w:pPr>
    </w:p>
    <w:p>
      <w:pPr>
        <w:ind w:firstLine="432"/>
        <w:spacing w:after="0" w:line="24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(5)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(2) years from the grant date of the Option or (ii) one (1)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 The foregoing terms shall be incorporated into any Award Agreement evidencing an Option intended to be an Incentive Stock Option to the extent necessary to cause such Award to so qualify.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198" w:lineRule="exact"/>
        <w:rPr>
          <w:sz w:val="20"/>
          <w:szCs w:val="20"/>
          <w:color w:val="auto"/>
        </w:rPr>
      </w:pPr>
    </w:p>
    <w:p>
      <w:pPr>
        <w:ind w:right="100" w:firstLine="432"/>
        <w:spacing w:after="0" w:line="271"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40" w:firstLine="971"/>
        <w:spacing w:after="0" w:line="252" w:lineRule="auto"/>
        <w:tabs>
          <w:tab w:leader="none" w:pos="121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85" w:lineRule="exact"/>
        <w:rPr>
          <w:rFonts w:ascii="Times New Roman" w:cs="Times New Roman" w:eastAsia="Times New Roman" w:hAnsi="Times New Roman"/>
          <w:sz w:val="18"/>
          <w:szCs w:val="18"/>
          <w:color w:val="auto"/>
        </w:rPr>
      </w:pPr>
    </w:p>
    <w:p>
      <w:pPr>
        <w:ind w:right="420" w:firstLine="971"/>
        <w:spacing w:after="0" w:line="274" w:lineRule="auto"/>
        <w:tabs>
          <w:tab w:leader="none" w:pos="122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540" w:top="267" w:right="559" w:bottom="1440" w:gutter="0" w:footer="0" w:header="0"/>
        </w:sectPr>
      </w:pPr>
    </w:p>
    <w:bookmarkStart w:id="367" w:name="page368"/>
    <w:bookmarkEnd w:id="3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6.3 </w:t>
      </w:r>
      <w:r>
        <w:rPr>
          <w:rFonts w:ascii="Times New Roman" w:cs="Times New Roman" w:eastAsia="Times New Roman" w:hAnsi="Times New Roman"/>
          <w:sz w:val="18"/>
          <w:szCs w:val="18"/>
          <w:u w:val="single" w:color="auto"/>
          <w:color w:val="auto"/>
        </w:rPr>
        <w:t>Restricted Stock Units.</w:t>
      </w:r>
    </w:p>
    <w:p>
      <w:pPr>
        <w:spacing w:after="0" w:line="217" w:lineRule="exact"/>
        <w:rPr>
          <w:sz w:val="20"/>
          <w:szCs w:val="20"/>
          <w:color w:val="auto"/>
        </w:rPr>
      </w:pPr>
    </w:p>
    <w:p>
      <w:pPr>
        <w:ind w:right="40" w:firstLine="971"/>
        <w:spacing w:after="0" w:line="259" w:lineRule="auto"/>
        <w:tabs>
          <w:tab w:leader="none" w:pos="121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77" w:lineRule="exact"/>
        <w:rPr>
          <w:rFonts w:ascii="Times New Roman" w:cs="Times New Roman" w:eastAsia="Times New Roman" w:hAnsi="Times New Roman"/>
          <w:sz w:val="18"/>
          <w:szCs w:val="18"/>
          <w:color w:val="auto"/>
        </w:rPr>
      </w:pPr>
    </w:p>
    <w:p>
      <w:pPr>
        <w:ind w:right="460" w:firstLine="971"/>
        <w:spacing w:after="0" w:line="274" w:lineRule="auto"/>
        <w:tabs>
          <w:tab w:leader="none" w:pos="122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STOCK OR CASH BASED AWARDS; DIVIDEND EQUIVALENTS</w:t>
      </w:r>
    </w:p>
    <w:p>
      <w:pPr>
        <w:spacing w:after="0" w:line="198" w:lineRule="exact"/>
        <w:rPr>
          <w:sz w:val="20"/>
          <w:szCs w:val="20"/>
          <w:color w:val="auto"/>
        </w:rPr>
      </w:pPr>
    </w:p>
    <w:p>
      <w:pPr>
        <w:ind w:firstLine="432"/>
        <w:spacing w:after="0" w:line="271"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Other Stock or Cash Based Awards</w:t>
      </w:r>
      <w:r>
        <w:rPr>
          <w:rFonts w:ascii="Times New Roman" w:cs="Times New Roman" w:eastAsia="Times New Roman" w:hAnsi="Times New Roman"/>
          <w:sz w:val="17"/>
          <w:szCs w:val="17"/>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168" w:lineRule="exact"/>
        <w:rPr>
          <w:sz w:val="20"/>
          <w:szCs w:val="20"/>
          <w:color w:val="auto"/>
        </w:rPr>
      </w:pPr>
    </w:p>
    <w:p>
      <w:pPr>
        <w:ind w:right="40" w:firstLine="432"/>
        <w:spacing w:after="0" w:line="249"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unless otherwise determined by the Administrator, Dividend Equivalents with respect to an Award shall only be paid out to a Participant to the extent that the vesting conditions are subsequently satisfied. All such Dividend Equivalent payments will be made no later than March 15 of the calendar year following the calendar year in which the right to the Dividend Equivalent payment becomes nonforfeitable, unless determined otherwise by the Administrator or unless deferred in a manner intended to comply with Section 409A.</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FOR CHANGES IN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CERTAIN OTHER EVENTS</w:t>
      </w:r>
    </w:p>
    <w:p>
      <w:pPr>
        <w:spacing w:after="0" w:line="198" w:lineRule="exact"/>
        <w:rPr>
          <w:sz w:val="20"/>
          <w:szCs w:val="20"/>
          <w:color w:val="auto"/>
        </w:rPr>
      </w:pPr>
    </w:p>
    <w:p>
      <w:pPr>
        <w:ind w:right="40" w:firstLine="432"/>
        <w:spacing w:after="0" w:line="25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(a)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540" w:top="267" w:right="559" w:bottom="1440" w:gutter="0" w:footer="0" w:header="0"/>
        </w:sectPr>
      </w:pPr>
    </w:p>
    <w:bookmarkStart w:id="368" w:name="page369"/>
    <w:bookmarkEnd w:id="368"/>
    <w:p>
      <w:pPr>
        <w:ind w:firstLine="432"/>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85" w:lineRule="exact"/>
        <w:rPr>
          <w:sz w:val="20"/>
          <w:szCs w:val="20"/>
          <w:color w:val="auto"/>
        </w:rPr>
      </w:pPr>
    </w:p>
    <w:p>
      <w:pPr>
        <w:ind w:right="80" w:firstLine="971"/>
        <w:spacing w:after="0" w:line="251" w:lineRule="auto"/>
        <w:tabs>
          <w:tab w:leader="none" w:pos="121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provided, further, that Awards held by members of the Board will be settled in Shares on or immediately prior to the applicable event if the Administrator takes action under this clause (a);</w:t>
      </w:r>
    </w:p>
    <w:p>
      <w:pPr>
        <w:spacing w:after="0" w:line="185" w:lineRule="exact"/>
        <w:rPr>
          <w:rFonts w:ascii="Times New Roman" w:cs="Times New Roman" w:eastAsia="Times New Roman" w:hAnsi="Times New Roman"/>
          <w:sz w:val="18"/>
          <w:szCs w:val="18"/>
          <w:color w:val="auto"/>
        </w:rPr>
      </w:pPr>
    </w:p>
    <w:p>
      <w:pPr>
        <w:ind w:right="320" w:firstLine="971"/>
        <w:spacing w:after="0" w:line="274" w:lineRule="auto"/>
        <w:tabs>
          <w:tab w:leader="none" w:pos="122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63" w:lineRule="exact"/>
        <w:rPr>
          <w:rFonts w:ascii="Times New Roman" w:cs="Times New Roman" w:eastAsia="Times New Roman" w:hAnsi="Times New Roman"/>
          <w:sz w:val="18"/>
          <w:szCs w:val="18"/>
          <w:color w:val="auto"/>
        </w:rPr>
      </w:pPr>
    </w:p>
    <w:p>
      <w:pPr>
        <w:ind w:right="180" w:firstLine="971"/>
        <w:spacing w:after="0" w:line="259" w:lineRule="auto"/>
        <w:tabs>
          <w:tab w:leader="none" w:pos="121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77" w:lineRule="exact"/>
        <w:rPr>
          <w:rFonts w:ascii="Times New Roman" w:cs="Times New Roman" w:eastAsia="Times New Roman" w:hAnsi="Times New Roman"/>
          <w:sz w:val="18"/>
          <w:szCs w:val="18"/>
          <w:color w:val="auto"/>
        </w:rPr>
      </w:pPr>
    </w:p>
    <w:p>
      <w:pPr>
        <w:jc w:val="both"/>
        <w:ind w:right="180" w:firstLine="971"/>
        <w:spacing w:after="0" w:line="255" w:lineRule="auto"/>
        <w:tabs>
          <w:tab w:leader="none" w:pos="122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spacing w:after="0" w:line="180"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217" w:lineRule="exact"/>
        <w:rPr>
          <w:rFonts w:ascii="Times New Roman" w:cs="Times New Roman" w:eastAsia="Times New Roman" w:hAnsi="Times New Roman"/>
          <w:sz w:val="18"/>
          <w:szCs w:val="18"/>
          <w:color w:val="auto"/>
        </w:rPr>
      </w:pPr>
    </w:p>
    <w:p>
      <w:pPr>
        <w:ind w:left="1200" w:hanging="229"/>
        <w:spacing w:after="0"/>
        <w:tabs>
          <w:tab w:leader="none" w:pos="12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217" w:lineRule="exact"/>
        <w:rPr>
          <w:sz w:val="20"/>
          <w:szCs w:val="20"/>
          <w:color w:val="auto"/>
        </w:rPr>
      </w:pPr>
    </w:p>
    <w:p>
      <w:pPr>
        <w:ind w:right="100" w:firstLine="973"/>
        <w:spacing w:after="0" w:line="255"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Effect of Non-Assumption in a Change in Control</w:t>
      </w:r>
      <w:r>
        <w:rPr>
          <w:rFonts w:ascii="Times New Roman" w:cs="Times New Roman" w:eastAsia="Times New Roman" w:hAnsi="Times New Roman"/>
          <w:sz w:val="18"/>
          <w:szCs w:val="18"/>
          <w:color w:val="auto"/>
        </w:rPr>
        <w:t>. Notwithstanding the provisions of Section 8.2, if a Change in Control occurs and a Participant’s Awards are not continued, converted, assumed, or replaced with a substantially similar award by (a) the Company, or (b)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and provided that the Participant has not had a Termination of Service, then the Administrator may provide that, immediately prior to the Change in Control, such Awards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20"/>
          </w:cols>
          <w:pgMar w:left="540" w:top="267" w:right="539" w:bottom="1440" w:gutter="0" w:footer="0" w:header="0"/>
        </w:sectPr>
      </w:pPr>
    </w:p>
    <w:bookmarkStart w:id="369" w:name="page370"/>
    <w:bookmarkEnd w:id="369"/>
    <w:p>
      <w:pPr>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if the amount to which a Participant would be entitled upon the settlement or exercise of such Award at the time of the Change in Control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equal to or less than zero, then such Award may be terminated without payment. An Award will be considered replaced with a comparable award if the Award is exchanged for an amount of cash or other property with a value equal to the amount that could 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w:t>
      </w:r>
    </w:p>
    <w:p>
      <w:pPr>
        <w:spacing w:after="0" w:line="181" w:lineRule="exact"/>
        <w:rPr>
          <w:sz w:val="20"/>
          <w:szCs w:val="20"/>
          <w:color w:val="auto"/>
        </w:rPr>
      </w:pPr>
    </w:p>
    <w:p>
      <w:pPr>
        <w:ind w:right="120" w:firstLine="432"/>
        <w:spacing w:after="0" w:line="274"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Administrative Stand Still</w:t>
      </w:r>
      <w:r>
        <w:rPr>
          <w:rFonts w:ascii="Times New Roman" w:cs="Times New Roman" w:eastAsia="Times New Roman" w:hAnsi="Times New Roman"/>
          <w:sz w:val="17"/>
          <w:szCs w:val="17"/>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sixty (60) days before or after such transaction.</w:t>
      </w:r>
    </w:p>
    <w:p>
      <w:pPr>
        <w:spacing w:after="0" w:line="167" w:lineRule="exact"/>
        <w:rPr>
          <w:sz w:val="20"/>
          <w:szCs w:val="20"/>
          <w:color w:val="auto"/>
        </w:rPr>
      </w:pPr>
    </w:p>
    <w:p>
      <w:pPr>
        <w:ind w:right="40" w:firstLine="432"/>
        <w:spacing w:after="0" w:line="24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 APPLICABLE TO AWARDS</w:t>
      </w:r>
    </w:p>
    <w:p>
      <w:pPr>
        <w:spacing w:after="0" w:line="198"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Designated Beneficiary designations, by will or the laws of descent and distribution, or, subject to the Administrator’s consent, pursuant to a domestic relations order, and, during the life of the Participant, will</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0"/>
          </w:cols>
          <w:pgMar w:left="540" w:top="266" w:right="559" w:bottom="1440" w:gutter="0" w:footer="0" w:header="0"/>
        </w:sectPr>
      </w:pPr>
    </w:p>
    <w:bookmarkStart w:id="370" w:name="page371"/>
    <w:bookmarkEnd w:id="370"/>
    <w:p>
      <w:pPr>
        <w:ind w:right="2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Documentation</w:t>
      </w:r>
      <w:r>
        <w:rPr>
          <w:rFonts w:ascii="Times New Roman" w:cs="Times New Roman" w:eastAsia="Times New Roman" w:hAnsi="Times New Roman"/>
          <w:sz w:val="17"/>
          <w:szCs w:val="17"/>
          <w:color w:val="auto"/>
        </w:rPr>
        <w:t>. Each Award will be evidenced in an Award Agreement, which may be written or electronic, as the Administrator determines.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may contain terms and conditions in addition to those set forth in the Plan.</w:t>
      </w:r>
    </w:p>
    <w:p>
      <w:pPr>
        <w:spacing w:after="0" w:line="198" w:lineRule="exact"/>
        <w:rPr>
          <w:sz w:val="20"/>
          <w:szCs w:val="20"/>
          <w:color w:val="auto"/>
        </w:rPr>
      </w:pPr>
    </w:p>
    <w:p>
      <w:pPr>
        <w:ind w:right="120" w:firstLine="432"/>
        <w:spacing w:after="0" w:line="304"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Discretion</w:t>
      </w:r>
      <w:r>
        <w:rPr>
          <w:rFonts w:ascii="Times New Roman" w:cs="Times New Roman" w:eastAsia="Times New Roman" w:hAnsi="Times New Roman"/>
          <w:sz w:val="17"/>
          <w:szCs w:val="17"/>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41"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Termination of Status</w:t>
      </w:r>
      <w:r>
        <w:rPr>
          <w:rFonts w:ascii="Times New Roman" w:cs="Times New Roman" w:eastAsia="Times New Roman" w:hAnsi="Times New Roman"/>
          <w:sz w:val="17"/>
          <w:szCs w:val="17"/>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59"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0"/>
          </w:cols>
          <w:pgMar w:left="540" w:top="267" w:right="559" w:bottom="1440" w:gutter="0" w:footer="0" w:header="0"/>
        </w:sectPr>
      </w:pPr>
    </w:p>
    <w:bookmarkStart w:id="371" w:name="page372"/>
    <w:bookmarkEnd w:id="371"/>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7"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 of Award; Repricing</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that have an exercise price in excess of Fair Market Value in exchange for cash, other Awards or Options or Stock Appreciation Rights with an exercise price per share that is less than the exercise price per share of the original Options or Stock Appreciation Rights.</w:t>
      </w:r>
    </w:p>
    <w:p>
      <w:pPr>
        <w:spacing w:after="0" w:line="190"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Conditions on Delivery of Stock</w:t>
      </w:r>
      <w:r>
        <w:rPr>
          <w:rFonts w:ascii="Times New Roman" w:cs="Times New Roman" w:eastAsia="Times New Roman" w:hAnsi="Times New Roman"/>
          <w:sz w:val="17"/>
          <w:szCs w:val="17"/>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74" w:lineRule="exact"/>
        <w:rPr>
          <w:sz w:val="20"/>
          <w:szCs w:val="20"/>
          <w:color w:val="auto"/>
        </w:rPr>
      </w:pPr>
    </w:p>
    <w:p>
      <w:pPr>
        <w:ind w:right="200" w:firstLine="432"/>
        <w:spacing w:after="0" w:line="274"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63" w:lineRule="exact"/>
        <w:rPr>
          <w:sz w:val="20"/>
          <w:szCs w:val="20"/>
          <w:color w:val="auto"/>
        </w:rPr>
      </w:pPr>
    </w:p>
    <w:p>
      <w:pPr>
        <w:ind w:firstLine="432"/>
        <w:spacing w:after="0" w:line="274"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Cash Settlement</w:t>
      </w:r>
      <w:r>
        <w:rPr>
          <w:rFonts w:ascii="Times New Roman" w:cs="Times New Roman" w:eastAsia="Times New Roman" w:hAnsi="Times New Roman"/>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63" w:lineRule="exact"/>
        <w:rPr>
          <w:sz w:val="20"/>
          <w:szCs w:val="20"/>
          <w:color w:val="auto"/>
        </w:rPr>
      </w:pPr>
    </w:p>
    <w:p>
      <w:pPr>
        <w:ind w:right="40" w:firstLine="432"/>
        <w:spacing w:after="0" w:line="250"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9.11 .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0"/>
          </w:cols>
          <w:pgMar w:left="540" w:top="267" w:right="579" w:bottom="1440" w:gutter="0" w:footer="0" w:header="0"/>
        </w:sectPr>
      </w:pPr>
    </w:p>
    <w:bookmarkStart w:id="372" w:name="page373"/>
    <w:bookmarkEnd w:id="37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98"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w:t>
      </w:r>
    </w:p>
    <w:p>
      <w:pPr>
        <w:spacing w:after="0" w:line="180" w:lineRule="exact"/>
        <w:rPr>
          <w:sz w:val="20"/>
          <w:szCs w:val="20"/>
          <w:color w:val="auto"/>
        </w:rPr>
      </w:pPr>
    </w:p>
    <w:p>
      <w:pPr>
        <w:ind w:right="160" w:firstLine="432"/>
        <w:spacing w:after="0" w:line="25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85" w:lineRule="exact"/>
        <w:rPr>
          <w:sz w:val="20"/>
          <w:szCs w:val="20"/>
          <w:color w:val="auto"/>
        </w:rPr>
      </w:pPr>
    </w:p>
    <w:p>
      <w:pPr>
        <w:ind w:right="40" w:firstLine="432"/>
        <w:spacing w:after="0" w:line="249"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Unless earlier terminated by the Board, the Plan will become effective on the date it is adopted and approved by the Board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The Plan will remain in effect until the tenth anniversary of the earlier of (a) the date the Board adopted the Plan or (b) the date the Company’s stockholders approved the Plan, but Awards previously granted may extend beyond that date in accordance with the Plan. The Plan will be submitted for the approval of the Company’s stockholders within twelve (12) months after the date of the Board’s adoption of the Plan. Awards may be granted or awarded prior to such stockholder approval; provided that no Award shall become exercisable, vested or realizable, as applicable to such Award, unless the Plan has been approved by the Company’s stockholders within twelve (12) months before or after the date the Plan was adopted by the Board; and provided, further, that if such approval has not been obtained at the end of said twelve-month period, all Awards previously granted or awarded under the Plan shall thereupon be canceled and become null and void.</w:t>
      </w:r>
    </w:p>
    <w:p>
      <w:pPr>
        <w:spacing w:after="0" w:line="190" w:lineRule="exact"/>
        <w:rPr>
          <w:sz w:val="20"/>
          <w:szCs w:val="20"/>
          <w:color w:val="auto"/>
        </w:rPr>
      </w:pPr>
    </w:p>
    <w:p>
      <w:pPr>
        <w:ind w:right="40" w:firstLine="432"/>
        <w:spacing w:after="0" w:line="271"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68"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0"/>
          </w:cols>
          <w:pgMar w:left="540" w:top="267" w:right="579" w:bottom="1440" w:gutter="0" w:footer="0" w:header="0"/>
        </w:sectPr>
      </w:pPr>
    </w:p>
    <w:bookmarkStart w:id="373" w:name="page374"/>
    <w:bookmarkEnd w:id="3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10.6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60" w:firstLine="971"/>
        <w:spacing w:after="0" w:line="248" w:lineRule="auto"/>
        <w:tabs>
          <w:tab w:leader="none" w:pos="121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93" w:lineRule="exact"/>
        <w:rPr>
          <w:rFonts w:ascii="Times New Roman" w:cs="Times New Roman" w:eastAsia="Times New Roman" w:hAnsi="Times New Roman"/>
          <w:sz w:val="18"/>
          <w:szCs w:val="18"/>
          <w:color w:val="auto"/>
        </w:rPr>
      </w:pPr>
    </w:p>
    <w:p>
      <w:pPr>
        <w:ind w:right="120" w:firstLine="971"/>
        <w:spacing w:after="0" w:line="271" w:lineRule="auto"/>
        <w:tabs>
          <w:tab w:leader="none" w:pos="1223"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from Service</w:t>
      </w:r>
      <w:r>
        <w:rPr>
          <w:rFonts w:ascii="Times New Roman" w:cs="Times New Roman" w:eastAsia="Times New Roman" w:hAnsi="Times New Roman"/>
          <w:sz w:val="17"/>
          <w:szCs w:val="17"/>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68" w:lineRule="exact"/>
        <w:rPr>
          <w:rFonts w:ascii="Times New Roman" w:cs="Times New Roman" w:eastAsia="Times New Roman" w:hAnsi="Times New Roman"/>
          <w:sz w:val="17"/>
          <w:szCs w:val="17"/>
          <w:color w:val="auto"/>
        </w:rPr>
      </w:pPr>
    </w:p>
    <w:p>
      <w:pPr>
        <w:ind w:firstLine="971"/>
        <w:spacing w:after="0" w:line="249" w:lineRule="auto"/>
        <w:tabs>
          <w:tab w:leader="none" w:pos="121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 (6)-month period immediately following such “separation from service” (or, if earlier, until the specified employee’s death) and will instead be paid (as set forth in the Award Agreement) on the day immediately following such six (6)-month period or as soon as administratively practicable thereafter (without interest). Any payments of “nonqualified deferred compensation” under such Award payable more than six (6) months following the Participant’s “separation from service” will be paid at the time or times the payments are otherwise scheduled to be made. Furthermore,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87"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80"/>
          </w:cols>
          <w:pgMar w:left="540" w:top="266" w:right="579" w:bottom="1440" w:gutter="0" w:footer="0" w:header="0"/>
        </w:sectPr>
      </w:pPr>
    </w:p>
    <w:bookmarkStart w:id="374" w:name="page375"/>
    <w:bookmarkEnd w:id="374"/>
    <w:p>
      <w:pPr>
        <w:ind w:left="2" w:right="20" w:firstLine="43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10.8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(180) days following the effective date of a Company registration statement filed under the Securities Act, or such longer period as determined by the underwriter.</w:t>
      </w:r>
    </w:p>
    <w:p>
      <w:pPr>
        <w:spacing w:after="0" w:line="18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 w:right="160" w:firstLine="971"/>
        <w:spacing w:after="0" w:line="268" w:lineRule="auto"/>
        <w:tabs>
          <w:tab w:leader="none" w:pos="1215" w:val="left"/>
        </w:tabs>
        <w:numPr>
          <w:ilvl w:val="1"/>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any shares of Common Stock held by a Participant or any permitted transferee (each, a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may be sold, pledged, assigned, hypothecated, transferred, or otherwise disposed of (each, a “</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the Company or its assignee(s) shall have a right of first refusal to purchase the shares of Common Stock proposed to be Transferred on the terms and conditions set forth in this Section 10.9 (the “</w:t>
      </w:r>
      <w:r>
        <w:rPr>
          <w:rFonts w:ascii="Times New Roman" w:cs="Times New Roman" w:eastAsia="Times New Roman" w:hAnsi="Times New Roman"/>
          <w:sz w:val="17"/>
          <w:szCs w:val="17"/>
          <w:b w:val="1"/>
          <w:bCs w:val="1"/>
          <w:i w:val="1"/>
          <w:iCs w:val="1"/>
          <w:color w:val="auto"/>
        </w:rPr>
        <w:t>Right of First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Refusal</w:t>
      </w:r>
      <w:r>
        <w:rPr>
          <w:rFonts w:ascii="Times New Roman" w:cs="Times New Roman" w:eastAsia="Times New Roman" w:hAnsi="Times New Roman"/>
          <w:sz w:val="17"/>
          <w:szCs w:val="17"/>
          <w:color w:val="auto"/>
        </w:rPr>
        <w:t>”). In the event that the Company’s charter, bylaws and/or a stockholders’ agreement applicable to the shares of Common Stock contain a right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first refusal with respect to the shares of Common Stock, such right of first refusal shall apply to the shares of Common Stock to the extent such provisions are more restrictive than the Right of First Refusal set forth in this Section 10.9 and the Right of First Refusal set forth in this Section 10.9 shall not in any way restrict the operation of the Company’s charter, bylaws or the operation of any applicable stockholders’ agreement.</w:t>
      </w:r>
    </w:p>
    <w:p>
      <w:pPr>
        <w:spacing w:after="0" w:line="171" w:lineRule="exact"/>
        <w:rPr>
          <w:rFonts w:ascii="Times New Roman" w:cs="Times New Roman" w:eastAsia="Times New Roman" w:hAnsi="Times New Roman"/>
          <w:sz w:val="17"/>
          <w:szCs w:val="17"/>
          <w:color w:val="auto"/>
        </w:rPr>
      </w:pPr>
    </w:p>
    <w:p>
      <w:pPr>
        <w:ind w:left="2" w:right="60" w:firstLine="971"/>
        <w:spacing w:after="0" w:line="268" w:lineRule="auto"/>
        <w:tabs>
          <w:tab w:leader="none" w:pos="1225" w:val="left"/>
        </w:tabs>
        <w:numPr>
          <w:ilvl w:val="1"/>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any Holder desires to Transfer any shares of Common Stock, the Holder shall deliver to the Company a written notice (the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stating: (i) the Holder’s bona fide intention to sell or otherwise Transfer such shares of Common Stock; (ii) the name of each proposed purchaser or other transferee (“</w:t>
      </w:r>
      <w:r>
        <w:rPr>
          <w:rFonts w:ascii="Times New Roman" w:cs="Times New Roman" w:eastAsia="Times New Roman" w:hAnsi="Times New Roman"/>
          <w:sz w:val="17"/>
          <w:szCs w:val="17"/>
          <w:b w:val="1"/>
          <w:bCs w:val="1"/>
          <w:i w:val="1"/>
          <w:iCs w:val="1"/>
          <w:color w:val="auto"/>
        </w:rPr>
        <w:t>Proposed Transferee</w:t>
      </w:r>
      <w:r>
        <w:rPr>
          <w:rFonts w:ascii="Times New Roman" w:cs="Times New Roman" w:eastAsia="Times New Roman" w:hAnsi="Times New Roman"/>
          <w:sz w:val="17"/>
          <w:szCs w:val="17"/>
          <w:color w:val="auto"/>
        </w:rPr>
        <w:t>”); (iii) the number of shares of Common Stock to be Transferred to each Proposed Transferee; and</w:t>
      </w:r>
    </w:p>
    <w:p>
      <w:pPr>
        <w:ind w:left="2" w:right="300" w:hanging="2"/>
        <w:spacing w:after="0" w:line="251" w:lineRule="auto"/>
        <w:tabs>
          <w:tab w:leader="none" w:pos="301"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which the Holder proposes to Transfer the shares of Common Stock (the “</w:t>
      </w:r>
      <w:r>
        <w:rPr>
          <w:rFonts w:ascii="Times New Roman" w:cs="Times New Roman" w:eastAsia="Times New Roman" w:hAnsi="Times New Roman"/>
          <w:sz w:val="18"/>
          <w:szCs w:val="18"/>
          <w:b w:val="1"/>
          <w:bCs w:val="1"/>
          <w:i w:val="1"/>
          <w:iCs w:val="1"/>
          <w:color w:val="auto"/>
        </w:rPr>
        <w:t>Offered Price</w:t>
      </w:r>
      <w:r>
        <w:rPr>
          <w:rFonts w:ascii="Times New Roman" w:cs="Times New Roman" w:eastAsia="Times New Roman" w:hAnsi="Times New Roman"/>
          <w:sz w:val="18"/>
          <w:szCs w:val="18"/>
          <w:color w:val="auto"/>
        </w:rPr>
        <w:t>”), and the Holder shall offer such shares of Common Stock at the Offered Price to the Company or its assignee(s).</w:t>
      </w:r>
    </w:p>
    <w:p>
      <w:pPr>
        <w:spacing w:after="0" w:line="183" w:lineRule="exact"/>
        <w:rPr>
          <w:rFonts w:ascii="Times New Roman" w:cs="Times New Roman" w:eastAsia="Times New Roman" w:hAnsi="Times New Roman"/>
          <w:sz w:val="18"/>
          <w:szCs w:val="18"/>
          <w:color w:val="auto"/>
        </w:rPr>
      </w:pPr>
    </w:p>
    <w:p>
      <w:pPr>
        <w:ind w:left="2" w:right="20" w:firstLine="971"/>
        <w:spacing w:after="0" w:line="253" w:lineRule="auto"/>
        <w:tabs>
          <w:tab w:leader="none" w:pos="1212"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twenty-five days after receipt of the Notice, the Company and/or its assignee(s) may elect in writing to purchase all, but not less than all, of the shares of Common Stock proposed to be Transferred to any one or more of the Proposed Transferees by delivery of a written exercise notice to the Holder (a “</w:t>
      </w:r>
      <w:r>
        <w:rPr>
          <w:rFonts w:ascii="Times New Roman" w:cs="Times New Roman" w:eastAsia="Times New Roman" w:hAnsi="Times New Roman"/>
          <w:sz w:val="18"/>
          <w:szCs w:val="18"/>
          <w:b w:val="1"/>
          <w:bCs w:val="1"/>
          <w:i w:val="1"/>
          <w:iCs w:val="1"/>
          <w:color w:val="auto"/>
        </w:rPr>
        <w:t>Company Notice</w:t>
      </w:r>
      <w:r>
        <w:rPr>
          <w:rFonts w:ascii="Times New Roman" w:cs="Times New Roman" w:eastAsia="Times New Roman" w:hAnsi="Times New Roman"/>
          <w:sz w:val="18"/>
          <w:szCs w:val="18"/>
          <w:color w:val="auto"/>
        </w:rPr>
        <w:t>”). The purchase price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for the shares of Common Stock repurchased under this</w:t>
      </w: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10.9 shall be the Offered Price.</w:t>
      </w:r>
    </w:p>
    <w:p>
      <w:pPr>
        <w:spacing w:after="0" w:line="197" w:lineRule="exact"/>
        <w:rPr>
          <w:rFonts w:ascii="Times New Roman" w:cs="Times New Roman" w:eastAsia="Times New Roman" w:hAnsi="Times New Roman"/>
          <w:sz w:val="18"/>
          <w:szCs w:val="18"/>
          <w:color w:val="auto"/>
        </w:rPr>
      </w:pPr>
    </w:p>
    <w:p>
      <w:pPr>
        <w:ind w:left="2" w:right="60" w:firstLine="971"/>
        <w:spacing w:after="0" w:line="271" w:lineRule="auto"/>
        <w:tabs>
          <w:tab w:leader="none" w:pos="1225"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the Purchase Price shall be made, at the option of the Company or its assignee(s), in cash (by check or wire transfer), by cancellation of all or a portion of any outstanding indebtedness of the Holder to the Company (or, in the case of repurchase by an assignee, to the assignee), or by any combination thereof, within five days after delivery of the Company Notice or in the manner and at the times mutually agreed to by the Company and the Holder. Should the Offered Price specified in the Notice be payable in property other than cash, the Company or its assignee shall have the right to pay the purchase price in the form of cash equal in amount to the value of such property, as determined by the Administrator.</w:t>
      </w:r>
    </w:p>
    <w:p>
      <w:pPr>
        <w:spacing w:after="0" w:line="168" w:lineRule="exact"/>
        <w:rPr>
          <w:rFonts w:ascii="Times New Roman" w:cs="Times New Roman" w:eastAsia="Times New Roman" w:hAnsi="Times New Roman"/>
          <w:sz w:val="17"/>
          <w:szCs w:val="17"/>
          <w:color w:val="auto"/>
        </w:rPr>
      </w:pPr>
    </w:p>
    <w:p>
      <w:pPr>
        <w:ind w:left="2" w:firstLine="971"/>
        <w:spacing w:after="0" w:line="251" w:lineRule="auto"/>
        <w:tabs>
          <w:tab w:leader="none" w:pos="1215"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 portion of the shares of Common Stock proposed in the Notice to be Transferred are not purchased by the Company and/or its assignee(s) as provided in this Section 10.9, then the Holder may sell or otherwise Transfer such shares of Common Stock to that Proposed Transferee at the Offered Price or at a higher price; provided that such sale or other Transfer is consummated within sixty days after the date of the Notice; and provided, further, that any such sale or other Transfer is effected in accordance with any Applicable Laws and the Proposed Transferee agrees in writing that the provisions of this Plan and the applicable Award Agreement and any other applicable agreements governing the shares of Common Stock to be Transferred shall continue to apply to the shares of Common Stock in the hands of</w:t>
      </w:r>
    </w:p>
    <w:p>
      <w:pPr>
        <w:spacing w:after="0" w:line="1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02"/>
          </w:cols>
          <w:pgMar w:left="538" w:top="267" w:right="559" w:bottom="1440" w:gutter="0" w:footer="0" w:header="0"/>
        </w:sectPr>
      </w:pPr>
    </w:p>
    <w:bookmarkStart w:id="375" w:name="page376"/>
    <w:bookmarkEnd w:id="375"/>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such Proposed Transferee. If the shares of Common Stock described in the Notice are not Transferred to the Proposed Transferee within such sixty-day period, a new Notice shall be given to the Company, and the Company and/or its assignees shall again be offered the Right of First Refusal, as provided herein, before any shares of Common Stock held by the Holder may be sold or otherwise Transferred.</w:t>
      </w:r>
    </w:p>
    <w:p>
      <w:pPr>
        <w:spacing w:after="0" w:line="178" w:lineRule="exact"/>
        <w:rPr>
          <w:sz w:val="20"/>
          <w:szCs w:val="20"/>
          <w:color w:val="auto"/>
        </w:rPr>
      </w:pPr>
    </w:p>
    <w:p>
      <w:pPr>
        <w:ind w:right="80" w:firstLine="971"/>
        <w:spacing w:after="0" w:line="249" w:lineRule="auto"/>
        <w:tabs>
          <w:tab w:leader="none" w:pos="119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to the contrary contained in this Section 10.9 notwithstanding and to the extent permitted by the Administrator, the Transfer of any or all of the shares of Common Stock during a Participant’s lifetime or upon a Participant’s death by will or intestacy to the Participant’s Immediate Family or a trust for the benefit of the Participant’s Immediate Family shall be exempt from the Right of First Refusal. As used herein, “</w:t>
      </w: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shall mean spouse, lineal descendant or antecedent, father, mother, brother or sister or stepchild (whether or not adopted). In such case, the transferee or other recipient shall receive and hold the shares of Common Stock so Transferred subject to the provisions of this Plan (including the Right of First Refusal), the applicable Award Agreement and any other applicable agreements governing the shares of Common Stock to be Transferred, and there shall be no further Transfer of such shares of Common Stock except in accordance with the terms of this Section 10.9 (or otherwise as expressly provided under the Plan).</w:t>
      </w:r>
    </w:p>
    <w:p>
      <w:pPr>
        <w:spacing w:after="0" w:line="190"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First Refusal shall terminate as to all shares of Common Stock upon the occurrence of a Change in Control or the Public</w:t>
      </w:r>
    </w:p>
    <w:p>
      <w:pPr>
        <w:spacing w:after="0" w:line="3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Trading Date.</w:t>
      </w:r>
    </w:p>
    <w:p>
      <w:pPr>
        <w:spacing w:after="0" w:line="198" w:lineRule="exact"/>
        <w:rPr>
          <w:sz w:val="20"/>
          <w:szCs w:val="20"/>
          <w:color w:val="auto"/>
        </w:rPr>
      </w:pPr>
    </w:p>
    <w:p>
      <w:pPr>
        <w:ind w:firstLine="432"/>
        <w:spacing w:after="0" w:line="247"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number,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10.10 in writing, without cost, by contacting the local human resources representative. If the Participant refuses or withdraws the consents in this Section 10.10,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93" w:lineRule="exact"/>
        <w:rPr>
          <w:sz w:val="20"/>
          <w:szCs w:val="20"/>
          <w:color w:val="auto"/>
        </w:rPr>
      </w:pPr>
    </w:p>
    <w:p>
      <w:pPr>
        <w:jc w:val="both"/>
        <w:ind w:right="180" w:firstLine="432"/>
        <w:spacing w:after="0" w:line="259"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00"/>
          </w:cols>
          <w:pgMar w:left="540" w:top="267" w:right="559" w:bottom="1440" w:gutter="0" w:footer="0" w:header="0"/>
        </w:sectPr>
      </w:pPr>
    </w:p>
    <w:bookmarkStart w:id="376" w:name="page377"/>
    <w:bookmarkEnd w:id="376"/>
    <w:p>
      <w:pPr>
        <w:jc w:val="both"/>
        <w:ind w:right="460" w:firstLine="432"/>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10.12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78" w:lineRule="exact"/>
        <w:rPr>
          <w:sz w:val="20"/>
          <w:szCs w:val="20"/>
          <w:color w:val="auto"/>
        </w:rPr>
      </w:pPr>
    </w:p>
    <w:p>
      <w:pPr>
        <w:ind w:right="40" w:firstLine="432"/>
        <w:spacing w:after="0" w:line="248"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Governing Law; Venue; Waiver of Jury Trial</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the Plan or any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189" w:lineRule="exact"/>
        <w:rPr>
          <w:sz w:val="20"/>
          <w:szCs w:val="20"/>
          <w:color w:val="auto"/>
        </w:rPr>
      </w:pPr>
    </w:p>
    <w:p>
      <w:pPr>
        <w:ind w:firstLine="432"/>
        <w:spacing w:after="0" w:line="247"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Restrictions on Shares; Claw-Back Provisions</w:t>
      </w:r>
      <w:r>
        <w:rPr>
          <w:rFonts w:ascii="Times New Roman" w:cs="Times New Roman" w:eastAsia="Times New Roman" w:hAnsi="Times New Roman"/>
          <w:sz w:val="18"/>
          <w:szCs w:val="18"/>
          <w:color w:val="auto"/>
        </w:rPr>
        <w:t>. Awards and shares of Common Stock acquired in respect of Awards shall be subject to such terms and conditions as the Administrator shall determine,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Administrator, be contained in the applicable Award Agreement or in an exercise notice, stockholders’ agreement or in such other agreement as the Administrator shall determine, in each case in a form determined by the Administrator. The issuance of such shares of Common Stock shall be conditioned on the Participant’s consent to such terms and conditions and the Participant’s entering into such agreement or agreements. All Awards (including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to the extent set forth in such claw-back policy and/or in the applicable Award Agreement. A Participant shall, as a condition to receiving an Award, agree to execute such further instruments and to take such further action as the Company requests to carry out the purposes and intent of this Section 10.14.</w:t>
      </w:r>
    </w:p>
    <w:p>
      <w:pPr>
        <w:spacing w:after="0" w:line="198" w:lineRule="exact"/>
        <w:rPr>
          <w:sz w:val="20"/>
          <w:szCs w:val="20"/>
          <w:color w:val="auto"/>
        </w:rPr>
      </w:pPr>
    </w:p>
    <w:p>
      <w:pPr>
        <w:jc w:val="both"/>
        <w:ind w:firstLine="432"/>
        <w:spacing w:after="0" w:line="274"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16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0"/>
          </w:cols>
          <w:pgMar w:left="540" w:top="267" w:right="559" w:bottom="1440" w:gutter="0" w:footer="0" w:header="0"/>
        </w:sectPr>
      </w:pPr>
    </w:p>
    <w:bookmarkStart w:id="377" w:name="page378"/>
    <w:bookmarkEnd w:id="377"/>
    <w:p>
      <w:pPr>
        <w:ind w:right="340" w:firstLine="432"/>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10.17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78" w:lineRule="exact"/>
        <w:rPr>
          <w:sz w:val="20"/>
          <w:szCs w:val="20"/>
          <w:color w:val="auto"/>
        </w:rPr>
      </w:pPr>
    </w:p>
    <w:p>
      <w:pPr>
        <w:jc w:val="both"/>
        <w:ind w:right="80" w:firstLine="432"/>
        <w:spacing w:after="0" w:line="259"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Plan Language</w:t>
      </w:r>
      <w:r>
        <w:rPr>
          <w:rFonts w:ascii="Times New Roman" w:cs="Times New Roman" w:eastAsia="Times New Roman" w:hAnsi="Times New Roman"/>
          <w:sz w:val="18"/>
          <w:szCs w:val="18"/>
          <w:color w:val="auto"/>
        </w:rPr>
        <w:t>. The official language of the Plan shall be English. To the extent that the Plan or any Award Agreements are translated from English into another language, the English version of the Plan and Award Agreements will always govern, in the event that there are inconsistencies or ambiguities which may arise due to such translation.</w:t>
      </w:r>
    </w:p>
    <w:p>
      <w:pPr>
        <w:spacing w:after="0" w:line="178"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Applicable Currency</w:t>
      </w:r>
      <w:r>
        <w:rPr>
          <w:rFonts w:ascii="Times New Roman" w:cs="Times New Roman" w:eastAsia="Times New Roman" w:hAnsi="Times New Roman"/>
          <w:sz w:val="18"/>
          <w:szCs w:val="18"/>
          <w:color w:val="auto"/>
        </w:rPr>
        <w:t>. The Award Agreement shall specify the currency applicable to such Award. The Administrator may determine, in its sole discretion, that an Award denominated in one currency may be paid in any other currency based on the prevailing exchange rate as the Administrator deems appropriate. A Participant may be required to provide evidence that any currency used to pay the exercise price of any Award were acquired and taken out of the jurisdiction in which the Participant resides in accordance with Applicable Laws, including foreign exchange control laws and regulations. In the absence of a designation in an Award Agreement, the currency applicable to an Award shall be U.S. Dollars.</w:t>
      </w:r>
    </w:p>
    <w:p>
      <w:pPr>
        <w:spacing w:after="0" w:line="39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107" w:lineRule="exact"/>
        <w:rPr>
          <w:sz w:val="20"/>
          <w:szCs w:val="20"/>
          <w:color w:val="auto"/>
        </w:rPr>
      </w:pPr>
    </w:p>
    <w:p>
      <w:pPr>
        <w:ind w:right="220" w:firstLine="432"/>
        <w:spacing w:after="0" w:line="278"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w:t>
      </w:r>
    </w:p>
    <w:p>
      <w:pPr>
        <w:spacing w:after="0" w:line="156" w:lineRule="exact"/>
        <w:rPr>
          <w:sz w:val="20"/>
          <w:szCs w:val="20"/>
          <w:color w:val="auto"/>
        </w:rPr>
      </w:pPr>
    </w:p>
    <w:p>
      <w:pPr>
        <w:jc w:val="both"/>
        <w:ind w:right="20" w:firstLine="432"/>
        <w:spacing w:after="0" w:line="26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70" w:lineRule="exact"/>
        <w:rPr>
          <w:sz w:val="20"/>
          <w:szCs w:val="20"/>
          <w:color w:val="auto"/>
        </w:rPr>
      </w:pPr>
    </w:p>
    <w:p>
      <w:pPr>
        <w:ind w:firstLine="432"/>
        <w:spacing w:after="0" w:line="278"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Dividend Equivalents, or Other Stock or Cash Based Awards.</w:t>
      </w:r>
    </w:p>
    <w:p>
      <w:pPr>
        <w:spacing w:after="0" w:line="156" w:lineRule="exact"/>
        <w:rPr>
          <w:sz w:val="20"/>
          <w:szCs w:val="20"/>
          <w:color w:val="auto"/>
        </w:rPr>
      </w:pPr>
    </w:p>
    <w:p>
      <w:pPr>
        <w:ind w:right="180" w:firstLine="432"/>
        <w:spacing w:after="0" w:line="27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17"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(a) if a Participant is a party to a written employment, severance or consulting agreement with the Company or any of its Subsidiaries or an Award Agreement in which the term “cause” is defined (a “</w:t>
      </w:r>
      <w:r>
        <w:rPr>
          <w:rFonts w:ascii="Times New Roman" w:cs="Times New Roman" w:eastAsia="Times New Roman" w:hAnsi="Times New Roman"/>
          <w:sz w:val="18"/>
          <w:szCs w:val="18"/>
          <w:b w:val="1"/>
          <w:bCs w:val="1"/>
          <w:i w:val="1"/>
          <w:iCs w:val="1"/>
          <w:color w:val="auto"/>
        </w:rPr>
        <w:t>Relevant Agreement</w:t>
      </w:r>
      <w:r>
        <w:rPr>
          <w:rFonts w:ascii="Times New Roman" w:cs="Times New Roman" w:eastAsia="Times New Roman" w:hAnsi="Times New Roman"/>
          <w:sz w:val="18"/>
          <w:szCs w:val="18"/>
          <w:color w:val="auto"/>
        </w:rPr>
        <w:t>”), “Cause” as defined in the Relevant Agreement, and (b) if no Relevant Agreement exists, (i) the Administrator’s determination that the Participant failed to substantially perform the Participant’s duties (other than a failure resulting from the Participant’s Disability); (ii) the Administrator’s determination that the Participant failed to carry out, or comply with any lawful and reasonable directive of the Board or the Participant’s immediate supervisor; (iii) the Participant’s unauthorized use or disclosure of confidential information or trade secrets of the Company or any of its Subsidiaries or any material breach of a written agreement between the Participant and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80"/>
          </w:cols>
          <w:pgMar w:left="540" w:top="266" w:right="579" w:bottom="1440" w:gutter="0" w:footer="0" w:header="0"/>
        </w:sectPr>
      </w:pPr>
    </w:p>
    <w:bookmarkStart w:id="378" w:name="page379"/>
    <w:bookmarkEnd w:id="378"/>
    <w:p>
      <w:pPr>
        <w:ind w:left="2" w:right="6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Company; (iv)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(v) the Participant’s unlawful use (including being under the influence) or possession of illegal drugs on the premises of the Company or any of its Subsidiaries or while performing the Participant’s duties and responsibilities for the Company or any of its Subsidiaries; or</w:t>
      </w:r>
    </w:p>
    <w:p>
      <w:pPr>
        <w:spacing w:after="0" w:line="1" w:lineRule="exact"/>
        <w:rPr>
          <w:sz w:val="20"/>
          <w:szCs w:val="20"/>
          <w:color w:val="auto"/>
        </w:rPr>
      </w:pPr>
    </w:p>
    <w:p>
      <w:pPr>
        <w:ind w:left="2" w:right="180" w:hanging="2"/>
        <w:spacing w:after="0" w:line="251" w:lineRule="auto"/>
        <w:tabs>
          <w:tab w:leader="none" w:pos="30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commission of an act of fraud, embezzlement, misappropriation, misconduct, or breach of fiduciary duty against the Company or any of its Subsidiaries.</w:t>
      </w:r>
    </w:p>
    <w:p>
      <w:pPr>
        <w:spacing w:after="0" w:line="18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115" w:lineRule="exact"/>
        <w:rPr>
          <w:sz w:val="20"/>
          <w:szCs w:val="20"/>
          <w:color w:val="auto"/>
        </w:rPr>
      </w:pPr>
    </w:p>
    <w:p>
      <w:pPr>
        <w:ind w:left="2" w:firstLine="971"/>
        <w:spacing w:after="0" w:line="250" w:lineRule="auto"/>
        <w:tabs>
          <w:tab w:leader="none" w:pos="121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6" w:lineRule="exact"/>
        <w:rPr>
          <w:rFonts w:ascii="Times New Roman" w:cs="Times New Roman" w:eastAsia="Times New Roman" w:hAnsi="Times New Roman"/>
          <w:sz w:val="18"/>
          <w:szCs w:val="18"/>
          <w:color w:val="auto"/>
        </w:rPr>
      </w:pPr>
    </w:p>
    <w:p>
      <w:pPr>
        <w:ind w:left="2" w:firstLine="971"/>
        <w:spacing w:after="0" w:line="252" w:lineRule="auto"/>
        <w:tabs>
          <w:tab w:leader="none" w:pos="122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 (2)-year period or whose election or nomination for election was previously so approved, cease for any reason to constitute a majority thereof; or</w:t>
      </w:r>
    </w:p>
    <w:p>
      <w:pPr>
        <w:spacing w:after="0" w:line="185" w:lineRule="exact"/>
        <w:rPr>
          <w:rFonts w:ascii="Times New Roman" w:cs="Times New Roman" w:eastAsia="Times New Roman" w:hAnsi="Times New Roman"/>
          <w:sz w:val="18"/>
          <w:szCs w:val="18"/>
          <w:color w:val="auto"/>
        </w:rPr>
      </w:pPr>
    </w:p>
    <w:p>
      <w:pPr>
        <w:ind w:left="2" w:right="20" w:firstLine="971"/>
        <w:spacing w:after="0" w:line="255" w:lineRule="auto"/>
        <w:tabs>
          <w:tab w:leader="none" w:pos="121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4" w:lineRule="exact"/>
        <w:rPr>
          <w:rFonts w:ascii="Times New Roman" w:cs="Times New Roman" w:eastAsia="Times New Roman" w:hAnsi="Times New Roman"/>
          <w:sz w:val="18"/>
          <w:szCs w:val="18"/>
          <w:color w:val="auto"/>
        </w:rPr>
      </w:pPr>
    </w:p>
    <w:p>
      <w:pPr>
        <w:ind w:left="2" w:right="80" w:firstLine="1404"/>
        <w:spacing w:after="0" w:line="252" w:lineRule="auto"/>
        <w:tabs>
          <w:tab w:leader="none" w:pos="161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185" w:lineRule="exact"/>
        <w:rPr>
          <w:rFonts w:ascii="Times New Roman" w:cs="Times New Roman" w:eastAsia="Times New Roman" w:hAnsi="Times New Roman"/>
          <w:sz w:val="18"/>
          <w:szCs w:val="18"/>
          <w:color w:val="auto"/>
        </w:rPr>
      </w:pPr>
    </w:p>
    <w:p>
      <w:pPr>
        <w:ind w:left="2" w:right="140" w:firstLine="1404"/>
        <w:spacing w:after="0" w:line="255" w:lineRule="auto"/>
        <w:tabs>
          <w:tab w:leader="none" w:pos="1667"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1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02"/>
          </w:cols>
          <w:pgMar w:left="538" w:top="267" w:right="559" w:bottom="1440" w:gutter="0" w:footer="0" w:header="0"/>
        </w:sectPr>
      </w:pPr>
    </w:p>
    <w:bookmarkStart w:id="379" w:name="page380"/>
    <w:bookmarkEnd w:id="379"/>
    <w:p>
      <w:pPr>
        <w:ind w:firstLine="43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Notwithstanding the foregoing, the following events shall not constitute a “Change in Control”: (x) an initial public offering of any of the Company’s securities; (y) a reincorporation of the Company solely to change its jurisdiction; or (z) a transaction undertaken for the primary purpose of creating a holding company that will be owned in substantially the same proportion by the persons who held the Company’s securities immediately before such transaction.</w:t>
      </w:r>
    </w:p>
    <w:p>
      <w:pPr>
        <w:spacing w:after="0" w:line="180" w:lineRule="exact"/>
        <w:rPr>
          <w:sz w:val="20"/>
          <w:szCs w:val="20"/>
          <w:color w:val="auto"/>
        </w:rPr>
      </w:pPr>
    </w:p>
    <w:p>
      <w:pPr>
        <w:ind w:right="320" w:firstLine="432"/>
        <w:spacing w:after="0" w:line="252"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the regulations issued thereunder.</w:t>
      </w:r>
    </w:p>
    <w:p>
      <w:pPr>
        <w:spacing w:after="0" w:line="217"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CG Oncology, Inc., a Delaware corporation, or any successor.</w:t>
      </w:r>
    </w:p>
    <w:p>
      <w:pPr>
        <w:spacing w:after="0" w:line="217" w:lineRule="exact"/>
        <w:rPr>
          <w:sz w:val="20"/>
          <w:szCs w:val="20"/>
          <w:color w:val="auto"/>
        </w:rPr>
      </w:pPr>
    </w:p>
    <w:p>
      <w:pPr>
        <w:ind w:right="60" w:firstLine="432"/>
        <w:spacing w:after="0" w:line="309" w:lineRule="auto"/>
        <w:rPr>
          <w:sz w:val="20"/>
          <w:szCs w:val="20"/>
          <w:color w:val="auto"/>
        </w:rPr>
      </w:pPr>
      <w:r>
        <w:rPr>
          <w:rFonts w:ascii="Times New Roman" w:cs="Times New Roman" w:eastAsia="Times New Roman" w:hAnsi="Times New Roman"/>
          <w:sz w:val="17"/>
          <w:szCs w:val="17"/>
          <w:color w:val="auto"/>
        </w:rPr>
        <w:t>11.12 “</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color w:val="auto"/>
        </w:rPr>
        <w:t>” means any consultant or advisor (whether an entity or natural person) engaged by the Company or any of its Subsidiaries to render services to such entity if the consultant or advisor is eligible to be offered securities registrable on Form S-8 under the Securities Act.</w:t>
      </w:r>
    </w:p>
    <w:p>
      <w:pPr>
        <w:spacing w:after="0" w:line="133" w:lineRule="exact"/>
        <w:rPr>
          <w:sz w:val="20"/>
          <w:szCs w:val="20"/>
          <w:color w:val="auto"/>
        </w:rPr>
      </w:pPr>
    </w:p>
    <w:p>
      <w:pPr>
        <w:jc w:val="both"/>
        <w:ind w:right="100" w:firstLine="432"/>
        <w:spacing w:after="0" w:line="262" w:lineRule="auto"/>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Board member.</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permanent and total disability under Section 22(e)(3) of the Code, as amended.</w:t>
      </w:r>
    </w:p>
    <w:p>
      <w:pPr>
        <w:spacing w:after="0" w:line="15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660"/>
          </w:cols>
          <w:pgMar w:left="540" w:top="267" w:right="699" w:bottom="1440" w:gutter="0" w:footer="0" w:header="0"/>
        </w:sectPr>
      </w:pPr>
    </w:p>
    <w:bookmarkStart w:id="380" w:name="page381"/>
    <w:bookmarkEnd w:id="380"/>
    <w:p>
      <w:pPr>
        <w:ind w:left="2" w:right="720" w:firstLine="43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11.16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156"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its Subsidiaries.</w:t>
      </w:r>
    </w:p>
    <w:p>
      <w:pPr>
        <w:spacing w:after="0" w:line="217" w:lineRule="exact"/>
        <w:rPr>
          <w:sz w:val="20"/>
          <w:szCs w:val="20"/>
          <w:color w:val="auto"/>
        </w:rPr>
      </w:pPr>
    </w:p>
    <w:p>
      <w:pPr>
        <w:ind w:left="2" w:firstLine="432"/>
        <w:spacing w:after="0" w:line="256" w:lineRule="auto"/>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 non-reciprocal transaction between the Company and its stockholders, such as a stock dividend, stock split, spin-off or recapitalization through a large, nonrecurring cash dividend that affects the number or kind of Shares (or other securities of the Company) or the share price of Common Stock (or other securities of the Company) and causes a change in the per share value of the Common Stock underlying outstanding Awards.</w:t>
      </w:r>
    </w:p>
    <w:p>
      <w:pPr>
        <w:spacing w:after="0" w:line="17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17" w:lineRule="exact"/>
        <w:rPr>
          <w:sz w:val="20"/>
          <w:szCs w:val="20"/>
          <w:color w:val="auto"/>
        </w:rPr>
      </w:pPr>
    </w:p>
    <w:p>
      <w:pPr>
        <w:ind w:left="2" w:firstLine="432"/>
        <w:spacing w:after="0" w:line="251" w:lineRule="auto"/>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or (c) in the absence of an established market for the Common Stock, the Administrator may determine the Fair Market Value in its discretion.</w:t>
      </w:r>
    </w:p>
    <w:p>
      <w:pPr>
        <w:spacing w:after="0" w:line="181"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(a) if a Participant is a party to a Relevant Agreement, “Good Reason” as defined in the Relevant Agreement, and</w:t>
      </w:r>
    </w:p>
    <w:p>
      <w:pPr>
        <w:spacing w:after="0" w:line="28" w:lineRule="exact"/>
        <w:rPr>
          <w:sz w:val="20"/>
          <w:szCs w:val="20"/>
          <w:color w:val="auto"/>
        </w:rPr>
      </w:pPr>
    </w:p>
    <w:p>
      <w:pPr>
        <w:ind w:left="2" w:right="180" w:hanging="2"/>
        <w:spacing w:after="0" w:line="246" w:lineRule="auto"/>
        <w:tabs>
          <w:tab w:leader="none" w:pos="25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Relevant Agreement exists, (i) a material diminution in the Participant’s level of base compensation, except in connection with a general reduction in the base compensation of the Company’s personnel with similar status and responsibilities or (ii) a relocation of the Participant’s place of employment by more than fifty (50) miles, provided that such change, reduction or relocation is effected by the Company (or its subsidiary employing the Participant) without the Participant’s consent. Notwithstanding the foregoing, Good Reason shall only exist if Participant shall have provided the Company with written notice within sixty (60) days of the initial occurrence of any of the foregoing events or conditions, and the Company or any successor or affiliate fails to eliminate the conditions constituting Good Reason within thirty (30) days after receipt of written notice of such event or condition from Participant. Participant’s resignation from employment with the Company for “Good Reason” must occur within six (6) months following the initial occurrence of one of the foregoing events or conditions.</w:t>
      </w:r>
    </w:p>
    <w:p>
      <w:pPr>
        <w:spacing w:after="0" w:line="187" w:lineRule="exact"/>
        <w:rPr>
          <w:sz w:val="20"/>
          <w:szCs w:val="20"/>
          <w:color w:val="auto"/>
        </w:rPr>
      </w:pPr>
    </w:p>
    <w:p>
      <w:pPr>
        <w:ind w:left="2" w:right="20" w:firstLine="432"/>
        <w:spacing w:after="0" w:line="262" w:lineRule="auto"/>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7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intended to qualify as an “incentive stock option” as defined in Section 422 of the Code.</w:t>
      </w:r>
    </w:p>
    <w:p>
      <w:pPr>
        <w:spacing w:after="0" w:line="21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or portion thereof, not intended or not qualifying as an Incentive Stock Option.</w:t>
      </w:r>
    </w:p>
    <w:p>
      <w:pPr>
        <w:spacing w:after="0" w:line="217" w:lineRule="exact"/>
        <w:rPr>
          <w:sz w:val="20"/>
          <w:szCs w:val="20"/>
          <w:color w:val="auto"/>
        </w:rPr>
      </w:pPr>
    </w:p>
    <w:p>
      <w:pPr>
        <w:jc w:val="center"/>
        <w:ind w:right="478"/>
        <w:spacing w:after="0"/>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 which will either be an Incentive Stock Option or a Non-Qualified Stock Option.</w:t>
      </w:r>
    </w:p>
    <w:p>
      <w:pPr>
        <w:spacing w:after="0" w:line="15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02"/>
          </w:cols>
          <w:pgMar w:left="538" w:top="263" w:right="559" w:bottom="1440" w:gutter="0" w:footer="0" w:header="0"/>
        </w:sectPr>
      </w:pPr>
    </w:p>
    <w:bookmarkStart w:id="381" w:name="page382"/>
    <w:bookmarkEnd w:id="381"/>
    <w:p>
      <w:pPr>
        <w:ind w:right="40" w:firstLine="43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11.26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 awarded to a Participant under Article VII.</w:t>
      </w:r>
    </w:p>
    <w:p>
      <w:pPr>
        <w:spacing w:after="0" w:line="156" w:lineRule="exact"/>
        <w:rPr>
          <w:sz w:val="20"/>
          <w:szCs w:val="20"/>
          <w:color w:val="auto"/>
        </w:rPr>
      </w:pPr>
    </w:p>
    <w:p>
      <w:pPr>
        <w:jc w:val="both"/>
        <w:ind w:right="140" w:firstLine="432"/>
        <w:spacing w:after="0" w:line="262" w:lineRule="auto"/>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the sum of (i) 12,081,562 Shares; plus (ii) such number of Shares as remain available for issuance under the Prior Plan as of the Effective Date, which number is 11,320,380 Shares; plus (iii) any shares of Common Stock which are subject to Prior Plan Awards which become available for issuance under the Plan pursuant to Article IV, which number of Shares shall not exceed 31,103,204 Shares.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Service Provider who has been granted an Award.</w:t>
      </w:r>
    </w:p>
    <w:p>
      <w:pPr>
        <w:spacing w:after="0" w:line="217" w:lineRule="exact"/>
        <w:rPr>
          <w:sz w:val="20"/>
          <w:szCs w:val="20"/>
          <w:color w:val="auto"/>
        </w:rPr>
      </w:pPr>
    </w:p>
    <w:p>
      <w:pPr>
        <w:ind w:right="20" w:firstLine="432"/>
        <w:spacing w:after="0" w:line="247" w:lineRule="auto"/>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2022 Incentive Award Plan.</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CG Oncology, Inc. 2015 Equity Incentive Plan, as may be amended from time to time.</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b w:val="1"/>
          <w:bCs w:val="1"/>
          <w:i w:val="1"/>
          <w:iCs w:val="1"/>
          <w:color w:val="auto"/>
        </w:rPr>
        <w:t>Prior Plan Award</w:t>
      </w:r>
      <w:r>
        <w:rPr>
          <w:rFonts w:ascii="Times New Roman" w:cs="Times New Roman" w:eastAsia="Times New Roman" w:hAnsi="Times New Roman"/>
          <w:sz w:val="18"/>
          <w:szCs w:val="18"/>
          <w:color w:val="auto"/>
        </w:rPr>
        <w:t>” means an award outstanding under the Prior Plan as of the Effective Date.</w:t>
      </w:r>
    </w:p>
    <w:p>
      <w:pPr>
        <w:spacing w:after="0" w:line="217"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7"/>
          <w:szCs w:val="17"/>
          <w:color w:val="auto"/>
        </w:rPr>
        <w:t>11.33 “</w:t>
      </w:r>
      <w:r>
        <w:rPr>
          <w:rFonts w:ascii="Times New Roman" w:cs="Times New Roman" w:eastAsia="Times New Roman" w:hAnsi="Times New Roman"/>
          <w:sz w:val="17"/>
          <w:szCs w:val="17"/>
          <w:b w:val="1"/>
          <w:bCs w:val="1"/>
          <w:i w:val="1"/>
          <w:iCs w:val="1"/>
          <w:color w:val="auto"/>
        </w:rPr>
        <w:t>Public Trading Date</w:t>
      </w:r>
      <w:r>
        <w:rPr>
          <w:rFonts w:ascii="Times New Roman" w:cs="Times New Roman" w:eastAsia="Times New Roman" w:hAnsi="Times New Roman"/>
          <w:sz w:val="17"/>
          <w:szCs w:val="17"/>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80"/>
          </w:cols>
          <w:pgMar w:left="540" w:top="262" w:right="579" w:bottom="1440" w:gutter="0" w:footer="0" w:header="0"/>
        </w:sectPr>
      </w:pPr>
    </w:p>
    <w:bookmarkStart w:id="382" w:name="page383"/>
    <w:bookmarkEnd w:id="3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11.34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 subject to certain vesting conditions and other restrictions.</w:t>
      </w:r>
    </w:p>
    <w:p>
      <w:pPr>
        <w:spacing w:after="0" w:line="217"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217" w:lineRule="exact"/>
        <w:rPr>
          <w:sz w:val="20"/>
          <w:szCs w:val="20"/>
          <w:color w:val="auto"/>
        </w:rPr>
      </w:pPr>
    </w:p>
    <w:p>
      <w:pPr>
        <w:ind w:right="380" w:firstLine="432"/>
        <w:spacing w:after="0" w:line="278" w:lineRule="auto"/>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Director.</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11.41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stock appreciation right granted under Article V.</w:t>
      </w:r>
    </w:p>
    <w:p>
      <w:pPr>
        <w:spacing w:after="0" w:line="217" w:lineRule="exact"/>
        <w:rPr>
          <w:sz w:val="20"/>
          <w:szCs w:val="20"/>
          <w:color w:val="auto"/>
        </w:rPr>
      </w:pPr>
    </w:p>
    <w:p>
      <w:pPr>
        <w:jc w:val="both"/>
        <w:ind w:right="80" w:firstLine="432"/>
        <w:spacing w:after="0" w:line="284" w:lineRule="auto"/>
        <w:rPr>
          <w:sz w:val="20"/>
          <w:szCs w:val="20"/>
          <w:color w:val="auto"/>
        </w:rPr>
      </w:pPr>
      <w:r>
        <w:rPr>
          <w:rFonts w:ascii="Times New Roman" w:cs="Times New Roman" w:eastAsia="Times New Roman" w:hAnsi="Times New Roman"/>
          <w:sz w:val="17"/>
          <w:szCs w:val="17"/>
          <w:color w:val="auto"/>
        </w:rPr>
        <w:t>11.42 “</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54" w:lineRule="exact"/>
        <w:rPr>
          <w:sz w:val="20"/>
          <w:szCs w:val="20"/>
          <w:color w:val="auto"/>
        </w:rPr>
      </w:pPr>
    </w:p>
    <w:p>
      <w:pPr>
        <w:ind w:right="180" w:firstLine="432"/>
        <w:spacing w:after="0" w:line="262" w:lineRule="auto"/>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11.44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means the date the Participant ceases to be a Service Provider.</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 *</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00"/>
          </w:cols>
          <w:pgMar w:left="540" w:top="263" w:right="559" w:bottom="1440" w:gutter="0" w:footer="0" w:header="0"/>
        </w:sectPr>
      </w:pPr>
    </w:p>
    <w:bookmarkStart w:id="383" w:name="page384"/>
    <w:bookmarkEnd w:id="383"/>
    <w:p>
      <w:pPr>
        <w:ind w:left="450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CG ONCOLOGY, INC.</w:t>
      </w:r>
    </w:p>
    <w:p>
      <w:pPr>
        <w:spacing w:after="0" w:line="26" w:lineRule="exact"/>
        <w:rPr>
          <w:sz w:val="20"/>
          <w:szCs w:val="20"/>
          <w:color w:val="auto"/>
        </w:rPr>
      </w:pPr>
    </w:p>
    <w:p>
      <w:pPr>
        <w:ind w:left="4102"/>
        <w:spacing w:after="0"/>
        <w:rPr>
          <w:sz w:val="20"/>
          <w:szCs w:val="20"/>
          <w:color w:val="auto"/>
        </w:rPr>
      </w:pPr>
      <w:r>
        <w:rPr>
          <w:rFonts w:ascii="Times New Roman" w:cs="Times New Roman" w:eastAsia="Times New Roman" w:hAnsi="Times New Roman"/>
          <w:sz w:val="18"/>
          <w:szCs w:val="18"/>
          <w:b w:val="1"/>
          <w:bCs w:val="1"/>
          <w:color w:val="auto"/>
        </w:rPr>
        <w:t>2022 INCENTIVE AWARD PLAN</w:t>
      </w:r>
    </w:p>
    <w:p>
      <w:pPr>
        <w:spacing w:after="0" w:line="19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CALIFORNIA SUPPLEMENT</w:t>
      </w:r>
    </w:p>
    <w:p>
      <w:pPr>
        <w:spacing w:after="0" w:line="219" w:lineRule="exact"/>
        <w:rPr>
          <w:sz w:val="20"/>
          <w:szCs w:val="20"/>
          <w:color w:val="auto"/>
        </w:rPr>
      </w:pPr>
    </w:p>
    <w:p>
      <w:pPr>
        <w:ind w:left="2" w:right="180" w:firstLine="432"/>
        <w:spacing w:after="0" w:line="251" w:lineRule="auto"/>
        <w:rPr>
          <w:sz w:val="20"/>
          <w:szCs w:val="20"/>
          <w:color w:val="auto"/>
        </w:rPr>
      </w:pPr>
      <w:r>
        <w:rPr>
          <w:rFonts w:ascii="Times New Roman" w:cs="Times New Roman" w:eastAsia="Times New Roman" w:hAnsi="Times New Roman"/>
          <w:sz w:val="18"/>
          <w:szCs w:val="18"/>
          <w:color w:val="auto"/>
        </w:rPr>
        <w:t>The Administrator has adopted this supplement for purposes of satisfying the requirements of Section 25102(o) of the California Corporations Code and the regulations issued thereunder (“</w:t>
      </w:r>
      <w:r>
        <w:rPr>
          <w:rFonts w:ascii="Times New Roman" w:cs="Times New Roman" w:eastAsia="Times New Roman" w:hAnsi="Times New Roman"/>
          <w:sz w:val="18"/>
          <w:szCs w:val="18"/>
          <w:b w:val="1"/>
          <w:bCs w:val="1"/>
          <w:i w:val="1"/>
          <w:iCs w:val="1"/>
          <w:color w:val="auto"/>
        </w:rPr>
        <w:t>Section 25102(o)</w:t>
      </w:r>
      <w:r>
        <w:rPr>
          <w:rFonts w:ascii="Times New Roman" w:cs="Times New Roman" w:eastAsia="Times New Roman" w:hAnsi="Times New Roman"/>
          <w:sz w:val="18"/>
          <w:szCs w:val="18"/>
          <w:color w:val="auto"/>
        </w:rPr>
        <w:t>”). Notwithstanding anything to the contrary contained in the Plan and except as otherwise determined by the Administrator, the provisions set forth in this supplement shall apply to all Awards granted under the Plan to a Participant who is a resident of the State of California on the date of grant (a “</w:t>
      </w:r>
      <w:r>
        <w:rPr>
          <w:rFonts w:ascii="Times New Roman" w:cs="Times New Roman" w:eastAsia="Times New Roman" w:hAnsi="Times New Roman"/>
          <w:sz w:val="18"/>
          <w:szCs w:val="18"/>
          <w:b w:val="1"/>
          <w:bCs w:val="1"/>
          <w:i w:val="1"/>
          <w:iCs w:val="1"/>
          <w:color w:val="auto"/>
        </w:rPr>
        <w:t>California Participant</w:t>
      </w:r>
      <w:r>
        <w:rPr>
          <w:rFonts w:ascii="Times New Roman" w:cs="Times New Roman" w:eastAsia="Times New Roman" w:hAnsi="Times New Roman"/>
          <w:sz w:val="18"/>
          <w:szCs w:val="18"/>
          <w:color w:val="auto"/>
        </w:rPr>
        <w:t>”) and which are intended to be exempt from registration in California pursuant to Section 25102(o). This supplement shall not apply to Awards granted to California Participants on or after the Public Trading Date. Definitions in the Plan are applicable to this supplement.</w:t>
      </w:r>
    </w:p>
    <w:p>
      <w:pPr>
        <w:spacing w:after="0" w:line="183" w:lineRule="exact"/>
        <w:rPr>
          <w:sz w:val="20"/>
          <w:szCs w:val="20"/>
          <w:color w:val="auto"/>
        </w:rPr>
      </w:pPr>
    </w:p>
    <w:p>
      <w:pPr>
        <w:ind w:left="2" w:right="180" w:firstLine="430"/>
        <w:spacing w:after="0" w:line="276" w:lineRule="auto"/>
        <w:tabs>
          <w:tab w:leader="none" w:pos="611"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Securities Issuable Under the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amount of securities issued pursuant to the Plan shall not exceed the amounts permitted under Section 260.140.45 of the California Code of Regulations to the extent applicable.</w:t>
      </w:r>
    </w:p>
    <w:p>
      <w:pPr>
        <w:spacing w:after="0" w:line="159" w:lineRule="exact"/>
        <w:rPr>
          <w:rFonts w:ascii="Times New Roman" w:cs="Times New Roman" w:eastAsia="Times New Roman" w:hAnsi="Times New Roman"/>
          <w:sz w:val="18"/>
          <w:szCs w:val="18"/>
          <w:color w:val="auto"/>
        </w:rPr>
      </w:pPr>
    </w:p>
    <w:p>
      <w:pPr>
        <w:ind w:left="602" w:hanging="170"/>
        <w:spacing w:after="0"/>
        <w:tabs>
          <w:tab w:leader="none" w:pos="602"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Limitations On Options</w:t>
      </w:r>
      <w:r>
        <w:rPr>
          <w:rFonts w:ascii="Times New Roman" w:cs="Times New Roman" w:eastAsia="Times New Roman" w:hAnsi="Times New Roman"/>
          <w:sz w:val="18"/>
          <w:szCs w:val="18"/>
          <w:i w:val="1"/>
          <w:iCs w:val="1"/>
          <w:color w:val="auto"/>
        </w:rPr>
        <w:t>.</w:t>
      </w:r>
    </w:p>
    <w:p>
      <w:pPr>
        <w:spacing w:after="0" w:line="217" w:lineRule="exact"/>
        <w:rPr>
          <w:rFonts w:ascii="Times New Roman" w:cs="Times New Roman" w:eastAsia="Times New Roman" w:hAnsi="Times New Roman"/>
          <w:sz w:val="18"/>
          <w:szCs w:val="18"/>
          <w:color w:val="auto"/>
        </w:rPr>
      </w:pPr>
    </w:p>
    <w:p>
      <w:pPr>
        <w:ind w:left="1222" w:hanging="249"/>
        <w:spacing w:after="0"/>
        <w:tabs>
          <w:tab w:leader="none" w:pos="1222"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Maximum Duration of Options. </w:t>
      </w:r>
      <w:r>
        <w:rPr>
          <w:rFonts w:ascii="Times New Roman" w:cs="Times New Roman" w:eastAsia="Times New Roman" w:hAnsi="Times New Roman"/>
          <w:sz w:val="18"/>
          <w:szCs w:val="18"/>
          <w:color w:val="auto"/>
        </w:rPr>
        <w:t>No Options granted to California Participants will be granted for a term in excess of ten (10) years.</w:t>
      </w:r>
    </w:p>
    <w:p>
      <w:pPr>
        <w:spacing w:after="0" w:line="217" w:lineRule="exact"/>
        <w:rPr>
          <w:rFonts w:ascii="Times New Roman" w:cs="Times New Roman" w:eastAsia="Times New Roman" w:hAnsi="Times New Roman"/>
          <w:sz w:val="18"/>
          <w:szCs w:val="18"/>
          <w:color w:val="auto"/>
        </w:rPr>
      </w:pPr>
    </w:p>
    <w:p>
      <w:pPr>
        <w:ind w:left="2" w:right="20" w:firstLine="971"/>
        <w:spacing w:after="0" w:line="269" w:lineRule="auto"/>
        <w:tabs>
          <w:tab w:leader="none" w:pos="1225" w:val="left"/>
        </w:tabs>
        <w:numPr>
          <w:ilvl w:val="2"/>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Minimum Exercise Period Following Termination. </w:t>
      </w:r>
      <w:r>
        <w:rPr>
          <w:rFonts w:ascii="Times New Roman" w:cs="Times New Roman" w:eastAsia="Times New Roman" w:hAnsi="Times New Roman"/>
          <w:sz w:val="17"/>
          <w:szCs w:val="17"/>
          <w:color w:val="auto"/>
        </w:rPr>
        <w:t>Unless a California Participant’s Service Provider relationship is terminated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in the event of termination of such Participant’s Service Provider relationship, to the extent required by Applicable Laws, he or she shall have the right to exercise an Option, to the extent that he or she was otherwise entitled to exercise such Option on the date employment terminated, as follows:</w:t>
      </w:r>
    </w:p>
    <w:p>
      <w:pPr>
        <w:ind w:left="2" w:hanging="2"/>
        <w:spacing w:after="0" w:line="251" w:lineRule="auto"/>
        <w:tabs>
          <w:tab w:leader="none" w:pos="21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six (6) months from the date of termination, if termination was caused by such Participant’s death or Disability and (ii) at least thirty (30) days from the date of termination, if termination was caused other than by such Participant’s death or Disability.</w:t>
      </w:r>
    </w:p>
    <w:p>
      <w:pPr>
        <w:spacing w:after="0" w:line="181" w:lineRule="exact"/>
        <w:rPr>
          <w:rFonts w:ascii="Times New Roman" w:cs="Times New Roman" w:eastAsia="Times New Roman" w:hAnsi="Times New Roman"/>
          <w:sz w:val="18"/>
          <w:szCs w:val="18"/>
          <w:color w:val="auto"/>
        </w:rPr>
      </w:pPr>
    </w:p>
    <w:p>
      <w:pPr>
        <w:ind w:left="2" w:right="60" w:firstLine="430"/>
        <w:spacing w:after="0" w:line="306" w:lineRule="auto"/>
        <w:tabs>
          <w:tab w:leader="none" w:pos="611"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Limitations for Restricted Stock Awards, Restricted Stock Units and Other Stock-Based Awards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terms of all Awards granted to California Participants shall comply, to the extent applicable, with Section 260.140.41 and Section 260.140.42 of the California Code of Regulations.</w:t>
      </w:r>
    </w:p>
    <w:p>
      <w:pPr>
        <w:spacing w:after="0" w:line="139" w:lineRule="exact"/>
        <w:rPr>
          <w:rFonts w:ascii="Times New Roman" w:cs="Times New Roman" w:eastAsia="Times New Roman" w:hAnsi="Times New Roman"/>
          <w:sz w:val="17"/>
          <w:szCs w:val="17"/>
          <w:color w:val="auto"/>
        </w:rPr>
      </w:pPr>
    </w:p>
    <w:p>
      <w:pPr>
        <w:ind w:left="602" w:hanging="170"/>
        <w:spacing w:after="0"/>
        <w:tabs>
          <w:tab w:leader="none" w:pos="602"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Administrator will make such adjustments to an Award held by a California Participant as may be required by</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Section 260.140.41 or Section 260.140.42 of the California Code of Regulations.</w:t>
      </w:r>
    </w:p>
    <w:p>
      <w:pPr>
        <w:spacing w:after="0" w:line="196" w:lineRule="exact"/>
        <w:rPr>
          <w:sz w:val="20"/>
          <w:szCs w:val="20"/>
          <w:color w:val="auto"/>
        </w:rPr>
      </w:pPr>
    </w:p>
    <w:p>
      <w:pPr>
        <w:ind w:left="2" w:right="20" w:firstLine="430"/>
        <w:spacing w:after="0" w:line="250" w:lineRule="auto"/>
        <w:tabs>
          <w:tab w:leader="none" w:pos="61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 to Provide Information to California Participants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the extent required by Section 260.140.46 of the California Code of Regulations, the Company shall provide to each California Participant and to each California Participant who acquires Common Stock pursuant to the Plan, not less frequently than annually, copies of annual financial statements (which need not be audited). The Company shall not be required to provide such statements to key persons whose duties in connection with the Company assure their access to equivalent information. In addition, this information requirement shall not apply to the Plan to the extent that it complies with all conditions of Rule 701 of the Securities Act (“</w:t>
      </w:r>
      <w:r>
        <w:rPr>
          <w:rFonts w:ascii="Times New Roman" w:cs="Times New Roman" w:eastAsia="Times New Roman" w:hAnsi="Times New Roman"/>
          <w:sz w:val="18"/>
          <w:szCs w:val="18"/>
          <w:b w:val="1"/>
          <w:bCs w:val="1"/>
          <w:i w:val="1"/>
          <w:iCs w:val="1"/>
          <w:color w:val="auto"/>
        </w:rPr>
        <w:t>Rule 701</w:t>
      </w:r>
      <w:r>
        <w:rPr>
          <w:rFonts w:ascii="Times New Roman" w:cs="Times New Roman" w:eastAsia="Times New Roman" w:hAnsi="Times New Roman"/>
          <w:sz w:val="18"/>
          <w:szCs w:val="18"/>
          <w:color w:val="auto"/>
        </w:rPr>
        <w:t>”) as determined by the Administrator; provided that for purposes of determining such compliance, any registered domestic partner shall be considered a “family member” as that term is defined in Rule 701.</w:t>
      </w:r>
    </w:p>
    <w:p>
      <w:pPr>
        <w:spacing w:after="0" w:line="12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02"/>
          </w:cols>
          <w:pgMar w:left="538" w:top="265" w:right="559" w:bottom="1440" w:gutter="0" w:footer="0" w:header="0"/>
        </w:sectPr>
      </w:pPr>
    </w:p>
    <w:bookmarkStart w:id="384" w:name="page385"/>
    <w:bookmarkEnd w:id="384"/>
    <w:p>
      <w:pPr>
        <w:ind w:left="-140" w:firstLine="430"/>
        <w:spacing w:after="0" w:line="251" w:lineRule="auto"/>
        <w:tabs>
          <w:tab w:leader="none" w:pos="46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Stockholder Approval; Additional Limitations On Timing Of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Plan will be submitted for the approval of the Company’s stockholders within twelve (12) months after the date of the Board’s adoption of the Plan. Awards may be granted or awarded prior to such stockholder approval; provided that no Award granted to a California Participant shall become exercisable, vested or realizable, as applicable to such Award, unless the Plan has been approved by the Company’s stockholders within twelve (12) months before or after the date the Plan was adopted by the Administrator; and provided, further, that if such approval has not been obtained at the end of said twelve (12)-month period, all Awards previously granted or awarded under the Plan to California Participants shall thereupon be canceled and become null and void.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0"/>
          </w:cols>
          <w:pgMar w:left="680" w:top="265" w:right="679" w:bottom="1440" w:gutter="0" w:footer="0" w:header="0"/>
        </w:sectPr>
      </w:pPr>
    </w:p>
    <w:bookmarkStart w:id="385" w:name="page386"/>
    <w:bookmarkEnd w:id="385"/>
    <w:p>
      <w:pPr>
        <w:ind w:left="4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CG ONCOLOGY, INC.</w:t>
      </w:r>
    </w:p>
    <w:p>
      <w:pPr>
        <w:spacing w:after="0" w:line="2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2022 INCENTIVE AWARD PLAN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215" w:lineRule="exact"/>
        <w:rPr>
          <w:sz w:val="20"/>
          <w:szCs w:val="20"/>
          <w:color w:val="auto"/>
        </w:rPr>
      </w:pPr>
    </w:p>
    <w:p>
      <w:pPr>
        <w:ind w:right="80" w:firstLine="432"/>
        <w:spacing w:after="0" w:line="278" w:lineRule="auto"/>
        <w:rPr>
          <w:sz w:val="20"/>
          <w:szCs w:val="20"/>
          <w:color w:val="auto"/>
        </w:rPr>
      </w:pPr>
      <w:r>
        <w:rPr>
          <w:rFonts w:ascii="Times New Roman" w:cs="Times New Roman" w:eastAsia="Times New Roman" w:hAnsi="Times New Roman"/>
          <w:sz w:val="18"/>
          <w:szCs w:val="18"/>
          <w:color w:val="auto"/>
        </w:rPr>
        <w:t>Capitalized terms not specifically defined in this Restricted Stock Unit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have the meanings given to them in the 2022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CG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color w:val="auto"/>
        </w:rPr>
        <w:t>The Company hereby grants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Restricted Stock Units described in this Grant Notice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xml:space="preserve">”), subject to the terms and conditions of the Plan and the Restricted Stock Unit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w:t>
      </w:r>
    </w:p>
    <w:p>
      <w:pPr>
        <w:sectPr>
          <w:pgSz w:w="11900" w:h="16838" w:orient="portrait"/>
          <w:cols w:equalWidth="0" w:num="1">
            <w:col w:w="10800"/>
          </w:cols>
          <w:pgMar w:left="540" w:top="264" w:right="559" w:bottom="144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[Insert Participant Name]</w:t>
      </w:r>
    </w:p>
    <w:p>
      <w:pPr>
        <w:spacing w:after="0" w:line="123" w:lineRule="exact"/>
        <w:rPr>
          <w:sz w:val="20"/>
          <w:szCs w:val="20"/>
          <w:color w:val="auto"/>
        </w:rPr>
      </w:pPr>
    </w:p>
    <w:p>
      <w:pPr>
        <w:sectPr>
          <w:pgSz w:w="11900" w:h="16838" w:orient="portrait"/>
          <w:cols w:equalWidth="0" w:num="2">
            <w:col w:w="2960" w:space="720"/>
            <w:col w:w="7120"/>
          </w:cols>
          <w:pgMar w:left="540" w:top="264"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Grant Date]</w:t>
      </w:r>
    </w:p>
    <w:p>
      <w:pPr>
        <w:spacing w:after="0" w:line="123" w:lineRule="exact"/>
        <w:rPr>
          <w:sz w:val="20"/>
          <w:szCs w:val="20"/>
          <w:color w:val="auto"/>
        </w:rPr>
      </w:pPr>
    </w:p>
    <w:p>
      <w:pPr>
        <w:sectPr>
          <w:pgSz w:w="11900" w:h="16838" w:orient="portrait"/>
          <w:cols w:equalWidth="0" w:num="2">
            <w:col w:w="2960" w:space="720"/>
            <w:col w:w="7120"/>
          </w:cols>
          <w:pgMar w:left="540" w:top="264"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Vesting Commencement Date]</w:t>
      </w:r>
    </w:p>
    <w:p>
      <w:pPr>
        <w:spacing w:after="0" w:line="123" w:lineRule="exact"/>
        <w:rPr>
          <w:sz w:val="20"/>
          <w:szCs w:val="20"/>
          <w:color w:val="auto"/>
        </w:rPr>
      </w:pPr>
    </w:p>
    <w:p>
      <w:pPr>
        <w:sectPr>
          <w:pgSz w:w="11900" w:h="16838" w:orient="portrait"/>
          <w:cols w:equalWidth="0" w:num="2">
            <w:col w:w="2960" w:space="720"/>
            <w:col w:w="7120"/>
          </w:cols>
          <w:pgMar w:left="540" w:top="264"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Number of RSUs]</w:t>
      </w:r>
    </w:p>
    <w:p>
      <w:pPr>
        <w:spacing w:after="0" w:line="123" w:lineRule="exact"/>
        <w:rPr>
          <w:sz w:val="20"/>
          <w:szCs w:val="20"/>
          <w:color w:val="auto"/>
        </w:rPr>
      </w:pPr>
    </w:p>
    <w:p>
      <w:pPr>
        <w:sectPr>
          <w:pgSz w:w="11900" w:h="16838" w:orient="portrait"/>
          <w:cols w:equalWidth="0" w:num="2">
            <w:col w:w="2960" w:space="720"/>
            <w:col w:w="7120"/>
          </w:cols>
          <w:pgMar w:left="540" w:top="264"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and Distribution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Vesting Schedule]</w:t>
      </w:r>
    </w:p>
    <w:p>
      <w:pPr>
        <w:spacing w:after="0" w:line="136" w:lineRule="exact"/>
        <w:rPr>
          <w:sz w:val="20"/>
          <w:szCs w:val="20"/>
          <w:color w:val="auto"/>
        </w:rPr>
      </w:pPr>
    </w:p>
    <w:p>
      <w:pPr>
        <w:sectPr>
          <w:pgSz w:w="11900" w:h="16838" w:orient="portrait"/>
          <w:cols w:equalWidth="0" w:num="2">
            <w:col w:w="2960" w:space="720"/>
            <w:col w:w="7120"/>
          </w:cols>
          <w:pgMar w:left="540" w:top="264" w:right="559" w:bottom="1440" w:gutter="0" w:footer="0" w:header="0"/>
          <w:type w:val="continuous"/>
        </w:sectPr>
      </w:pPr>
    </w:p>
    <w:p>
      <w:pPr>
        <w:ind w:left="3680"/>
        <w:spacing w:after="0"/>
        <w:rPr>
          <w:sz w:val="20"/>
          <w:szCs w:val="20"/>
          <w:color w:val="auto"/>
        </w:rPr>
      </w:pPr>
      <w:r>
        <w:rPr>
          <w:rFonts w:ascii="Times New Roman" w:cs="Times New Roman" w:eastAsia="Times New Roman" w:hAnsi="Times New Roman"/>
          <w:sz w:val="18"/>
          <w:szCs w:val="18"/>
          <w:color w:val="auto"/>
        </w:rPr>
        <w:t>In addition, in the event a Participant experiences a Termination of Service as a result of</w:t>
      </w:r>
    </w:p>
    <w:p>
      <w:pPr>
        <w:spacing w:after="0" w:line="24" w:lineRule="exact"/>
        <w:rPr>
          <w:sz w:val="20"/>
          <w:szCs w:val="20"/>
          <w:color w:val="auto"/>
        </w:rPr>
      </w:pPr>
    </w:p>
    <w:p>
      <w:pPr>
        <w:ind w:left="3680" w:right="120" w:firstLine="1"/>
        <w:spacing w:after="0" w:line="247" w:lineRule="auto"/>
        <w:tabs>
          <w:tab w:leader="none" w:pos="39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termination by the Company other than for Cause (and excluding a Termination of Service as a result of Participant’s death or Disability), or (b) Participant’s resignation for Good Reason, in each case within eighteen (18) months following a Change in Control, then any remaining unvested RSUs shall become fully vested on the date of such Termination of Service.</w:t>
      </w:r>
    </w:p>
    <w:p>
      <w:pPr>
        <w:spacing w:after="0" w:line="202"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color w:val="auto"/>
        </w:rPr>
        <w:t>If the Company uses an electronic capitalization table system (such as E*Trade, Shareworks or Carta)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78" w:lineRule="exact"/>
        <w:rPr>
          <w:sz w:val="20"/>
          <w:szCs w:val="20"/>
          <w:color w:val="auto"/>
        </w:rPr>
      </w:pPr>
    </w:p>
    <w:p>
      <w:pPr>
        <w:ind w:right="200" w:firstLine="432"/>
        <w:spacing w:after="0" w:line="271" w:lineRule="auto"/>
        <w:rPr>
          <w:sz w:val="20"/>
          <w:szCs w:val="20"/>
          <w:color w:val="auto"/>
        </w:rPr>
      </w:pPr>
      <w:r>
        <w:rPr>
          <w:rFonts w:ascii="Times New Roman" w:cs="Times New Roman" w:eastAsia="Times New Roman" w:hAnsi="Times New Roman"/>
          <w:sz w:val="17"/>
          <w:szCs w:val="17"/>
          <w:color w:val="auto"/>
        </w:rPr>
        <w:t>By accepting (whether in writing, electronically or otherwise, including an acceptance through an electronic capitalization table system used by the Company)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ectPr>
          <w:pgSz w:w="11900" w:h="16838" w:orient="portrait"/>
          <w:cols w:equalWidth="0" w:num="1">
            <w:col w:w="10800"/>
          </w:cols>
          <w:pgMar w:left="540" w:top="264" w:right="559" w:bottom="1440" w:gutter="0" w:footer="0" w:header="0"/>
          <w:type w:val="continuous"/>
        </w:sectPr>
      </w:pPr>
    </w:p>
    <w:bookmarkStart w:id="386" w:name="page387"/>
    <w:bookmarkEnd w:id="386"/>
    <w:tbl>
      <w:tblPr>
        <w:tblLayout w:type="fixed"/>
        <w:tblInd w:w="0" w:type="dxa"/>
        <w:tblCellMar>
          <w:top w:w="0" w:type="dxa"/>
          <w:left w:w="0" w:type="dxa"/>
          <w:bottom w:w="0" w:type="dxa"/>
          <w:right w:w="0" w:type="dxa"/>
        </w:tblCellMar>
      </w:tblPr>
      <w:tr>
        <w:trPr>
          <w:trHeight w:val="23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57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42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92"/>
        </w:trPr>
        <w:tc>
          <w:tcPr>
            <w:tcW w:w="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Print Name:</w:t>
            </w:r>
          </w:p>
        </w:tc>
        <w:tc>
          <w:tcPr>
            <w:tcW w:w="4100" w:type="dxa"/>
            <w:vAlign w:val="bottom"/>
            <w:tcBorders>
              <w:top w:val="single" w:sz="8" w:color="auto"/>
              <w:bottom w:val="single" w:sz="8" w:color="auto"/>
            </w:tcBorders>
          </w:tcPr>
          <w:p>
            <w:pPr>
              <w:spacing w:after="0"/>
              <w:rPr>
                <w:sz w:val="16"/>
                <w:szCs w:val="16"/>
                <w:color w:val="auto"/>
              </w:rPr>
            </w:pPr>
          </w:p>
        </w:tc>
        <w:tc>
          <w:tcPr>
            <w:tcW w:w="1660" w:type="dxa"/>
            <w:vAlign w:val="bottom"/>
          </w:tcPr>
          <w:p>
            <w:pPr>
              <w:ind w:left="680"/>
              <w:spacing w:after="0" w:line="192" w:lineRule="exact"/>
              <w:rPr>
                <w:sz w:val="20"/>
                <w:szCs w:val="20"/>
                <w:color w:val="auto"/>
              </w:rPr>
            </w:pPr>
            <w:r>
              <w:rPr>
                <w:rFonts w:ascii="Times New Roman" w:cs="Times New Roman" w:eastAsia="Times New Roman" w:hAnsi="Times New Roman"/>
                <w:sz w:val="18"/>
                <w:szCs w:val="18"/>
                <w:color w:val="auto"/>
              </w:rPr>
              <w:t>Print Name:</w:t>
            </w:r>
          </w:p>
        </w:tc>
        <w:tc>
          <w:tcPr>
            <w:tcW w:w="40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Title:</w:t>
            </w:r>
          </w:p>
        </w:tc>
        <w:tc>
          <w:tcPr>
            <w:tcW w:w="4100" w:type="dxa"/>
            <w:vAlign w:val="bottom"/>
            <w:tcBorders>
              <w:bottom w:val="single" w:sz="8" w:color="auto"/>
            </w:tcBorders>
          </w:tcPr>
          <w:p>
            <w:pPr>
              <w:spacing w:after="0"/>
              <w:rPr>
                <w:sz w:val="16"/>
                <w:szCs w:val="16"/>
                <w:color w:val="auto"/>
              </w:rPr>
            </w:pPr>
          </w:p>
        </w:tc>
        <w:tc>
          <w:tcPr>
            <w:tcW w:w="1660" w:type="dxa"/>
            <w:vAlign w:val="bottom"/>
            <w:vMerge w:val="restart"/>
          </w:tcPr>
          <w:p>
            <w:pPr>
              <w:jc w:val="right"/>
              <w:ind w:right="1192"/>
              <w:spacing w:after="0"/>
              <w:rPr>
                <w:sz w:val="20"/>
                <w:szCs w:val="20"/>
                <w:color w:val="auto"/>
              </w:rPr>
            </w:pPr>
            <w:r>
              <w:rPr>
                <w:rFonts w:ascii="Times New Roman" w:cs="Times New Roman" w:eastAsia="Times New Roman" w:hAnsi="Times New Roman"/>
                <w:sz w:val="18"/>
                <w:szCs w:val="18"/>
                <w:color w:val="auto"/>
              </w:rPr>
              <w:t>2</w:t>
            </w: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9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800"/>
          </w:cols>
          <w:pgMar w:left="540" w:top="265" w:right="55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bookmarkStart w:id="387" w:name="page388"/>
    <w:bookmarkEnd w:id="3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A</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19" w:lineRule="exact"/>
        <w:rPr>
          <w:sz w:val="20"/>
          <w:szCs w:val="20"/>
          <w:color w:val="auto"/>
        </w:rPr>
      </w:pPr>
    </w:p>
    <w:p>
      <w:pPr>
        <w:ind w:firstLine="432"/>
        <w:spacing w:after="0" w:line="274"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w:t>
      </w:r>
    </w:p>
    <w:p>
      <w:pPr>
        <w:spacing w:after="0" w:line="37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4" w:lineRule="exact"/>
        <w:rPr>
          <w:sz w:val="20"/>
          <w:szCs w:val="20"/>
          <w:color w:val="auto"/>
        </w:rPr>
      </w:pPr>
    </w:p>
    <w:p>
      <w:pPr>
        <w:ind w:right="380" w:firstLine="432"/>
        <w:spacing w:after="0" w:line="26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Award of RSUs</w:t>
      </w:r>
      <w:r>
        <w:rPr>
          <w:rFonts w:ascii="Times New Roman" w:cs="Times New Roman" w:eastAsia="Times New Roman" w:hAnsi="Times New Roman"/>
          <w:sz w:val="18"/>
          <w:szCs w:val="18"/>
          <w:color w:val="auto"/>
        </w:rPr>
        <w:t>. The Company has granted the RSUs to Participant effective as of the grant date set forth in the Grant Notice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Each RSU represents the right to receive one Share, as set forth in this Agreement. Participant will have no right to the distribution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until the time (if ever) the RSUs have vested.</w:t>
      </w:r>
    </w:p>
    <w:p>
      <w:pPr>
        <w:spacing w:after="0" w:line="174" w:lineRule="exact"/>
        <w:rPr>
          <w:sz w:val="20"/>
          <w:szCs w:val="20"/>
          <w:color w:val="auto"/>
        </w:rPr>
      </w:pPr>
    </w:p>
    <w:p>
      <w:pPr>
        <w:ind w:right="800" w:firstLine="432"/>
        <w:spacing w:after="0" w:line="304"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Incorporation of Terms of Plan</w:t>
      </w:r>
      <w:r>
        <w:rPr>
          <w:rFonts w:ascii="Times New Roman" w:cs="Times New Roman" w:eastAsia="Times New Roman" w:hAnsi="Times New Roman"/>
          <w:sz w:val="17"/>
          <w:szCs w:val="17"/>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41" w:lineRule="exact"/>
        <w:rPr>
          <w:sz w:val="20"/>
          <w:szCs w:val="20"/>
          <w:color w:val="auto"/>
        </w:rPr>
      </w:pPr>
    </w:p>
    <w:p>
      <w:pPr>
        <w:ind w:right="680" w:firstLine="432"/>
        <w:spacing w:after="0" w:line="27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will at all times prior to settlement represent an unsecured Company obligation payable only from the Company’s general assets.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 FORFEITURE AND SETTLEMENT</w:t>
      </w:r>
    </w:p>
    <w:p>
      <w:pPr>
        <w:spacing w:after="0" w:line="194"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Vesting; Forfeiture</w:t>
      </w:r>
      <w:r>
        <w:rPr>
          <w:rFonts w:ascii="Times New Roman" w:cs="Times New Roman" w:eastAsia="Times New Roman" w:hAnsi="Times New Roman"/>
          <w:sz w:val="17"/>
          <w:szCs w:val="17"/>
          <w:color w:val="auto"/>
        </w:rPr>
        <w:t>. The RSUs will vest according to the vesting schedule in the Grant Notice (the “</w:t>
      </w:r>
      <w:r>
        <w:rPr>
          <w:rFonts w:ascii="Times New Roman" w:cs="Times New Roman" w:eastAsia="Times New Roman" w:hAnsi="Times New Roman"/>
          <w:sz w:val="17"/>
          <w:szCs w:val="17"/>
          <w:b w:val="1"/>
          <w:bCs w:val="1"/>
          <w:i w:val="1"/>
          <w:iCs w:val="1"/>
          <w:color w:val="auto"/>
        </w:rPr>
        <w:t>Vesting Schedule</w:t>
      </w:r>
      <w:r>
        <w:rPr>
          <w:rFonts w:ascii="Times New Roman" w:cs="Times New Roman" w:eastAsia="Times New Roman" w:hAnsi="Times New Roman"/>
          <w:sz w:val="17"/>
          <w:szCs w:val="17"/>
          <w:color w:val="auto"/>
        </w:rPr>
        <w:t>”), except that any fraction of an RSU that would otherwise be vested will be accumulated and will vest only when a whole RSU has accumulated. Except as provided in the Grant Notice, in the event of Participant’s Termination of Service for any reason, all unvested RSUs will immediately and automatically be cancelled and forfeited, except as otherwise determined by the Administrator or provided in a binding written agreement between Participant and the Company.</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140" w:firstLine="971"/>
        <w:spacing w:after="0" w:line="252" w:lineRule="auto"/>
        <w:tabs>
          <w:tab w:leader="none" w:pos="121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will be paid in Shares as soon as administratively practicable after the vesting of the applicable RSU, but in no event more than sixty days after the applicable vesting date. Notwithstanding the foregoing, the Company may delay any payment under this Agreement that the Company reasonably determines would violate Applicable Laws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85"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shall be made by the Company in the form of whole shares of Common Stock.</w:t>
      </w:r>
    </w:p>
    <w:p>
      <w:pPr>
        <w:spacing w:after="0" w:line="217" w:lineRule="exact"/>
        <w:rPr>
          <w:rFonts w:ascii="Times New Roman" w:cs="Times New Roman" w:eastAsia="Times New Roman" w:hAnsi="Times New Roman"/>
          <w:sz w:val="18"/>
          <w:szCs w:val="18"/>
          <w:color w:val="auto"/>
        </w:rPr>
      </w:pPr>
    </w:p>
    <w:p>
      <w:pPr>
        <w:ind w:right="520" w:firstLine="971"/>
        <w:spacing w:after="0" w:line="274" w:lineRule="auto"/>
        <w:tabs>
          <w:tab w:leader="none" w:pos="121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time nor form of distribution of Shares with respect to the RSUs may be changed, except as may be permitted by the Administrator in accordance with the Plan and Section 409A of the Code and the Treasury Regulations thereunder.</w:t>
      </w:r>
    </w:p>
    <w:p>
      <w:pPr>
        <w:sectPr>
          <w:pgSz w:w="11900" w:h="16838" w:orient="portrait"/>
          <w:cols w:equalWidth="0" w:num="1">
            <w:col w:w="10800"/>
          </w:cols>
          <w:pgMar w:left="540" w:top="265" w:right="559" w:bottom="1440" w:gutter="0" w:footer="0" w:header="0"/>
        </w:sectPr>
      </w:pPr>
    </w:p>
    <w:bookmarkStart w:id="388" w:name="page389"/>
    <w:bookmarkEnd w:id="38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Taxes; Tax Withholding.</w:t>
      </w:r>
    </w:p>
    <w:p>
      <w:pPr>
        <w:spacing w:after="0" w:line="217" w:lineRule="exact"/>
        <w:rPr>
          <w:sz w:val="20"/>
          <w:szCs w:val="20"/>
          <w:color w:val="auto"/>
        </w:rPr>
      </w:pPr>
    </w:p>
    <w:p>
      <w:pPr>
        <w:ind w:right="60" w:firstLine="971"/>
        <w:spacing w:after="0" w:line="250" w:lineRule="auto"/>
        <w:tabs>
          <w:tab w:leader="none" w:pos="121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obligated to deliver any certificate representing Shares issuable with respect to the RSUs to Participant or his or her legal representative unless and until Participant or his or her legal representative shall have paid or otherwise satisfied in full the amount of all federal, state, local and foreign taxes required by Applicable Law to be withheld in connection with the vesting or settlement of the RSUs, the distribution of the Shares issuable with respect thereto, or any other taxable event related to the RSUs (the “</w:t>
      </w:r>
      <w:r>
        <w:rPr>
          <w:rFonts w:ascii="Times New Roman" w:cs="Times New Roman" w:eastAsia="Times New Roman" w:hAnsi="Times New Roman"/>
          <w:sz w:val="18"/>
          <w:szCs w:val="18"/>
          <w:b w:val="1"/>
          <w:bCs w:val="1"/>
          <w:i w:val="1"/>
          <w:iCs w:val="1"/>
          <w:color w:val="auto"/>
        </w:rPr>
        <w:t>Tax Withholding Obligation</w:t>
      </w:r>
      <w:r>
        <w:rPr>
          <w:rFonts w:ascii="Times New Roman" w:cs="Times New Roman" w:eastAsia="Times New Roman" w:hAnsi="Times New Roman"/>
          <w:sz w:val="18"/>
          <w:szCs w:val="18"/>
          <w:color w:val="auto"/>
        </w:rPr>
        <w:t>”). The Company shall have the authority and the right to deduct or withhold, or require Participant to remit to the Company, an amount sufficient to satisfy any Tax Withholding Obligation, including, without limitation, the authority to deduct such amounts from other compensation payable to Participant by the Company.</w:t>
      </w:r>
    </w:p>
    <w:p>
      <w:pPr>
        <w:spacing w:after="0" w:line="186" w:lineRule="exact"/>
        <w:rPr>
          <w:rFonts w:ascii="Times New Roman" w:cs="Times New Roman" w:eastAsia="Times New Roman" w:hAnsi="Times New Roman"/>
          <w:sz w:val="18"/>
          <w:szCs w:val="18"/>
          <w:color w:val="auto"/>
        </w:rPr>
      </w:pPr>
    </w:p>
    <w:p>
      <w:pPr>
        <w:ind w:firstLine="971"/>
        <w:spacing w:after="0" w:line="251" w:lineRule="auto"/>
        <w:tabs>
          <w:tab w:leader="none" w:pos="122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Participant elects to satisfy the Tax Withholding Obligation by some other means in accordance with Section 9.5 of the Plan, the Company shall have the right, but not the obligation, with respect to the Tax Withholding Obligation arising as a result of the vesting or distribution of the RSUs, to treat Participant’s failure to provide timely payment in accordance with Section 9.5 of the Plan as Participant’s election to satisfy the Tax Withholding Obligation by requesting the Company to withhold a net number of vested Shares otherwise issuable pursuant to the RSUs having a then-current fair market value not exceeding the amount necessary to satisfy the Tax Withholding Obligation (provided that if Participant is subject to Section 16 of the Exchange Act, any such action by the Company shall require the approval of the Administrator).</w:t>
      </w:r>
    </w:p>
    <w:p>
      <w:pPr>
        <w:spacing w:after="0" w:line="185" w:lineRule="exact"/>
        <w:rPr>
          <w:rFonts w:ascii="Times New Roman" w:cs="Times New Roman" w:eastAsia="Times New Roman" w:hAnsi="Times New Roman"/>
          <w:sz w:val="18"/>
          <w:szCs w:val="18"/>
          <w:color w:val="auto"/>
        </w:rPr>
      </w:pPr>
    </w:p>
    <w:p>
      <w:pPr>
        <w:ind w:right="140" w:firstLine="971"/>
        <w:spacing w:after="0" w:line="252" w:lineRule="auto"/>
        <w:tabs>
          <w:tab w:leader="none" w:pos="121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tax treatment to Participant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185" w:lineRule="exact"/>
        <w:rPr>
          <w:rFonts w:ascii="Times New Roman" w:cs="Times New Roman" w:eastAsia="Times New Roman" w:hAnsi="Times New Roman"/>
          <w:sz w:val="18"/>
          <w:szCs w:val="18"/>
          <w:color w:val="auto"/>
        </w:rPr>
      </w:pPr>
    </w:p>
    <w:p>
      <w:pPr>
        <w:ind w:right="240" w:firstLine="971"/>
        <w:spacing w:after="0" w:line="259" w:lineRule="auto"/>
        <w:tabs>
          <w:tab w:leader="none" w:pos="122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PARTICIPANT REPRESENTATIONS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award of the RSUs, Participant represents to the Company the following:</w:t>
      </w:r>
    </w:p>
    <w:p>
      <w:pPr>
        <w:spacing w:after="0" w:line="111" w:lineRule="exact"/>
        <w:rPr>
          <w:sz w:val="20"/>
          <w:szCs w:val="20"/>
          <w:color w:val="auto"/>
        </w:rPr>
      </w:pPr>
    </w:p>
    <w:p>
      <w:pPr>
        <w:ind w:right="140" w:firstLine="430"/>
        <w:spacing w:after="0" w:line="255" w:lineRule="auto"/>
        <w:tabs>
          <w:tab w:leader="none" w:pos="67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aware of the Company’s business affairs and financial condition and has acquired sufficient information about the Company to reach an informed and knowledgeable decision to acquire the Shares issuable upon settlement of the RSUs. Participant is acquiring these Shares for investment for Participant’s own account only and not with a view to, or for resale in connection with, any “distribution” thereof within the meaning of the Securities Act.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800"/>
          </w:cols>
          <w:pgMar w:left="540" w:top="265" w:right="559" w:bottom="1440" w:gutter="0" w:footer="0" w:header="0"/>
        </w:sectPr>
      </w:pPr>
    </w:p>
    <w:bookmarkStart w:id="389" w:name="page390"/>
    <w:bookmarkEnd w:id="389"/>
    <w:p>
      <w:pPr>
        <w:ind w:left="2" w:firstLine="430"/>
        <w:spacing w:after="0" w:line="250" w:lineRule="auto"/>
        <w:tabs>
          <w:tab w:leader="none" w:pos="68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Participant acknowledges and understands that the Shares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Participant further understands that the Shares must be held indefinitely unless they are subsequently registered under the Securities Act or an exemption from such registration is available. Participant further acknowledges and understands that the Company is under no obligation to register the Shares. Participant understands that the certificate evidencing the Shares may be imprinted with a legend which prohibits the transfer of the Shares unless they are registered or such registration is not required in the opinion of counsel satisfactory to the Company and any other legend required under Applicable Laws.</w:t>
      </w:r>
    </w:p>
    <w:p>
      <w:pPr>
        <w:spacing w:after="0" w:line="186" w:lineRule="exact"/>
        <w:rPr>
          <w:rFonts w:ascii="Times New Roman" w:cs="Times New Roman" w:eastAsia="Times New Roman" w:hAnsi="Times New Roman"/>
          <w:sz w:val="18"/>
          <w:szCs w:val="18"/>
          <w:color w:val="auto"/>
        </w:rPr>
      </w:pPr>
    </w:p>
    <w:p>
      <w:pPr>
        <w:jc w:val="both"/>
        <w:ind w:left="2" w:right="160" w:firstLine="430"/>
        <w:spacing w:after="0" w:line="268" w:lineRule="auto"/>
        <w:tabs>
          <w:tab w:leader="none" w:pos="674"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In the event the Company becomes subject to the reporting requirements of Section 13 or 15(d) of the Exchange Act, ninety</w:t>
      </w:r>
    </w:p>
    <w:p>
      <w:pPr>
        <w:ind w:left="2" w:right="40" w:hanging="2"/>
        <w:spacing w:after="0" w:line="251" w:lineRule="auto"/>
        <w:tabs>
          <w:tab w:leader="none" w:pos="3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thereafter (or such longer period as any market stand-off agreement may require) the Shares exempt under Rule 701 may under present law be resold, subject to the satisfaction of certain of the conditions specified by Rule 144.</w:t>
      </w:r>
    </w:p>
    <w:p>
      <w:pPr>
        <w:spacing w:after="0" w:line="183" w:lineRule="exact"/>
        <w:rPr>
          <w:rFonts w:ascii="Times New Roman" w:cs="Times New Roman" w:eastAsia="Times New Roman" w:hAnsi="Times New Roman"/>
          <w:sz w:val="18"/>
          <w:szCs w:val="18"/>
          <w:color w:val="auto"/>
        </w:rPr>
      </w:pPr>
    </w:p>
    <w:p>
      <w:pPr>
        <w:ind w:left="2" w:right="140" w:firstLine="430"/>
        <w:spacing w:after="0" w:line="274" w:lineRule="auto"/>
        <w:tabs>
          <w:tab w:leader="none" w:pos="68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qualify under Rule 701 at the time of purchase of the Shares, then the Shares may be resold in certain limited circumstances subject to the provisions of Rule 144.</w:t>
      </w:r>
    </w:p>
    <w:p>
      <w:pPr>
        <w:spacing w:after="0" w:line="163" w:lineRule="exact"/>
        <w:rPr>
          <w:rFonts w:ascii="Times New Roman" w:cs="Times New Roman" w:eastAsia="Times New Roman" w:hAnsi="Times New Roman"/>
          <w:sz w:val="18"/>
          <w:szCs w:val="18"/>
          <w:color w:val="auto"/>
        </w:rPr>
      </w:pPr>
    </w:p>
    <w:p>
      <w:pPr>
        <w:ind w:left="2" w:firstLine="430"/>
        <w:spacing w:after="0" w:line="250" w:lineRule="auto"/>
        <w:tabs>
          <w:tab w:leader="none" w:pos="67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will be available in such event.</w:t>
      </w:r>
    </w:p>
    <w:p>
      <w:pPr>
        <w:spacing w:after="0" w:line="39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98" w:lineRule="exact"/>
        <w:rPr>
          <w:sz w:val="20"/>
          <w:szCs w:val="20"/>
          <w:color w:val="auto"/>
        </w:rPr>
      </w:pPr>
    </w:p>
    <w:p>
      <w:pPr>
        <w:ind w:left="2" w:right="140" w:firstLine="432"/>
        <w:spacing w:after="0" w:line="274"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Award Not Transferable; Other Restrictions</w:t>
      </w:r>
      <w:r>
        <w:rPr>
          <w:rFonts w:ascii="Times New Roman" w:cs="Times New Roman" w:eastAsia="Times New Roman" w:hAnsi="Times New Roman"/>
          <w:sz w:val="17"/>
          <w:szCs w:val="17"/>
          <w:color w:val="auto"/>
        </w:rPr>
        <w:t>. Without limiting the generality of any other provision hereof, the Award shall be subject to the restrictions on transferability set forth in Section 9.1 of the Plan. Without limiting the generality of any other provision hereof, the Participant hereby expressly acknowledges that Section 10.8 (“</w:t>
      </w:r>
      <w:r>
        <w:rPr>
          <w:rFonts w:ascii="Times New Roman" w:cs="Times New Roman" w:eastAsia="Times New Roman" w:hAnsi="Times New Roman"/>
          <w:sz w:val="17"/>
          <w:szCs w:val="17"/>
          <w:i w:val="1"/>
          <w:iCs w:val="1"/>
          <w:color w:val="auto"/>
        </w:rPr>
        <w:t>Lock-Up Period</w:t>
      </w:r>
      <w:r>
        <w:rPr>
          <w:rFonts w:ascii="Times New Roman" w:cs="Times New Roman" w:eastAsia="Times New Roman" w:hAnsi="Times New Roman"/>
          <w:sz w:val="17"/>
          <w:szCs w:val="17"/>
          <w:color w:val="auto"/>
        </w:rPr>
        <w:t>”), Section 10.9 (“</w:t>
      </w:r>
      <w:r>
        <w:rPr>
          <w:rFonts w:ascii="Times New Roman" w:cs="Times New Roman" w:eastAsia="Times New Roman" w:hAnsi="Times New Roman"/>
          <w:sz w:val="17"/>
          <w:szCs w:val="17"/>
          <w:i w:val="1"/>
          <w:iCs w:val="1"/>
          <w:color w:val="auto"/>
        </w:rPr>
        <w:t>Right of First Refusal</w:t>
      </w:r>
      <w:r>
        <w:rPr>
          <w:rFonts w:ascii="Times New Roman" w:cs="Times New Roman" w:eastAsia="Times New Roman" w:hAnsi="Times New Roman"/>
          <w:sz w:val="17"/>
          <w:szCs w:val="17"/>
          <w:color w:val="auto"/>
        </w:rPr>
        <w:t>”) and Section 10.14 (“</w:t>
      </w:r>
      <w:r>
        <w:rPr>
          <w:rFonts w:ascii="Times New Roman" w:cs="Times New Roman" w:eastAsia="Times New Roman" w:hAnsi="Times New Roman"/>
          <w:sz w:val="17"/>
          <w:szCs w:val="17"/>
          <w:i w:val="1"/>
          <w:iCs w:val="1"/>
          <w:color w:val="auto"/>
        </w:rPr>
        <w:t>Restrictions on Shares;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Claw-Back Provisions</w:t>
      </w:r>
      <w:r>
        <w:rPr>
          <w:rFonts w:ascii="Times New Roman" w:cs="Times New Roman" w:eastAsia="Times New Roman" w:hAnsi="Times New Roman"/>
          <w:sz w:val="17"/>
          <w:szCs w:val="17"/>
          <w:color w:val="auto"/>
        </w:rPr>
        <w:t>”) of the Plan are expressly incorporated into this Agreement and are applicable to the Shares issued pursuant to this Agreement.</w:t>
      </w:r>
    </w:p>
    <w:p>
      <w:pPr>
        <w:spacing w:after="0" w:line="16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Restrictive Legends and Stop-Transfer Orders.</w:t>
      </w:r>
    </w:p>
    <w:p>
      <w:pPr>
        <w:spacing w:after="0" w:line="217" w:lineRule="exact"/>
        <w:rPr>
          <w:sz w:val="20"/>
          <w:szCs w:val="20"/>
          <w:color w:val="auto"/>
        </w:rPr>
      </w:pPr>
    </w:p>
    <w:p>
      <w:pPr>
        <w:ind w:left="2" w:right="40" w:firstLine="971"/>
        <w:spacing w:after="0" w:line="259" w:lineRule="auto"/>
        <w:tabs>
          <w:tab w:leader="none" w:pos="121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Participant understands and agrees that the Company shall cause the legends set forth below or legends substantially equivalent thereto, to be placed upon any certificate(s) evidencing ownership of the Shares together with any other legends that may be required by state or federal securities laws:</w:t>
      </w:r>
    </w:p>
    <w:p>
      <w:pPr>
        <w:spacing w:after="0" w:line="72" w:lineRule="exact"/>
        <w:rPr>
          <w:sz w:val="20"/>
          <w:szCs w:val="20"/>
          <w:color w:val="auto"/>
        </w:rPr>
      </w:pPr>
    </w:p>
    <w:p>
      <w:pPr>
        <w:ind w:left="442" w:right="160"/>
        <w:spacing w:after="0" w:line="250"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OR DISTRIBUTION THEREOF. THE SECURITIES REPRESENTED HEREBY HAVE NOT BEEN REGISTERED UNDER THE SECURITIES ACT OF 1933 (THE “ACT”) OR ANY APPLICABLE STATE SECURITIES LAWS AND MAY NOT BE OFFERED, SOLD OR OTHERWISE TRANSFERRED, PLEDGED OR HYPOTHECATED UNLESS AND UNTIL REGISTERED UNDER THE ACT AND SUCH LAWS OR, IN THE OPINION OF COUNSEL IN FORM AND SUBSTANCE SATISFACTORY TO THE ISSUER OF THESE SECURITIES, SUCH OFFER, SALE OR TRANSFER, PLEDGE OR HYPOTHECATION IS IN COMPLIANCE THEREWITH.</w:t>
      </w:r>
    </w:p>
    <w:p>
      <w:pPr>
        <w:spacing w:after="0" w:line="1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802"/>
          </w:cols>
          <w:pgMar w:left="538" w:top="266" w:right="559" w:bottom="1440" w:gutter="0" w:footer="0" w:header="0"/>
        </w:sectPr>
      </w:pPr>
    </w:p>
    <w:bookmarkStart w:id="390" w:name="page391"/>
    <w:bookmarkEnd w:id="390"/>
    <w:p>
      <w:pPr>
        <w:ind w:left="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SHARES REPRESENTED BY THIS CERTIFICATE ARE SUBJECT TO CERTAIN REPURCHASE RIGHTS, FORFEITURE PROVISIONS, TRANSFER RESTRICTIONS AND A RIGHT OF FIRST REFUSAL HELD BY THE ISSUER OR ITS ASSIGNEE(S), AS SET FORTH IN A RESTRICTED STOCK UNIT AGREEMENT BETWEEN THE ISSUER AND THE ORIGINAL HOLDER OF THESE SHARES, COPIES OF WHICH MAY BE OBTAINED AT THE PRINCIPAL OFFICE OF THE ISSUER. SUCH REPURCHASE RIGHTS, FORFEITURE PROVISIONS, TRANSFER RESTRICTIONS AND RIGHT OF FIRST REFUSAL ARE BINDING ON TRANSFEREES OF THESE SHARES.</w:t>
      </w:r>
    </w:p>
    <w:p>
      <w:pPr>
        <w:spacing w:after="0" w:line="168" w:lineRule="exact"/>
        <w:rPr>
          <w:sz w:val="20"/>
          <w:szCs w:val="20"/>
          <w:color w:val="auto"/>
        </w:rPr>
      </w:pPr>
    </w:p>
    <w:p>
      <w:pPr>
        <w:ind w:right="80" w:firstLine="971"/>
        <w:spacing w:after="0" w:line="259" w:lineRule="auto"/>
        <w:tabs>
          <w:tab w:leader="none" w:pos="122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Notices</w:t>
      </w:r>
      <w:r>
        <w:rPr>
          <w:rFonts w:ascii="Times New Roman" w:cs="Times New Roman" w:eastAsia="Times New Roman" w:hAnsi="Times New Roman"/>
          <w:sz w:val="18"/>
          <w:szCs w:val="18"/>
          <w:color w:val="auto"/>
        </w:rPr>
        <w:t>. The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7" w:lineRule="exact"/>
        <w:rPr>
          <w:rFonts w:ascii="Times New Roman" w:cs="Times New Roman" w:eastAsia="Times New Roman" w:hAnsi="Times New Roman"/>
          <w:sz w:val="18"/>
          <w:szCs w:val="18"/>
          <w:color w:val="auto"/>
        </w:rPr>
      </w:pPr>
    </w:p>
    <w:p>
      <w:pPr>
        <w:ind w:right="100" w:firstLine="971"/>
        <w:spacing w:after="0" w:line="259" w:lineRule="auto"/>
        <w:tabs>
          <w:tab w:leader="none" w:pos="121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77" w:lineRule="exact"/>
        <w:rPr>
          <w:rFonts w:ascii="Times New Roman" w:cs="Times New Roman" w:eastAsia="Times New Roman" w:hAnsi="Times New Roman"/>
          <w:sz w:val="18"/>
          <w:szCs w:val="18"/>
          <w:color w:val="auto"/>
        </w:rPr>
      </w:pPr>
    </w:p>
    <w:p>
      <w:pPr>
        <w:ind w:right="60" w:firstLine="971"/>
        <w:spacing w:after="0" w:line="251" w:lineRule="auto"/>
        <w:tabs>
          <w:tab w:leader="none" w:pos="122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 on Transfer</w:t>
      </w:r>
      <w:r>
        <w:rPr>
          <w:rFonts w:ascii="Times New Roman" w:cs="Times New Roman" w:eastAsia="Times New Roman" w:hAnsi="Times New Roman"/>
          <w:sz w:val="18"/>
          <w:szCs w:val="18"/>
          <w:color w:val="auto"/>
        </w:rPr>
        <w:t>. In addition to the limitations contained in Section 5.1 above and this Section 5.2, the Participant agrees and acknowledges that Participant will not transfer in any manner the Shares issued pursuant to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85" w:lineRule="exact"/>
        <w:rPr>
          <w:sz w:val="20"/>
          <w:szCs w:val="20"/>
          <w:color w:val="auto"/>
        </w:rPr>
      </w:pPr>
    </w:p>
    <w:p>
      <w:pPr>
        <w:ind w:right="60" w:firstLine="432"/>
        <w:spacing w:after="0" w:line="27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and the Shares issuable with respect thereto are subject to adjustment, modification and termination in certain events as provided in this Agreement and the Plan.</w:t>
      </w:r>
    </w:p>
    <w:p>
      <w:pPr>
        <w:spacing w:after="0" w:line="163"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780"/>
          </w:cols>
          <w:pgMar w:left="540" w:top="267" w:right="579" w:bottom="1440" w:gutter="0" w:footer="0" w:header="0"/>
        </w:sectPr>
      </w:pPr>
    </w:p>
    <w:bookmarkStart w:id="391" w:name="page392"/>
    <w:bookmarkEnd w:id="39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17" w:lineRule="exact"/>
        <w:rPr>
          <w:sz w:val="20"/>
          <w:szCs w:val="20"/>
          <w:color w:val="auto"/>
        </w:rPr>
      </w:pPr>
    </w:p>
    <w:p>
      <w:pPr>
        <w:ind w:right="240" w:firstLine="432"/>
        <w:spacing w:after="0" w:line="25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Participant acknowledges that the Plan, the Grant Notice and this Agreement are intended to conform to the extent necessary with all Applicable Laws and, to the extent Applicable Laws permit, will be deemed amended to the extent necessary to conform to such Applicable Laws or any such exemptive rule described in the preceding sentence.</w:t>
      </w:r>
    </w:p>
    <w:p>
      <w:pPr>
        <w:spacing w:after="0" w:line="185" w:lineRule="exact"/>
        <w:rPr>
          <w:sz w:val="20"/>
          <w:szCs w:val="20"/>
          <w:color w:val="auto"/>
        </w:rPr>
      </w:pPr>
    </w:p>
    <w:p>
      <w:pPr>
        <w:jc w:val="both"/>
        <w:ind w:right="40" w:firstLine="432"/>
        <w:spacing w:after="0" w:line="259"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in the Plan, this Agreement shall be binding upon and inure to the benefit of the heirs, legatees, legal representatives, successors and assigns of the parties hereto.</w:t>
      </w:r>
    </w:p>
    <w:p>
      <w:pPr>
        <w:spacing w:after="0" w:line="178" w:lineRule="exact"/>
        <w:rPr>
          <w:sz w:val="20"/>
          <w:szCs w:val="20"/>
          <w:color w:val="auto"/>
        </w:rPr>
      </w:pPr>
    </w:p>
    <w:p>
      <w:pPr>
        <w:ind w:right="40" w:firstLine="432"/>
        <w:spacing w:after="0" w:line="250"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constitute the entire agreement of the parties and supersede in their entirety all prior undertakings and agreements of the Company and Participant with respect to the subject matter hereof. Participant hereby agrees to execute such further instruments and to take such further action as the Company requests to carry out the purposes and intent of this Agreement and the Plan, including, without limitation, restrictions on the transferability of the Shares, the right of the Company to repurchase the Shares pursuant to Section 10.9 of the Plan, the right of the Company to require that shares of Common Stock be transferred in the event of certain transactions, tag-along rights, bring-along rights, redemption and co-sale rights and voting requirements in accordance with the Plan. This Agreement may be amended by the Company in accordance with Section 9.6 of the Plan.</w:t>
      </w:r>
    </w:p>
    <w:p>
      <w:pPr>
        <w:spacing w:after="0" w:line="187"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8"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hereof.</w:t>
      </w:r>
    </w:p>
    <w:p>
      <w:pPr>
        <w:spacing w:after="0" w:line="185" w:lineRule="exact"/>
        <w:rPr>
          <w:sz w:val="20"/>
          <w:szCs w:val="20"/>
          <w:color w:val="auto"/>
        </w:rPr>
      </w:pPr>
    </w:p>
    <w:p>
      <w:pPr>
        <w:ind w:right="120" w:firstLine="432"/>
        <w:spacing w:after="0" w:line="25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800"/>
          </w:cols>
          <w:pgMar w:left="540" w:top="267" w:right="559" w:bottom="1440" w:gutter="0" w:footer="0" w:header="0"/>
        </w:sectPr>
      </w:pPr>
    </w:p>
    <w:bookmarkStart w:id="392" w:name="page393"/>
    <w:bookmarkEnd w:id="392"/>
    <w:p>
      <w:pPr>
        <w:ind w:right="2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of a stockholder of the Company with respect to such Shares, including, without limitation, the right to receipt of dividends and distributions on such Shares. The issuance of Shares under this Award to Participant shall be subject to Participant’s satisfaction of the conditions under Section 10.14 of the Plan and execution of a counterpart signature page or joinder agreeing to be subject to any stockholders agreement as the Administrator shall determine.</w:t>
      </w:r>
    </w:p>
    <w:p>
      <w:pPr>
        <w:spacing w:after="0" w:line="15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ind w:right="500" w:firstLine="432"/>
        <w:spacing w:after="0" w:line="27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80" w:firstLine="971"/>
        <w:spacing w:after="0" w:line="251" w:lineRule="auto"/>
        <w:tabs>
          <w:tab w:leader="none" w:pos="1213"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185" w:lineRule="exact"/>
        <w:rPr>
          <w:rFonts w:ascii="Times New Roman" w:cs="Times New Roman" w:eastAsia="Times New Roman" w:hAnsi="Times New Roman"/>
          <w:sz w:val="18"/>
          <w:szCs w:val="18"/>
          <w:color w:val="auto"/>
        </w:rPr>
      </w:pPr>
    </w:p>
    <w:p>
      <w:pPr>
        <w:ind w:right="240" w:firstLine="971"/>
        <w:spacing w:after="0" w:line="212" w:lineRule="auto"/>
        <w:tabs>
          <w:tab w:leader="none" w:pos="1223"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not intended to provide for any deferral of compensation subject to Section 409A, and, accordingly, the Shares issuable pursuant to the RSUs shall be distributed to Participant no later than the later of: (A)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of the third month following Participant’s first taxable year in which such RSUs are no longer subject to a substantial risk of forfeiture, and (B)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of the third month following first taxable year of the Company in which such RSUs are no longer subject to substantial risk of forfeiture, as determined in accordance with Section 409A.</w:t>
      </w:r>
    </w:p>
    <w:p>
      <w:pPr>
        <w:spacing w:after="0" w:line="195" w:lineRule="exact"/>
        <w:rPr>
          <w:rFonts w:ascii="Times New Roman" w:cs="Times New Roman" w:eastAsia="Times New Roman" w:hAnsi="Times New Roman"/>
          <w:sz w:val="18"/>
          <w:szCs w:val="18"/>
          <w:color w:val="auto"/>
        </w:rPr>
      </w:pPr>
    </w:p>
    <w:p>
      <w:pPr>
        <w:ind w:right="220" w:firstLine="971"/>
        <w:spacing w:after="0" w:line="274" w:lineRule="auto"/>
        <w:tabs>
          <w:tab w:leader="none" w:pos="1213"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(including, without limitation, for purposes of Treasury Regulation Section 1.409A-2(b)(2)(iii)), each payment that Participant may be eligible to receive under this Agreement shall be treated as a separate and distinct payment.</w:t>
      </w:r>
    </w:p>
    <w:p>
      <w:pPr>
        <w:spacing w:after="0" w:line="163"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thereunder, including the RSUs, shall be governed by and interpreted in accordance with the laws of the State of Delaware, disregarding choice-of-law principles of the law of any state that would require the application of the laws of a jurisdiction other than such state.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760"/>
          </w:cols>
          <w:pgMar w:left="540" w:top="267" w:right="599" w:bottom="1440" w:gutter="0" w:footer="0" w:header="0"/>
        </w:sectPr>
      </w:pPr>
    </w:p>
    <w:bookmarkStart w:id="393" w:name="page394"/>
    <w:bookmarkEnd w:id="393"/>
    <w:p>
      <w:pPr>
        <w:ind w:left="4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CG ONCOLOGY, INC.</w:t>
      </w:r>
    </w:p>
    <w:p>
      <w:pPr>
        <w:spacing w:after="0" w:line="2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2022 INCENTIVE AWARD PLAN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215" w:lineRule="exact"/>
        <w:rPr>
          <w:sz w:val="20"/>
          <w:szCs w:val="20"/>
          <w:color w:val="auto"/>
        </w:rPr>
      </w:pPr>
    </w:p>
    <w:p>
      <w:pPr>
        <w:ind w:right="220" w:firstLine="432"/>
        <w:spacing w:after="0" w:line="278" w:lineRule="auto"/>
        <w:rPr>
          <w:sz w:val="20"/>
          <w:szCs w:val="20"/>
          <w:color w:val="auto"/>
        </w:rPr>
      </w:pPr>
      <w:r>
        <w:rPr>
          <w:rFonts w:ascii="Times New Roman" w:cs="Times New Roman" w:eastAsia="Times New Roman" w:hAnsi="Times New Roman"/>
          <w:sz w:val="18"/>
          <w:szCs w:val="18"/>
          <w:color w:val="auto"/>
        </w:rPr>
        <w:t>Capitalized terms not specifically defined in this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have the meanings given to them in the 2022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CG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8"/>
          <w:szCs w:val="18"/>
          <w:color w:val="auto"/>
        </w:rPr>
        <w:t>The Company hereby grants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stock option described in this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xml:space="preserve">”), subject to the terms and conditions of the Plan and the Stock Option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w:t>
      </w:r>
    </w:p>
    <w:p>
      <w:pPr>
        <w:sectPr>
          <w:pgSz w:w="11900" w:h="16838" w:orient="portrait"/>
          <w:cols w:equalWidth="0" w:num="1">
            <w:col w:w="10760"/>
          </w:cols>
          <w:pgMar w:left="540" w:top="264" w:right="599" w:bottom="144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[Insert Participant Name]</w:t>
      </w:r>
    </w:p>
    <w:p>
      <w:pPr>
        <w:spacing w:after="0" w:line="123" w:lineRule="exact"/>
        <w:rPr>
          <w:sz w:val="20"/>
          <w:szCs w:val="20"/>
          <w:color w:val="auto"/>
        </w:rPr>
      </w:pPr>
    </w:p>
    <w:p>
      <w:pPr>
        <w:sectPr>
          <w:pgSz w:w="11900" w:h="16838" w:orient="portrait"/>
          <w:cols w:equalWidth="0" w:num="2">
            <w:col w:w="2420" w:space="720"/>
            <w:col w:w="7620"/>
          </w:cols>
          <w:pgMar w:left="540" w:top="264" w:right="5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Grant Date]</w:t>
      </w:r>
    </w:p>
    <w:p>
      <w:pPr>
        <w:spacing w:after="0" w:line="123" w:lineRule="exact"/>
        <w:rPr>
          <w:sz w:val="20"/>
          <w:szCs w:val="20"/>
          <w:color w:val="auto"/>
        </w:rPr>
      </w:pPr>
    </w:p>
    <w:p>
      <w:pPr>
        <w:sectPr>
          <w:pgSz w:w="11900" w:h="16838" w:orient="portrait"/>
          <w:cols w:equalWidth="0" w:num="2">
            <w:col w:w="2420" w:space="720"/>
            <w:col w:w="7620"/>
          </w:cols>
          <w:pgMar w:left="540" w:top="264" w:right="5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Exercise Price]</w:t>
      </w:r>
    </w:p>
    <w:p>
      <w:pPr>
        <w:spacing w:after="0" w:line="123" w:lineRule="exact"/>
        <w:rPr>
          <w:sz w:val="20"/>
          <w:szCs w:val="20"/>
          <w:color w:val="auto"/>
        </w:rPr>
      </w:pPr>
    </w:p>
    <w:p>
      <w:pPr>
        <w:sectPr>
          <w:pgSz w:w="11900" w:h="16838" w:orient="portrait"/>
          <w:cols w:equalWidth="0" w:num="2">
            <w:col w:w="2420" w:space="720"/>
            <w:col w:w="7620"/>
          </w:cols>
          <w:pgMar w:left="540" w:top="264" w:right="5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Shares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Number of Options]</w:t>
      </w:r>
    </w:p>
    <w:p>
      <w:pPr>
        <w:spacing w:after="0" w:line="123" w:lineRule="exact"/>
        <w:rPr>
          <w:sz w:val="20"/>
          <w:szCs w:val="20"/>
          <w:color w:val="auto"/>
        </w:rPr>
      </w:pPr>
    </w:p>
    <w:p>
      <w:pPr>
        <w:sectPr>
          <w:pgSz w:w="11900" w:h="16838" w:orient="portrait"/>
          <w:cols w:equalWidth="0" w:num="2">
            <w:col w:w="2420" w:space="720"/>
            <w:col w:w="7620"/>
          </w:cols>
          <w:pgMar w:left="540" w:top="264" w:right="5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Final 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Tenth Anniversary of Grant Date]</w:t>
      </w:r>
    </w:p>
    <w:p>
      <w:pPr>
        <w:spacing w:after="0" w:line="123" w:lineRule="exact"/>
        <w:rPr>
          <w:sz w:val="20"/>
          <w:szCs w:val="20"/>
          <w:color w:val="auto"/>
        </w:rPr>
      </w:pPr>
    </w:p>
    <w:p>
      <w:pPr>
        <w:sectPr>
          <w:pgSz w:w="11900" w:h="16838" w:orient="portrait"/>
          <w:cols w:equalWidth="0" w:num="2">
            <w:col w:w="2420" w:space="720"/>
            <w:col w:w="7620"/>
          </w:cols>
          <w:pgMar w:left="540" w:top="264" w:right="5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Vesting Commencement Date]</w:t>
      </w:r>
    </w:p>
    <w:p>
      <w:pPr>
        <w:spacing w:after="0" w:line="123" w:lineRule="exact"/>
        <w:rPr>
          <w:sz w:val="20"/>
          <w:szCs w:val="20"/>
          <w:color w:val="auto"/>
        </w:rPr>
      </w:pPr>
    </w:p>
    <w:p>
      <w:pPr>
        <w:sectPr>
          <w:pgSz w:w="11900" w:h="16838" w:orient="portrait"/>
          <w:cols w:equalWidth="0" w:num="2">
            <w:col w:w="2420" w:space="720"/>
            <w:col w:w="7620"/>
          </w:cols>
          <w:pgMar w:left="540" w:top="264" w:right="5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[Insert Vesting Schedule]</w:t>
      </w:r>
    </w:p>
    <w:p>
      <w:pPr>
        <w:spacing w:after="0" w:line="138" w:lineRule="exact"/>
        <w:rPr>
          <w:sz w:val="20"/>
          <w:szCs w:val="20"/>
          <w:color w:val="auto"/>
        </w:rPr>
      </w:pPr>
    </w:p>
    <w:p>
      <w:pPr>
        <w:sectPr>
          <w:pgSz w:w="11900" w:h="16838" w:orient="portrait"/>
          <w:cols w:equalWidth="0" w:num="2">
            <w:col w:w="2420" w:space="720"/>
            <w:col w:w="7620"/>
          </w:cols>
          <w:pgMar w:left="540" w:top="264" w:right="599" w:bottom="1440" w:gutter="0" w:footer="0" w:header="0"/>
          <w:type w:val="continuous"/>
        </w:sectPr>
      </w:pPr>
    </w:p>
    <w:p>
      <w:pPr>
        <w:ind w:left="3140" w:right="220"/>
        <w:spacing w:after="0" w:line="271" w:lineRule="auto"/>
        <w:rPr>
          <w:sz w:val="20"/>
          <w:szCs w:val="20"/>
          <w:color w:val="auto"/>
        </w:rPr>
      </w:pPr>
      <w:r>
        <w:rPr>
          <w:rFonts w:ascii="Times New Roman" w:cs="Times New Roman" w:eastAsia="Times New Roman" w:hAnsi="Times New Roman"/>
          <w:sz w:val="17"/>
          <w:szCs w:val="17"/>
          <w:color w:val="auto"/>
        </w:rPr>
        <w:t>In addition, in the event a Participant experiences a Termination of Service as a result of (a) Participant’s termination by the Company other than for Cause (and excluding a Termination of Service as a result of Participant’s death or Disability), or (b) Participant’s resignation for Good Reason, in each case within eighteen (18) months following a Change in Control, then any remaining unvested portion of the Option shall become fully vested and exercisable on the date of such Termination of Service.</w:t>
      </w:r>
    </w:p>
    <w:p>
      <w:pPr>
        <w:sectPr>
          <w:pgSz w:w="11900" w:h="16838" w:orient="portrait"/>
          <w:cols w:equalWidth="0" w:num="1">
            <w:col w:w="10760"/>
          </w:cols>
          <w:pgMar w:left="540" w:top="264" w:right="59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Type of Option </w:t>
      </w:r>
      <w:r>
        <w:rPr>
          <w:rFonts w:ascii="Times New Roman" w:cs="Times New Roman" w:eastAsia="Times New Roman" w:hAnsi="Times New Roman"/>
          <w:sz w:val="17"/>
          <w:szCs w:val="17"/>
          <w:b w:val="1"/>
          <w:bCs w:val="1"/>
          <w:i w:val="1"/>
          <w:iCs w:val="1"/>
          <w:color w:val="auto"/>
        </w:rPr>
        <w:t>(select one)</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Incentive Stock Option</w:t>
      </w:r>
    </w:p>
    <w:p>
      <w:pPr>
        <w:spacing w:after="0" w:line="97" w:lineRule="exact"/>
        <w:rPr>
          <w:sz w:val="20"/>
          <w:szCs w:val="20"/>
          <w:color w:val="auto"/>
        </w:rPr>
      </w:pPr>
    </w:p>
    <w:p>
      <w:pPr>
        <w:sectPr>
          <w:pgSz w:w="11900" w:h="16838" w:orient="portrait"/>
          <w:cols w:equalWidth="0" w:num="3">
            <w:col w:w="2420" w:space="720"/>
            <w:col w:w="160" w:space="40"/>
            <w:col w:w="7420"/>
          </w:cols>
          <w:pgMar w:left="540" w:top="264" w:right="599" w:bottom="1440" w:gutter="0" w:footer="0" w:header="0"/>
          <w:type w:val="continuous"/>
        </w:sectPr>
      </w:pPr>
    </w:p>
    <w:p>
      <w:pPr>
        <w:ind w:left="3140"/>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Non-Qualified Stock Option</w:t>
      </w:r>
    </w:p>
    <w:p>
      <w:pPr>
        <w:spacing w:after="0" w:line="200" w:lineRule="exact"/>
        <w:rPr>
          <w:sz w:val="20"/>
          <w:szCs w:val="20"/>
          <w:color w:val="auto"/>
        </w:rPr>
      </w:pPr>
    </w:p>
    <w:p>
      <w:pPr>
        <w:sectPr>
          <w:pgSz w:w="11900" w:h="16838" w:orient="portrait"/>
          <w:cols w:equalWidth="0" w:num="2">
            <w:col w:w="3300" w:space="40"/>
            <w:col w:w="7420"/>
          </w:cols>
          <w:pgMar w:left="540" w:top="264" w:right="599" w:bottom="1440" w:gutter="0" w:footer="0" w:header="0"/>
          <w:type w:val="continuous"/>
        </w:sectPr>
      </w:pPr>
    </w:p>
    <w:p>
      <w:pPr>
        <w:spacing w:after="0" w:line="42"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If the Company uses an electronic capitalization table system (such as E*Trade, Shareworks or Carta)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78" w:lineRule="exact"/>
        <w:rPr>
          <w:sz w:val="20"/>
          <w:szCs w:val="20"/>
          <w:color w:val="auto"/>
        </w:rPr>
      </w:pPr>
    </w:p>
    <w:p>
      <w:pPr>
        <w:ind w:right="160" w:firstLine="432"/>
        <w:spacing w:after="0" w:line="271" w:lineRule="auto"/>
        <w:rPr>
          <w:sz w:val="20"/>
          <w:szCs w:val="20"/>
          <w:color w:val="auto"/>
        </w:rPr>
      </w:pPr>
      <w:r>
        <w:rPr>
          <w:rFonts w:ascii="Times New Roman" w:cs="Times New Roman" w:eastAsia="Times New Roman" w:hAnsi="Times New Roman"/>
          <w:sz w:val="17"/>
          <w:szCs w:val="17"/>
          <w:color w:val="auto"/>
        </w:rPr>
        <w:t>By accepting (whether in writing, electronically or otherwise, including an acceptance through an electronic capitalization table system used by the Company)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ectPr>
          <w:pgSz w:w="11900" w:h="16838" w:orient="portrait"/>
          <w:cols w:equalWidth="0" w:num="1">
            <w:col w:w="10760"/>
          </w:cols>
          <w:pgMar w:left="540" w:top="264" w:right="599" w:bottom="1440" w:gutter="0" w:footer="0" w:header="0"/>
          <w:type w:val="continuous"/>
        </w:sectPr>
      </w:pPr>
    </w:p>
    <w:bookmarkStart w:id="394" w:name="page395"/>
    <w:bookmarkEnd w:id="394"/>
    <w:tbl>
      <w:tblPr>
        <w:tblLayout w:type="fixed"/>
        <w:tblInd w:w="0" w:type="dxa"/>
        <w:tblCellMar>
          <w:top w:w="0" w:type="dxa"/>
          <w:left w:w="0" w:type="dxa"/>
          <w:bottom w:w="0" w:type="dxa"/>
          <w:right w:w="0" w:type="dxa"/>
        </w:tblCellMar>
      </w:tblPr>
      <w:tr>
        <w:trPr>
          <w:trHeight w:val="23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57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2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Print Name:</w:t>
            </w:r>
          </w:p>
        </w:tc>
        <w:tc>
          <w:tcPr>
            <w:tcW w:w="4100" w:type="dxa"/>
            <w:vAlign w:val="bottom"/>
            <w:tcBorders>
              <w:top w:val="single" w:sz="8" w:color="auto"/>
              <w:bottom w:val="single" w:sz="8" w:color="auto"/>
            </w:tcBorders>
          </w:tcPr>
          <w:p>
            <w:pPr>
              <w:spacing w:after="0"/>
              <w:rPr>
                <w:sz w:val="17"/>
                <w:szCs w:val="17"/>
                <w:color w:val="auto"/>
              </w:rPr>
            </w:pPr>
          </w:p>
        </w:tc>
        <w:tc>
          <w:tcPr>
            <w:tcW w:w="1660" w:type="dxa"/>
            <w:vAlign w:val="bottom"/>
          </w:tcPr>
          <w:p>
            <w:pPr>
              <w:ind w:left="680"/>
              <w:spacing w:after="0" w:line="205" w:lineRule="exact"/>
              <w:rPr>
                <w:sz w:val="20"/>
                <w:szCs w:val="20"/>
                <w:color w:val="auto"/>
              </w:rPr>
            </w:pPr>
            <w:r>
              <w:rPr>
                <w:rFonts w:ascii="Times New Roman" w:cs="Times New Roman" w:eastAsia="Times New Roman" w:hAnsi="Times New Roman"/>
                <w:sz w:val="18"/>
                <w:szCs w:val="18"/>
                <w:color w:val="auto"/>
              </w:rPr>
              <w:t>Print Name:</w:t>
            </w:r>
          </w:p>
        </w:tc>
        <w:tc>
          <w:tcPr>
            <w:tcW w:w="4080" w:type="dxa"/>
            <w:vAlign w:val="bottom"/>
            <w:tcBorders>
              <w:top w:val="single" w:sz="8" w:color="auto"/>
              <w:bottom w:val="single" w:sz="8" w:color="auto"/>
            </w:tcBorders>
          </w:tcPr>
          <w:p>
            <w:pPr>
              <w:spacing w:after="0"/>
              <w:rPr>
                <w:sz w:val="17"/>
                <w:szCs w:val="17"/>
                <w:color w:val="auto"/>
              </w:rPr>
            </w:pPr>
          </w:p>
        </w:tc>
      </w:tr>
      <w:tr>
        <w:trPr>
          <w:trHeight w:val="205"/>
        </w:trPr>
        <w:tc>
          <w:tcPr>
            <w:tcW w:w="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4100" w:type="dxa"/>
            <w:vAlign w:val="bottom"/>
            <w:tcBorders>
              <w:bottom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4080" w:type="dxa"/>
            <w:vAlign w:val="bottom"/>
          </w:tcPr>
          <w:p>
            <w:pPr>
              <w:spacing w:after="0"/>
              <w:rPr>
                <w:sz w:val="17"/>
                <w:szCs w:val="17"/>
                <w:color w:val="auto"/>
              </w:rPr>
            </w:pPr>
          </w:p>
        </w:tc>
      </w:tr>
    </w:tbl>
    <w:p>
      <w:pPr>
        <w:spacing w:after="0"/>
        <w:rPr>
          <w:sz w:val="20"/>
          <w:szCs w:val="20"/>
          <w:color w:val="auto"/>
        </w:rPr>
        <w:sectPr>
          <w:pgSz w:w="11900" w:h="16838" w:orient="portrait"/>
          <w:cols w:equalWidth="0" w:num="1">
            <w:col w:w="10800"/>
          </w:cols>
          <w:pgMar w:left="540" w:top="265" w:right="55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bookmarkStart w:id="395" w:name="page396"/>
    <w:bookmarkEnd w:id="3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A</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19" w:lineRule="exact"/>
        <w:rPr>
          <w:sz w:val="20"/>
          <w:szCs w:val="20"/>
          <w:color w:val="auto"/>
        </w:rPr>
      </w:pPr>
    </w:p>
    <w:p>
      <w:pPr>
        <w:ind w:firstLine="432"/>
        <w:spacing w:after="0" w:line="274"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w:t>
      </w:r>
    </w:p>
    <w:p>
      <w:pPr>
        <w:spacing w:after="0" w:line="37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4" w:lineRule="exact"/>
        <w:rPr>
          <w:sz w:val="20"/>
          <w:szCs w:val="20"/>
          <w:color w:val="auto"/>
        </w:rPr>
      </w:pPr>
    </w:p>
    <w:p>
      <w:pPr>
        <w:ind w:right="300" w:firstLine="432"/>
        <w:spacing w:after="0" w:line="27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has granted to Participant the Option effective as of the grant date set forth in the Grant Notice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820" w:firstLine="432"/>
        <w:spacing w:after="0" w:line="304"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Incorporation of Terms of Plan</w:t>
      </w:r>
      <w:r>
        <w:rPr>
          <w:rFonts w:ascii="Times New Roman" w:cs="Times New Roman" w:eastAsia="Times New Roman" w:hAnsi="Times New Roman"/>
          <w:sz w:val="17"/>
          <w:szCs w:val="17"/>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198" w:lineRule="exact"/>
        <w:rPr>
          <w:sz w:val="20"/>
          <w:szCs w:val="20"/>
          <w:color w:val="auto"/>
        </w:rPr>
      </w:pPr>
    </w:p>
    <w:p>
      <w:pPr>
        <w:ind w:right="40" w:firstLine="432"/>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Commencement of Exercisability</w:t>
      </w:r>
      <w:r>
        <w:rPr>
          <w:rFonts w:ascii="Times New Roman" w:cs="Times New Roman" w:eastAsia="Times New Roman" w:hAnsi="Times New Roman"/>
          <w:sz w:val="18"/>
          <w:szCs w:val="18"/>
          <w:color w:val="auto"/>
        </w:rPr>
        <w:t>. The Option will vest and become exercisable according to the vesting schedule in the Grant Notice (the “</w:t>
      </w: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except that any fraction of a Share as to which the Option would be vested or exercisable will be accumulated and will vest and become exercisable only when a whole Share has accumulated. The Option shall not be exercisable with respect to fractional Shares. Notwithstanding anything in the Grant Notice, the Plan or this Agreement to the contrary, the Option will immediately expire and be forfeited as to any portion that is not vested and exercisable as of Participant’s Termination of Service for any reason, except as may be otherwise provided by the Administrator or as set forth in another written agreement between the Company or any Subsidiary and Participant.</w:t>
      </w:r>
    </w:p>
    <w:p>
      <w:pPr>
        <w:spacing w:after="0" w:line="185" w:lineRule="exact"/>
        <w:rPr>
          <w:sz w:val="20"/>
          <w:szCs w:val="20"/>
          <w:color w:val="auto"/>
        </w:rPr>
      </w:pPr>
    </w:p>
    <w:p>
      <w:pPr>
        <w:ind w:right="180" w:firstLine="432"/>
        <w:spacing w:after="0" w:line="27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63" w:lineRule="exact"/>
        <w:rPr>
          <w:sz w:val="20"/>
          <w:szCs w:val="20"/>
          <w:color w:val="auto"/>
        </w:rPr>
      </w:pPr>
    </w:p>
    <w:p>
      <w:pPr>
        <w:ind w:right="40" w:firstLine="432"/>
        <w:spacing w:after="0" w:line="27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Subject to Section 5.3 of the Plan, the Option may not be exercised to any extent by anyone after, and will expire on, the first of the following to occur:</w:t>
      </w:r>
    </w:p>
    <w:p>
      <w:pPr>
        <w:spacing w:after="0" w:line="57" w:lineRule="exact"/>
        <w:rPr>
          <w:sz w:val="20"/>
          <w:szCs w:val="20"/>
          <w:color w:val="auto"/>
        </w:rPr>
      </w:pPr>
    </w:p>
    <w:p>
      <w:pPr>
        <w:ind w:left="1220" w:hanging="249"/>
        <w:spacing w:after="0"/>
        <w:tabs>
          <w:tab w:leader="none" w:pos="12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expiration date in the Grant Notice, which shall in no event be more than ten (10) years from the Grant Date;</w:t>
      </w:r>
    </w:p>
    <w:p>
      <w:pPr>
        <w:spacing w:after="0" w:line="217" w:lineRule="exact"/>
        <w:rPr>
          <w:rFonts w:ascii="Times New Roman" w:cs="Times New Roman" w:eastAsia="Times New Roman" w:hAnsi="Times New Roman"/>
          <w:sz w:val="18"/>
          <w:szCs w:val="18"/>
          <w:color w:val="auto"/>
        </w:rPr>
      </w:pPr>
    </w:p>
    <w:p>
      <w:pPr>
        <w:ind w:right="220" w:firstLine="971"/>
        <w:spacing w:after="0" w:line="274" w:lineRule="auto"/>
        <w:tabs>
          <w:tab w:leader="none" w:pos="1223"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Option is designated as an Incentive Stock Option and the Participant, at the time the Option was granted, was a Greater Than 10% Stockholder, the expiration of five (5) years from the Grant Date;</w:t>
      </w:r>
    </w:p>
    <w:p>
      <w:pPr>
        <w:spacing w:after="0" w:line="163" w:lineRule="exact"/>
        <w:rPr>
          <w:rFonts w:ascii="Times New Roman" w:cs="Times New Roman" w:eastAsia="Times New Roman" w:hAnsi="Times New Roman"/>
          <w:sz w:val="18"/>
          <w:szCs w:val="18"/>
          <w:color w:val="auto"/>
        </w:rPr>
      </w:pPr>
    </w:p>
    <w:p>
      <w:pPr>
        <w:ind w:right="260" w:firstLine="971"/>
        <w:spacing w:after="0" w:line="274" w:lineRule="auto"/>
        <w:tabs>
          <w:tab w:leader="none" w:pos="1213"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63" w:lineRule="exact"/>
        <w:rPr>
          <w:rFonts w:ascii="Times New Roman" w:cs="Times New Roman" w:eastAsia="Times New Roman" w:hAnsi="Times New Roman"/>
          <w:sz w:val="18"/>
          <w:szCs w:val="18"/>
          <w:color w:val="auto"/>
        </w:rPr>
      </w:pPr>
    </w:p>
    <w:p>
      <w:pPr>
        <w:ind w:right="560" w:firstLine="971"/>
        <w:spacing w:after="0" w:line="274" w:lineRule="auto"/>
        <w:tabs>
          <w:tab w:leader="none" w:pos="1223"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one (1) year from the date of Participant’s Termination of Service by reason of Participant’s death or Disability;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800"/>
          </w:cols>
          <w:pgMar w:left="540" w:top="265" w:right="559" w:bottom="1440" w:gutter="0" w:footer="0" w:header="0"/>
        </w:sectPr>
      </w:pPr>
    </w:p>
    <w:bookmarkStart w:id="396" w:name="page397"/>
    <w:bookmarkEnd w:id="396"/>
    <w:p>
      <w:pPr>
        <w:ind w:left="1222" w:hanging="249"/>
        <w:spacing w:after="0"/>
        <w:tabs>
          <w:tab w:leader="none" w:pos="1222"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Except as the Administrator may otherwise approve, the date of Participant’s Termination of Service for Cause; and</w:t>
      </w:r>
    </w:p>
    <w:p>
      <w:pPr>
        <w:spacing w:after="0" w:line="217" w:lineRule="exact"/>
        <w:rPr>
          <w:rFonts w:ascii="Times New Roman" w:cs="Times New Roman" w:eastAsia="Times New Roman" w:hAnsi="Times New Roman"/>
          <w:sz w:val="18"/>
          <w:szCs w:val="18"/>
          <w:color w:val="auto"/>
        </w:rPr>
      </w:pPr>
    </w:p>
    <w:p>
      <w:pPr>
        <w:ind w:left="1202" w:hanging="229"/>
        <w:spacing w:after="0"/>
        <w:tabs>
          <w:tab w:leader="none" w:pos="1202"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clauses (c) or (d) above, with respect to any unvested portion of the Option, the date that is thirty</w:t>
      </w:r>
    </w:p>
    <w:p>
      <w:pPr>
        <w:spacing w:after="0" w:line="24" w:lineRule="exact"/>
        <w:rPr>
          <w:rFonts w:ascii="Times New Roman" w:cs="Times New Roman" w:eastAsia="Times New Roman" w:hAnsi="Times New Roman"/>
          <w:sz w:val="18"/>
          <w:szCs w:val="18"/>
          <w:color w:val="auto"/>
        </w:rPr>
      </w:pPr>
    </w:p>
    <w:p>
      <w:pPr>
        <w:ind w:left="2" w:right="180" w:hanging="2"/>
        <w:spacing w:after="0" w:line="251" w:lineRule="auto"/>
        <w:tabs>
          <w:tab w:leader="none" w:pos="3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Participant’s Termination of Service by reason of Participant’s death or Disability, or such shorter period as may be determined by the Administrator.</w:t>
      </w:r>
    </w:p>
    <w:p>
      <w:pPr>
        <w:spacing w:after="0" w:line="39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198" w:lineRule="exact"/>
        <w:rPr>
          <w:sz w:val="20"/>
          <w:szCs w:val="20"/>
          <w:color w:val="auto"/>
        </w:rPr>
      </w:pPr>
    </w:p>
    <w:p>
      <w:pPr>
        <w:ind w:left="2" w:right="260" w:firstLine="432"/>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Person Eligible to Exercise</w:t>
      </w:r>
      <w:r>
        <w:rPr>
          <w:rFonts w:ascii="Times New Roman" w:cs="Times New Roman" w:eastAsia="Times New Roman" w:hAnsi="Times New Roman"/>
          <w:sz w:val="18"/>
          <w:szCs w:val="18"/>
          <w:color w:val="auto"/>
        </w:rPr>
        <w:t>. During Participant’s lifetime, only Participant may exercise the Option, unless it has been disposed of, with the consent of the Administrator, pursuant to a domestic relations order. After Participant’s death, any exercisable portion of the Option may, prior to the time when the Option becomes unexercisable under Section 2.3 hereof, be exercised by the Participant’s Designated Beneficiary or by any person empowered to do so under the deceased Participant’s will or under the then Applicable Laws of descent and distribution.</w:t>
      </w:r>
    </w:p>
    <w:p>
      <w:pPr>
        <w:spacing w:after="0" w:line="180" w:lineRule="exact"/>
        <w:rPr>
          <w:sz w:val="20"/>
          <w:szCs w:val="20"/>
          <w:color w:val="auto"/>
        </w:rPr>
      </w:pPr>
    </w:p>
    <w:p>
      <w:pPr>
        <w:jc w:val="both"/>
        <w:ind w:left="2" w:right="180" w:firstLine="432"/>
        <w:spacing w:after="0" w:line="25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The Option, or any exercisable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2.3, except that the Option may only be exercised for whole Shares:</w:t>
      </w:r>
    </w:p>
    <w:p>
      <w:pPr>
        <w:spacing w:after="0" w:line="176" w:lineRule="exact"/>
        <w:rPr>
          <w:sz w:val="20"/>
          <w:szCs w:val="20"/>
          <w:color w:val="auto"/>
        </w:rPr>
      </w:pPr>
    </w:p>
    <w:p>
      <w:pPr>
        <w:ind w:left="2" w:firstLine="971"/>
        <w:spacing w:after="0" w:line="256" w:lineRule="auto"/>
        <w:tabs>
          <w:tab w:leader="none" w:pos="121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exercise notice in substantially in the form attached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to the Grant Notice (or such other form as is prescribed by the Administrator, which may be an electronic form) (the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signed by Participant or any other person then entitled to exercise the Option or portion thereof, stating that the Option or portion thereof is thereby exercised, such Exercise Notice complying with all applicable rules established by the Administrator; and</w:t>
      </w:r>
    </w:p>
    <w:p>
      <w:pPr>
        <w:spacing w:after="0" w:line="178" w:lineRule="exact"/>
        <w:rPr>
          <w:rFonts w:ascii="Times New Roman" w:cs="Times New Roman" w:eastAsia="Times New Roman" w:hAnsi="Times New Roman"/>
          <w:sz w:val="18"/>
          <w:szCs w:val="18"/>
          <w:color w:val="auto"/>
        </w:rPr>
      </w:pPr>
    </w:p>
    <w:p>
      <w:pPr>
        <w:ind w:left="2" w:right="180" w:firstLine="971"/>
        <w:spacing w:after="0" w:line="274" w:lineRule="auto"/>
        <w:tabs>
          <w:tab w:leader="none" w:pos="122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5.5 of the Plan, full payment for the Shares with respect to which the Option or portion thereof is exercised, which payment may be made by Participant, by:</w:t>
      </w:r>
    </w:p>
    <w:p>
      <w:pPr>
        <w:spacing w:after="0" w:line="57" w:lineRule="exact"/>
        <w:rPr>
          <w:rFonts w:ascii="Times New Roman" w:cs="Times New Roman" w:eastAsia="Times New Roman" w:hAnsi="Times New Roman"/>
          <w:sz w:val="18"/>
          <w:szCs w:val="18"/>
          <w:color w:val="auto"/>
        </w:rPr>
      </w:pPr>
    </w:p>
    <w:p>
      <w:pPr>
        <w:ind w:left="1582" w:hanging="216"/>
        <w:spacing w:after="0"/>
        <w:tabs>
          <w:tab w:leader="none" w:pos="1582"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check, payable to the order of the Company; or</w:t>
      </w:r>
    </w:p>
    <w:p>
      <w:pPr>
        <w:spacing w:after="0" w:line="111" w:lineRule="exact"/>
        <w:rPr>
          <w:rFonts w:ascii="Times New Roman" w:cs="Times New Roman" w:eastAsia="Times New Roman" w:hAnsi="Times New Roman"/>
          <w:sz w:val="18"/>
          <w:szCs w:val="18"/>
          <w:color w:val="auto"/>
        </w:rPr>
      </w:pPr>
    </w:p>
    <w:p>
      <w:pPr>
        <w:ind w:left="442" w:right="300" w:firstLine="924"/>
        <w:spacing w:after="0" w:line="274" w:lineRule="auto"/>
        <w:tabs>
          <w:tab w:leader="none" w:pos="163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surrender to or withholding by the Company of a net number of vested Shares issuable upon the exercise of the Option valued at their fair market value; or</w:t>
      </w:r>
    </w:p>
    <w:p>
      <w:pPr>
        <w:spacing w:after="0" w:line="57" w:lineRule="exact"/>
        <w:rPr>
          <w:rFonts w:ascii="Times New Roman" w:cs="Times New Roman" w:eastAsia="Times New Roman" w:hAnsi="Times New Roman"/>
          <w:sz w:val="18"/>
          <w:szCs w:val="18"/>
          <w:color w:val="auto"/>
        </w:rPr>
      </w:pPr>
    </w:p>
    <w:p>
      <w:pPr>
        <w:ind w:left="442" w:right="20" w:firstLine="924"/>
        <w:spacing w:after="0" w:line="274" w:lineRule="auto"/>
        <w:tabs>
          <w:tab w:leader="none" w:pos="1685"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delivery (either by actual delivery or attestation) of Shares owned by Participant valued at their fair market value; or</w:t>
      </w:r>
    </w:p>
    <w:p>
      <w:pPr>
        <w:spacing w:after="0" w:line="57" w:lineRule="exact"/>
        <w:rPr>
          <w:rFonts w:ascii="Times New Roman" w:cs="Times New Roman" w:eastAsia="Times New Roman" w:hAnsi="Times New Roman"/>
          <w:sz w:val="18"/>
          <w:szCs w:val="18"/>
          <w:color w:val="auto"/>
        </w:rPr>
      </w:pPr>
    </w:p>
    <w:p>
      <w:pPr>
        <w:ind w:left="442" w:right="80" w:firstLine="924"/>
        <w:spacing w:after="0" w:line="251" w:lineRule="auto"/>
        <w:tabs>
          <w:tab w:leader="none" w:pos="1675"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the Shares at the time of exercise, unless the Company or the Administrator otherwise determines, through the (A) delivery (including electronically or telephonically to the extent permitted by the Company) of an irrevocable and unconditional undertaking by a broker acceptable to the Company to deliver promptly to the Company sufficient funds to pay the exercise price, or (B) delivery by the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 or</w:t>
      </w:r>
    </w:p>
    <w:p>
      <w:pPr>
        <w:spacing w:after="0" w:line="1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802"/>
          </w:cols>
          <w:pgMar w:left="538" w:top="267" w:right="559" w:bottom="1440" w:gutter="0" w:footer="0" w:header="0"/>
        </w:sectPr>
      </w:pPr>
    </w:p>
    <w:bookmarkStart w:id="397" w:name="page398"/>
    <w:bookmarkEnd w:id="397"/>
    <w:p>
      <w:pPr>
        <w:ind w:left="1580" w:hanging="256"/>
        <w:spacing w:after="0"/>
        <w:tabs>
          <w:tab w:leader="none" w:pos="158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With the consent of the Administrator, any other form of payment permitted under Section 5.5 of the Plan; or</w:t>
      </w:r>
    </w:p>
    <w:p>
      <w:pPr>
        <w:spacing w:after="0" w:line="111" w:lineRule="exact"/>
        <w:rPr>
          <w:rFonts w:ascii="Times New Roman" w:cs="Times New Roman" w:eastAsia="Times New Roman" w:hAnsi="Times New Roman"/>
          <w:sz w:val="18"/>
          <w:szCs w:val="18"/>
          <w:color w:val="auto"/>
        </w:rPr>
      </w:pPr>
    </w:p>
    <w:p>
      <w:pPr>
        <w:ind w:left="1620" w:hanging="296"/>
        <w:spacing w:after="0"/>
        <w:tabs>
          <w:tab w:leader="none" w:pos="16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 permitted forms of payment; and</w:t>
      </w:r>
    </w:p>
    <w:p>
      <w:pPr>
        <w:spacing w:after="0" w:line="217" w:lineRule="exact"/>
        <w:rPr>
          <w:rFonts w:ascii="Times New Roman" w:cs="Times New Roman" w:eastAsia="Times New Roman" w:hAnsi="Times New Roman"/>
          <w:sz w:val="18"/>
          <w:szCs w:val="18"/>
          <w:color w:val="auto"/>
        </w:rPr>
      </w:pPr>
    </w:p>
    <w:p>
      <w:pPr>
        <w:ind w:left="-40" w:right="360" w:firstLine="971"/>
        <w:spacing w:after="0" w:line="274" w:lineRule="auto"/>
        <w:tabs>
          <w:tab w:leader="none" w:pos="117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9.5 of the Plan, full payment for any applicable Tax Withholding Obligation (as defined below) in such form as permitted by the Plan; and</w:t>
      </w:r>
    </w:p>
    <w:p>
      <w:pPr>
        <w:spacing w:after="0" w:line="163" w:lineRule="exact"/>
        <w:rPr>
          <w:rFonts w:ascii="Times New Roman" w:cs="Times New Roman" w:eastAsia="Times New Roman" w:hAnsi="Times New Roman"/>
          <w:sz w:val="18"/>
          <w:szCs w:val="18"/>
          <w:color w:val="auto"/>
        </w:rPr>
      </w:pPr>
    </w:p>
    <w:p>
      <w:pPr>
        <w:ind w:left="-40" w:right="240" w:firstLine="971"/>
        <w:spacing w:after="0" w:line="274" w:lineRule="auto"/>
        <w:tabs>
          <w:tab w:leader="none" w:pos="118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Option or portion thereof shall be exercised pursuant to Section 3.1 by any person or persons other than Participant, appropriate proof of the right of such person or persons to exercise the Option.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Taxes; Tax Withholding</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40" w:firstLine="971"/>
        <w:spacing w:after="0" w:line="250" w:lineRule="auto"/>
        <w:tabs>
          <w:tab w:leader="none" w:pos="117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obligated to deliver any certificate representing Shares issuable with respect to the Option to Participant or his or her legal representative unless and until Participant or his or her legal representative shall have paid or otherwise satisfied in full the amount of all federal, state, local and foreign taxes required by Applicable Law to be withheld in connection with the vesting, exercise or settlement of the Option, the distribution of the Shares issuable with respect thereto, or any other taxable event related to the Option (the “</w:t>
      </w:r>
      <w:r>
        <w:rPr>
          <w:rFonts w:ascii="Times New Roman" w:cs="Times New Roman" w:eastAsia="Times New Roman" w:hAnsi="Times New Roman"/>
          <w:sz w:val="18"/>
          <w:szCs w:val="18"/>
          <w:b w:val="1"/>
          <w:bCs w:val="1"/>
          <w:i w:val="1"/>
          <w:iCs w:val="1"/>
          <w:color w:val="auto"/>
        </w:rPr>
        <w:t>Tax Withholding Obligation</w:t>
      </w:r>
      <w:r>
        <w:rPr>
          <w:rFonts w:ascii="Times New Roman" w:cs="Times New Roman" w:eastAsia="Times New Roman" w:hAnsi="Times New Roman"/>
          <w:sz w:val="18"/>
          <w:szCs w:val="18"/>
          <w:color w:val="auto"/>
        </w:rPr>
        <w:t>”). The Company shall have the authority and the right to deduct or withhold, or require Participant to remit to the Company, an amount sufficient to satisfy any Tax Withholding Obligation, including, without limitation, the authority to deduct such amounts from other compensation payable to Participant by the Company.</w:t>
      </w:r>
    </w:p>
    <w:p>
      <w:pPr>
        <w:spacing w:after="0" w:line="186" w:lineRule="exact"/>
        <w:rPr>
          <w:rFonts w:ascii="Times New Roman" w:cs="Times New Roman" w:eastAsia="Times New Roman" w:hAnsi="Times New Roman"/>
          <w:sz w:val="18"/>
          <w:szCs w:val="18"/>
          <w:color w:val="auto"/>
        </w:rPr>
      </w:pPr>
    </w:p>
    <w:p>
      <w:pPr>
        <w:ind w:left="-40" w:right="20" w:firstLine="971"/>
        <w:spacing w:after="0" w:line="252" w:lineRule="auto"/>
        <w:tabs>
          <w:tab w:leader="none" w:pos="118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tax treatment to Participant in connection with the awarding, vesting or exercise of the Option or the subsequent sale of Shares. The Company and its Subsidiaries do not commit and are under no obligation to structure the Option to reduce or eliminate Participant’s tax liability.</w:t>
      </w:r>
    </w:p>
    <w:p>
      <w:pPr>
        <w:spacing w:after="0" w:line="185" w:lineRule="exact"/>
        <w:rPr>
          <w:rFonts w:ascii="Times New Roman" w:cs="Times New Roman" w:eastAsia="Times New Roman" w:hAnsi="Times New Roman"/>
          <w:sz w:val="18"/>
          <w:szCs w:val="18"/>
          <w:color w:val="auto"/>
        </w:rPr>
      </w:pPr>
    </w:p>
    <w:p>
      <w:pPr>
        <w:ind w:left="-40" w:right="220" w:firstLine="971"/>
        <w:spacing w:after="0" w:line="259" w:lineRule="auto"/>
        <w:tabs>
          <w:tab w:leader="none" w:pos="117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and/or any of its agents.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PARTICIPANT REPRESENTATIONS</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connection with the award of the Option, Participant represents to the Company the following:</w:t>
      </w:r>
    </w:p>
    <w:p>
      <w:pPr>
        <w:spacing w:after="0" w:line="217" w:lineRule="exact"/>
        <w:rPr>
          <w:sz w:val="20"/>
          <w:szCs w:val="20"/>
          <w:color w:val="auto"/>
        </w:rPr>
      </w:pPr>
    </w:p>
    <w:p>
      <w:pPr>
        <w:ind w:left="-40" w:right="160" w:firstLine="971"/>
        <w:spacing w:after="0" w:line="255" w:lineRule="auto"/>
        <w:tabs>
          <w:tab w:leader="none" w:pos="117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aware of the Company’s business affairs and financial condition and has acquired sufficient information about the Company to reach an informed and knowledgeable decision to acquire the Shares issuable upon exercise of the Options. Participant is acquiring these Shares for investment for Participant’s own account only and not with a view to, or for resale in connection with, any “distribution” thereof within the meaning of the Securities Act.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720"/>
          </w:cols>
          <w:pgMar w:left="580" w:top="266" w:right="599" w:bottom="1440" w:gutter="0" w:footer="0" w:header="0"/>
        </w:sectPr>
      </w:pPr>
    </w:p>
    <w:bookmarkStart w:id="398" w:name="page399"/>
    <w:bookmarkEnd w:id="398"/>
    <w:p>
      <w:pPr>
        <w:ind w:firstLine="971"/>
        <w:spacing w:after="0" w:line="250" w:lineRule="auto"/>
        <w:tabs>
          <w:tab w:leader="none" w:pos="122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Participant acknowledges and understands that the Shares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Participant further understands that the Shares must be held indefinitely unless they are subsequently registered under the Securities Act or an exemption from such registration is available. Participant further acknowledges and understands that the Company is under no obligation to register the Shares. Participant understands that the certificate evidencing the Shares may be imprinted with a legend which prohibits the transfer of the Shares unless they are registered or such registration is not required in the opinion of counsel satisfactory to the Company and any other legend required under Applicable Laws.</w:t>
      </w:r>
    </w:p>
    <w:p>
      <w:pPr>
        <w:spacing w:after="0" w:line="186" w:lineRule="exact"/>
        <w:rPr>
          <w:rFonts w:ascii="Times New Roman" w:cs="Times New Roman" w:eastAsia="Times New Roman" w:hAnsi="Times New Roman"/>
          <w:sz w:val="18"/>
          <w:szCs w:val="18"/>
          <w:color w:val="auto"/>
        </w:rPr>
      </w:pPr>
    </w:p>
    <w:p>
      <w:pPr>
        <w:ind w:right="80" w:firstLine="971"/>
        <w:spacing w:after="0" w:line="252" w:lineRule="auto"/>
        <w:tabs>
          <w:tab w:leader="none" w:pos="121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In the event the Company becomes subject to the reporting requirements of Section 13 or 15(d) of the Exchange Act, ninety (90) days thereafter (or such longer period as any market stand-off agreement may require) the Shares exempt under Rule 701 may under present law be resold, subject to the satisfaction of certain of the conditions specified by Rule 144.</w:t>
      </w:r>
    </w:p>
    <w:p>
      <w:pPr>
        <w:spacing w:after="0" w:line="185" w:lineRule="exact"/>
        <w:rPr>
          <w:rFonts w:ascii="Times New Roman" w:cs="Times New Roman" w:eastAsia="Times New Roman" w:hAnsi="Times New Roman"/>
          <w:sz w:val="18"/>
          <w:szCs w:val="18"/>
          <w:color w:val="auto"/>
        </w:rPr>
      </w:pPr>
    </w:p>
    <w:p>
      <w:pPr>
        <w:ind w:right="120" w:firstLine="971"/>
        <w:spacing w:after="0" w:line="274" w:lineRule="auto"/>
        <w:tabs>
          <w:tab w:leader="none" w:pos="122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qualify under Rule 701 at the time of purchase of the Shares, then the Shares may be resold in certain limited circumstances subject to the provisions of Rule 144.</w:t>
      </w:r>
    </w:p>
    <w:p>
      <w:pPr>
        <w:spacing w:after="0" w:line="163" w:lineRule="exact"/>
        <w:rPr>
          <w:rFonts w:ascii="Times New Roman" w:cs="Times New Roman" w:eastAsia="Times New Roman" w:hAnsi="Times New Roman"/>
          <w:sz w:val="18"/>
          <w:szCs w:val="18"/>
          <w:color w:val="auto"/>
        </w:rPr>
      </w:pPr>
    </w:p>
    <w:p>
      <w:pPr>
        <w:ind w:firstLine="971"/>
        <w:spacing w:after="0" w:line="250" w:lineRule="auto"/>
        <w:tabs>
          <w:tab w:leader="none" w:pos="121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will be available in such event.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98" w:lineRule="exact"/>
        <w:rPr>
          <w:sz w:val="20"/>
          <w:szCs w:val="20"/>
          <w:color w:val="auto"/>
        </w:rPr>
      </w:pPr>
    </w:p>
    <w:p>
      <w:pPr>
        <w:ind w:right="140" w:firstLine="432"/>
        <w:spacing w:after="0" w:line="274"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Award Not Transferable; Other Restrictions</w:t>
      </w:r>
      <w:r>
        <w:rPr>
          <w:rFonts w:ascii="Times New Roman" w:cs="Times New Roman" w:eastAsia="Times New Roman" w:hAnsi="Times New Roman"/>
          <w:sz w:val="17"/>
          <w:szCs w:val="17"/>
          <w:color w:val="auto"/>
        </w:rPr>
        <w:t>. Without limiting the generality of any other provision hereof, the Award shall be subject to the restrictions on transferability set forth in Section 9.1 of the Plan. Without limiting the generality of any other provision hereof, the Participant hereby expressly acknowledges that Section 10.8 (“</w:t>
      </w:r>
      <w:r>
        <w:rPr>
          <w:rFonts w:ascii="Times New Roman" w:cs="Times New Roman" w:eastAsia="Times New Roman" w:hAnsi="Times New Roman"/>
          <w:sz w:val="17"/>
          <w:szCs w:val="17"/>
          <w:i w:val="1"/>
          <w:iCs w:val="1"/>
          <w:color w:val="auto"/>
        </w:rPr>
        <w:t>Lock-Up Period</w:t>
      </w:r>
      <w:r>
        <w:rPr>
          <w:rFonts w:ascii="Times New Roman" w:cs="Times New Roman" w:eastAsia="Times New Roman" w:hAnsi="Times New Roman"/>
          <w:sz w:val="17"/>
          <w:szCs w:val="17"/>
          <w:color w:val="auto"/>
        </w:rPr>
        <w:t>”), Section 10.9 (“</w:t>
      </w:r>
      <w:r>
        <w:rPr>
          <w:rFonts w:ascii="Times New Roman" w:cs="Times New Roman" w:eastAsia="Times New Roman" w:hAnsi="Times New Roman"/>
          <w:sz w:val="17"/>
          <w:szCs w:val="17"/>
          <w:i w:val="1"/>
          <w:iCs w:val="1"/>
          <w:color w:val="auto"/>
        </w:rPr>
        <w:t>Right of First Refusal</w:t>
      </w:r>
      <w:r>
        <w:rPr>
          <w:rFonts w:ascii="Times New Roman" w:cs="Times New Roman" w:eastAsia="Times New Roman" w:hAnsi="Times New Roman"/>
          <w:sz w:val="17"/>
          <w:szCs w:val="17"/>
          <w:color w:val="auto"/>
        </w:rPr>
        <w:t>”) and Section 10.14 (“</w:t>
      </w:r>
      <w:r>
        <w:rPr>
          <w:rFonts w:ascii="Times New Roman" w:cs="Times New Roman" w:eastAsia="Times New Roman" w:hAnsi="Times New Roman"/>
          <w:sz w:val="17"/>
          <w:szCs w:val="17"/>
          <w:i w:val="1"/>
          <w:iCs w:val="1"/>
          <w:color w:val="auto"/>
        </w:rPr>
        <w:t>Restrictions on Shares;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Claw-Back Provisions</w:t>
      </w:r>
      <w:r>
        <w:rPr>
          <w:rFonts w:ascii="Times New Roman" w:cs="Times New Roman" w:eastAsia="Times New Roman" w:hAnsi="Times New Roman"/>
          <w:sz w:val="17"/>
          <w:szCs w:val="17"/>
          <w:color w:val="auto"/>
        </w:rPr>
        <w:t>”) of the Plan are expressly incorporated into this Agreement and are applicable to the Shares issued pursuant to this Agreement.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800"/>
          </w:cols>
          <w:pgMar w:left="540" w:top="267" w:right="559" w:bottom="1440" w:gutter="0" w:footer="0" w:header="0"/>
        </w:sectPr>
      </w:pPr>
    </w:p>
    <w:bookmarkStart w:id="399" w:name="page400"/>
    <w:bookmarkEnd w:id="39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Restrictive Legends and Stop Transfer Orders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40" w:firstLine="971"/>
        <w:spacing w:after="0" w:line="259" w:lineRule="auto"/>
        <w:tabs>
          <w:tab w:leader="none" w:pos="121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Participant understands and agrees that the Company shall cause the legends set forth below or legends substantially equivalent thereto, to be placed upon any certificate(s) evidencing ownership of the Shares together with any other legends that may be required by state or federal securities laws:</w:t>
      </w:r>
    </w:p>
    <w:p>
      <w:pPr>
        <w:spacing w:after="0" w:line="72" w:lineRule="exact"/>
        <w:rPr>
          <w:sz w:val="20"/>
          <w:szCs w:val="20"/>
          <w:color w:val="auto"/>
        </w:rPr>
      </w:pPr>
    </w:p>
    <w:p>
      <w:pPr>
        <w:ind w:left="440" w:right="140"/>
        <w:spacing w:after="0" w:line="250"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OR DISTRIBUTION THEREOF. THE SECURITIES REPRESENTED HEREBY HAVE NOT BEEN REGISTERED UNDER THE SECURITIES ACT OF 1933 (THE “ACT”) OR ANY APPLICABLE STATE SECURITIES LAWS AND MAY NOT BE OFFERED, SOLD OR OTHERWISE TRANSFERRED, PLEDGED OR HYPOTHECATED UNLESS AND UNTIL REGISTERED UNDER THE ACT AND SUCH LAWS OR, IN THE OPINION OF COUNSEL IN FORM AND SUBSTANCE SATISFACTORY TO THE ISSUER OF THESE SECURITIES, SUCH OFFER, SALE OR TRANSFER, PLEDGE OR HYPOTHECATION IS IN COMPLIANCE THEREWITH.</w:t>
      </w:r>
    </w:p>
    <w:p>
      <w:pPr>
        <w:spacing w:after="0" w:line="81" w:lineRule="exact"/>
        <w:rPr>
          <w:sz w:val="20"/>
          <w:szCs w:val="20"/>
          <w:color w:val="auto"/>
        </w:rPr>
      </w:pPr>
    </w:p>
    <w:p>
      <w:pPr>
        <w:ind w:left="440"/>
        <w:spacing w:after="0" w:line="271" w:lineRule="auto"/>
        <w:rPr>
          <w:sz w:val="20"/>
          <w:szCs w:val="20"/>
          <w:color w:val="auto"/>
        </w:rPr>
      </w:pPr>
      <w:r>
        <w:rPr>
          <w:rFonts w:ascii="Times New Roman" w:cs="Times New Roman" w:eastAsia="Times New Roman" w:hAnsi="Times New Roman"/>
          <w:sz w:val="17"/>
          <w:szCs w:val="17"/>
          <w:color w:val="auto"/>
        </w:rPr>
        <w:t>THE SHARES REPRESENTED BY THIS CERTIFICATE ARE SUBJECT TO CERTAIN REPURCHASE RIGHTS, FORFEITURE PROVISIONS, TRANSFER RESTRICTIONS AND A RIGHT OF FIRST REFUSAL HELD BY THE ISSUER OR ITS ASSIGNEE(S), AS SET FORTH IN A STOCK OPTION AGREEMENT BETWEEN THE ISSUER AND THE ORIGINAL HOLDER OF THESE SHARES, COPIES OF WHICH MAY BE OBTAINED AT THE PRINCIPAL OFFICE OF THE ISSUER. SUCH REPURCHASE RIGHTS, FORFEITURE PROVISIONS, TRANSFER RESTRICTIONS AND RIGHT OF FIRST REFUSAL ARE BINDING ON TRANSFEREES OF THESE SHARES.</w:t>
      </w:r>
    </w:p>
    <w:p>
      <w:pPr>
        <w:spacing w:after="0" w:line="168" w:lineRule="exact"/>
        <w:rPr>
          <w:sz w:val="20"/>
          <w:szCs w:val="20"/>
          <w:color w:val="auto"/>
        </w:rPr>
      </w:pPr>
    </w:p>
    <w:p>
      <w:pPr>
        <w:ind w:right="120" w:firstLine="971"/>
        <w:spacing w:after="0" w:line="259" w:lineRule="auto"/>
        <w:tabs>
          <w:tab w:leader="none" w:pos="122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Transfer Notices</w:t>
      </w:r>
      <w:r>
        <w:rPr>
          <w:rFonts w:ascii="Times New Roman" w:cs="Times New Roman" w:eastAsia="Times New Roman" w:hAnsi="Times New Roman"/>
          <w:sz w:val="18"/>
          <w:szCs w:val="18"/>
          <w:color w:val="auto"/>
        </w:rPr>
        <w:t>. The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7" w:lineRule="exact"/>
        <w:rPr>
          <w:rFonts w:ascii="Times New Roman" w:cs="Times New Roman" w:eastAsia="Times New Roman" w:hAnsi="Times New Roman"/>
          <w:sz w:val="18"/>
          <w:szCs w:val="18"/>
          <w:color w:val="auto"/>
        </w:rPr>
      </w:pPr>
    </w:p>
    <w:p>
      <w:pPr>
        <w:ind w:right="120" w:firstLine="971"/>
        <w:spacing w:after="0" w:line="259" w:lineRule="auto"/>
        <w:tabs>
          <w:tab w:leader="none" w:pos="121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77" w:lineRule="exact"/>
        <w:rPr>
          <w:rFonts w:ascii="Times New Roman" w:cs="Times New Roman" w:eastAsia="Times New Roman" w:hAnsi="Times New Roman"/>
          <w:sz w:val="18"/>
          <w:szCs w:val="18"/>
          <w:color w:val="auto"/>
        </w:rPr>
      </w:pPr>
    </w:p>
    <w:p>
      <w:pPr>
        <w:ind w:right="80" w:firstLine="971"/>
        <w:spacing w:after="0" w:line="251" w:lineRule="auto"/>
        <w:tabs>
          <w:tab w:leader="none" w:pos="122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 on Transfer</w:t>
      </w:r>
      <w:r>
        <w:rPr>
          <w:rFonts w:ascii="Times New Roman" w:cs="Times New Roman" w:eastAsia="Times New Roman" w:hAnsi="Times New Roman"/>
          <w:sz w:val="18"/>
          <w:szCs w:val="18"/>
          <w:color w:val="auto"/>
        </w:rPr>
        <w:t>. In addition to the limitations contained in Section 5.1 above and this Section 5.2, the Participant agrees and acknowledges that Participant will not transfer in any manner the Shares issued pursuant to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85" w:lineRule="exact"/>
        <w:rPr>
          <w:sz w:val="20"/>
          <w:szCs w:val="20"/>
          <w:color w:val="auto"/>
        </w:rPr>
      </w:pPr>
    </w:p>
    <w:p>
      <w:pPr>
        <w:ind w:right="100" w:firstLine="432"/>
        <w:spacing w:after="0" w:line="27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Option is subject to adjustment, modification and termination in certain events as provided in this Agreement and the Plan.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800"/>
          </w:cols>
          <w:pgMar w:left="540" w:top="267" w:right="559" w:bottom="1440" w:gutter="0" w:footer="0" w:header="0"/>
        </w:sectPr>
      </w:pPr>
    </w:p>
    <w:bookmarkStart w:id="400" w:name="page401"/>
    <w:bookmarkEnd w:id="400"/>
    <w:p>
      <w:pPr>
        <w:ind w:right="20" w:firstLine="432"/>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17" w:lineRule="exact"/>
        <w:rPr>
          <w:sz w:val="20"/>
          <w:szCs w:val="20"/>
          <w:color w:val="auto"/>
        </w:rPr>
      </w:pPr>
    </w:p>
    <w:p>
      <w:pPr>
        <w:ind w:right="160" w:firstLine="432"/>
        <w:spacing w:after="0" w:line="25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Participant acknowledges that the Plan, the Grant Notice and this Agreement are intended to conform to the extent necessary with all Applicable Laws and, to the extent Applicable Laws permit, will be deemed amended to the extent necessary to conform to such Applicable Laws or any such exemptive rule described in the preceding sentence.</w:t>
      </w:r>
    </w:p>
    <w:p>
      <w:pPr>
        <w:spacing w:after="0" w:line="185" w:lineRule="exact"/>
        <w:rPr>
          <w:sz w:val="20"/>
          <w:szCs w:val="20"/>
          <w:color w:val="auto"/>
        </w:rPr>
      </w:pPr>
    </w:p>
    <w:p>
      <w:pPr>
        <w:jc w:val="both"/>
        <w:ind w:right="40" w:firstLine="432"/>
        <w:spacing w:after="0" w:line="259"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in the Plan, this Agreement shall be binding upon and inure to the benefit of the heirs, legatees, legal representatives, successors and assigns of the parties hereto.</w:t>
      </w:r>
    </w:p>
    <w:p>
      <w:pPr>
        <w:spacing w:after="0" w:line="178" w:lineRule="exact"/>
        <w:rPr>
          <w:sz w:val="20"/>
          <w:szCs w:val="20"/>
          <w:color w:val="auto"/>
        </w:rPr>
      </w:pPr>
    </w:p>
    <w:p>
      <w:pPr>
        <w:ind w:right="40" w:firstLine="432"/>
        <w:spacing w:after="0" w:line="250"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constitute the entire agreement of the parties and supersede in their entirety all prior undertakings and agreements of the Company and Participant with respect to the subject matter hereof. Participant hereby agrees to execute such further instruments and to take such further action as the Company requests to carry out the purposes and intent of this Agreement and the Plan, including, without limitation, restrictions on the transferability of the Shares, the right of the Company to repurchase the Shares pursuant to Section 10.9 of the Plan, the right of the Company to require that shares of Common Stock be transferred in the event of certain transactions, tag-along rights, bring-along rights, redemption and co-sale rights and voting requirements in accordance with the Plan. This Agreement may be amended by the Company in accordance with Section 9.6 of the Plan.</w:t>
      </w:r>
    </w:p>
    <w:p>
      <w:pPr>
        <w:spacing w:after="0" w:line="187"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8"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800"/>
          </w:cols>
          <w:pgMar w:left="540" w:top="267" w:right="559" w:bottom="1440" w:gutter="0" w:footer="0" w:header="0"/>
        </w:sectPr>
      </w:pPr>
    </w:p>
    <w:bookmarkStart w:id="401" w:name="page402"/>
    <w:bookmarkEnd w:id="401"/>
    <w:p>
      <w:pPr>
        <w:ind w:firstLine="432"/>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 The issuance of Shares under this Award to Participant shall be subject to Participant’s satisfaction of the conditions under Section 10.14 of the Plan and execution of a counterpart signature page or joinder agreeing to be subject to any stockholders agreement as the Administrator shall determine.</w:t>
      </w:r>
    </w:p>
    <w:p>
      <w:pPr>
        <w:spacing w:after="0" w:line="19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ind w:right="520" w:firstLine="432"/>
        <w:spacing w:after="0" w:line="27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63"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thereunder, including the Option, shall be governed by and interpreted in accordance with the laws of the State of Delaware, disregarding choice-of-law principles of the law of any state that would require the application of the laws of a jurisdiction other than such state.</w:t>
      </w:r>
    </w:p>
    <w:p>
      <w:pPr>
        <w:spacing w:after="0" w:line="178" w:lineRule="exact"/>
        <w:rPr>
          <w:sz w:val="20"/>
          <w:szCs w:val="20"/>
          <w:color w:val="auto"/>
        </w:rPr>
      </w:pPr>
    </w:p>
    <w:p>
      <w:pPr>
        <w:ind w:right="80" w:firstLine="432"/>
        <w:spacing w:after="0" w:line="274"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If the Option is designated as an Incentive Stock Option, the following provisions, in addition to the terms set forth in Section 5.6 of the Plan, shall apply to the Option:</w:t>
      </w:r>
    </w:p>
    <w:p>
      <w:pPr>
        <w:spacing w:after="0" w:line="57" w:lineRule="exact"/>
        <w:rPr>
          <w:sz w:val="20"/>
          <w:szCs w:val="20"/>
          <w:color w:val="auto"/>
        </w:rPr>
      </w:pPr>
    </w:p>
    <w:p>
      <w:pPr>
        <w:ind w:right="20" w:firstLine="971"/>
        <w:spacing w:after="0" w:line="248" w:lineRule="auto"/>
        <w:tabs>
          <w:tab w:leader="none" w:pos="121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acknowledges that amendments or modifications made to the Option pursuant to the Plan that would cause the Option to become a Non-Qualified Stock Option will not materially or adversely affect Participant’s rights under the Option, and that any such amendment or modification shall not require Participant’s consent. Participant also acknowledges that if the Option is exercised more than three (3) months after Participant’s Termination of Service as an Employee, other than by reason of death or Disability, the Option will be taxed as a Non-Qualified Stock Option. If the Option is an Incentive Stock Option and Participant is a Greater Than 10% Stockholder as of the Grant Date, the term of the Option will not exceed five (5) years from the Grant Date.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780"/>
          </w:cols>
          <w:pgMar w:left="540" w:top="266" w:right="579" w:bottom="1440" w:gutter="0" w:footer="0" w:header="0"/>
        </w:sectPr>
      </w:pPr>
    </w:p>
    <w:bookmarkStart w:id="402" w:name="page403"/>
    <w:bookmarkEnd w:id="402"/>
    <w:p>
      <w:pPr>
        <w:ind w:left="-100" w:firstLine="971"/>
        <w:spacing w:after="0" w:line="255" w:lineRule="auto"/>
        <w:tabs>
          <w:tab w:leader="none" w:pos="1123"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600"/>
          </w:cols>
          <w:pgMar w:left="640" w:top="267" w:right="659" w:bottom="1440" w:gutter="0" w:footer="0" w:header="0"/>
        </w:sectPr>
      </w:pPr>
    </w:p>
    <w:bookmarkStart w:id="403" w:name="page404"/>
    <w:bookmarkEnd w:id="40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B</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1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Effective as of today,         ,         , the undersigned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hereby elects to exercise Participant’s option to purchase         Shares of CG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and pursuant to the CG Oncology, Inc. 2022 Incentive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-159385</wp:posOffset>
            </wp:positionV>
            <wp:extent cx="9531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953135"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-159385</wp:posOffset>
            </wp:positionV>
            <wp:extent cx="44831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483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420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 xml:space="preserve">Grant Notice and Stock Option Agreement dated           </w:t>
            </w:r>
          </w:p>
        </w:tc>
        <w:tc>
          <w:tcPr>
            <w:tcW w:w="6540" w:type="dxa"/>
            <w:vAlign w:val="bottom"/>
            <w:gridSpan w:val="24"/>
          </w:tcPr>
          <w:p>
            <w:pPr>
              <w:spacing w:after="0" w:line="172" w:lineRule="exact"/>
              <w:rPr>
                <w:sz w:val="20"/>
                <w:szCs w:val="20"/>
                <w:color w:val="auto"/>
              </w:rPr>
            </w:pPr>
            <w:r>
              <w:rPr>
                <w:rFonts w:ascii="Times New Roman" w:cs="Times New Roman" w:eastAsia="Times New Roman" w:hAnsi="Times New Roman"/>
                <w:sz w:val="18"/>
                <w:szCs w:val="18"/>
                <w:color w:val="auto"/>
              </w:rPr>
              <w:t>, ____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Capitalized terms used herein without definition shall have the</w:t>
            </w:r>
          </w:p>
        </w:tc>
      </w:tr>
      <w:tr>
        <w:trPr>
          <w:trHeight w:val="23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meanings given in the Agreement.</w:t>
            </w:r>
          </w:p>
        </w:tc>
        <w:tc>
          <w:tcPr>
            <w:tcW w:w="70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98"/>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Shares as to which Option is Exercised:</w:t>
            </w: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80" w:type="dxa"/>
            <w:vAlign w:val="bottom"/>
          </w:tcPr>
          <w:p>
            <w:pPr>
              <w:spacing w:after="0"/>
              <w:rPr>
                <w:sz w:val="24"/>
                <w:szCs w:val="24"/>
                <w:color w:val="auto"/>
              </w:rPr>
            </w:pPr>
          </w:p>
        </w:tc>
      </w:tr>
      <w:tr>
        <w:trPr>
          <w:trHeight w:val="339"/>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c>
          <w:tcPr>
            <w:tcW w:w="1980" w:type="dxa"/>
            <w:vAlign w:val="bottom"/>
            <w:gridSpan w:val="8"/>
          </w:tcPr>
          <w:p>
            <w:pPr>
              <w:ind w:left="780"/>
              <w:spacing w:after="0"/>
              <w:rPr>
                <w:sz w:val="20"/>
                <w:szCs w:val="20"/>
                <w:color w:val="auto"/>
              </w:rPr>
            </w:pPr>
            <w:r>
              <w:rPr>
                <w:rFonts w:ascii="Times New Roman" w:cs="Times New Roman" w:eastAsia="Times New Roman" w:hAnsi="Times New Roman"/>
                <w:sz w:val="18"/>
                <w:szCs w:val="18"/>
                <w:color w:val="auto"/>
              </w:rPr>
              <w:t>$____________</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18"/>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Exercise Price:</w:t>
            </w:r>
          </w:p>
        </w:tc>
        <w:tc>
          <w:tcPr>
            <w:tcW w:w="1980" w:type="dxa"/>
            <w:vAlign w:val="bottom"/>
            <w:gridSpan w:val="8"/>
          </w:tcPr>
          <w:p>
            <w:pPr>
              <w:ind w:left="780"/>
              <w:spacing w:after="0"/>
              <w:rPr>
                <w:sz w:val="20"/>
                <w:szCs w:val="20"/>
                <w:color w:val="auto"/>
              </w:rPr>
            </w:pPr>
            <w:r>
              <w:rPr>
                <w:rFonts w:ascii="Times New Roman" w:cs="Times New Roman" w:eastAsia="Times New Roman" w:hAnsi="Times New Roman"/>
                <w:sz w:val="18"/>
                <w:szCs w:val="18"/>
                <w:color w:val="auto"/>
              </w:rPr>
              <w:t>$____________</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7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Certificate to be issued in name of:</w:t>
            </w: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80" w:type="dxa"/>
            <w:vAlign w:val="bottom"/>
          </w:tcPr>
          <w:p>
            <w:pPr>
              <w:spacing w:after="0"/>
              <w:rPr>
                <w:sz w:val="24"/>
                <w:szCs w:val="24"/>
                <w:color w:val="auto"/>
              </w:rPr>
            </w:pPr>
          </w:p>
        </w:tc>
      </w:tr>
      <w:tr>
        <w:trPr>
          <w:trHeight w:val="319"/>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Payment delivered herewith (if applicable):</w:t>
            </w:r>
          </w:p>
        </w:tc>
        <w:tc>
          <w:tcPr>
            <w:tcW w:w="780" w:type="dxa"/>
            <w:vAlign w:val="bottom"/>
          </w:tcPr>
          <w:p>
            <w:pPr>
              <w:spacing w:after="0"/>
              <w:rPr>
                <w:sz w:val="24"/>
                <w:szCs w:val="24"/>
                <w:color w:val="auto"/>
              </w:rPr>
            </w:pPr>
          </w:p>
        </w:tc>
        <w:tc>
          <w:tcPr>
            <w:tcW w:w="5760" w:type="dxa"/>
            <w:vAlign w:val="bottom"/>
            <w:gridSpan w:val="23"/>
          </w:tcPr>
          <w:p>
            <w:pPr>
              <w:spacing w:after="0"/>
              <w:rPr>
                <w:sz w:val="20"/>
                <w:szCs w:val="20"/>
                <w:color w:val="auto"/>
              </w:rPr>
            </w:pPr>
            <w:r>
              <w:rPr>
                <w:rFonts w:ascii="Times New Roman" w:cs="Times New Roman" w:eastAsia="Times New Roman" w:hAnsi="Times New Roman"/>
                <w:sz w:val="18"/>
                <w:szCs w:val="18"/>
                <w:color w:val="auto"/>
                <w:w w:val="97"/>
              </w:rPr>
              <w:t>$______________ (Representing the full Exercise Price for the Shares, as well as</w:t>
            </w:r>
          </w:p>
        </w:tc>
      </w:tr>
      <w:tr>
        <w:trPr>
          <w:trHeight w:val="231"/>
        </w:trPr>
        <w:tc>
          <w:tcPr>
            <w:tcW w:w="3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8"/>
              </w:rPr>
              <w:t>any applicable withholding tax)</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15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Type of Option (select one):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Incentive Stock Option    </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Non-Qualified Stock Option</w:t>
      </w:r>
    </w:p>
    <w:p>
      <w:pPr>
        <w:spacing w:after="0" w:line="252" w:lineRule="exact"/>
        <w:rPr>
          <w:sz w:val="20"/>
          <w:szCs w:val="20"/>
          <w:color w:val="auto"/>
        </w:rPr>
      </w:pPr>
    </w:p>
    <w:p>
      <w:pPr>
        <w:ind w:right="400" w:firstLine="430"/>
        <w:spacing w:after="0" w:line="278" w:lineRule="auto"/>
        <w:tabs>
          <w:tab w:leader="none" w:pos="6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Representations of Participant</w:t>
      </w:r>
      <w:r>
        <w:rPr>
          <w:rFonts w:ascii="Times New Roman" w:cs="Times New Roman" w:eastAsia="Times New Roman" w:hAnsi="Times New Roman"/>
          <w:sz w:val="18"/>
          <w:szCs w:val="18"/>
          <w:color w:val="auto"/>
        </w:rPr>
        <w:t>. Participant acknowledges that Participant has received, read and understood the Plan and the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agrees to abide by and be bound by their terms and conditions.</w:t>
      </w:r>
    </w:p>
    <w:p>
      <w:pPr>
        <w:spacing w:after="0" w:line="156" w:lineRule="exact"/>
        <w:rPr>
          <w:rFonts w:ascii="Times New Roman" w:cs="Times New Roman" w:eastAsia="Times New Roman" w:hAnsi="Times New Roman"/>
          <w:sz w:val="18"/>
          <w:szCs w:val="18"/>
          <w:color w:val="auto"/>
        </w:rPr>
      </w:pPr>
    </w:p>
    <w:p>
      <w:pPr>
        <w:ind w:right="140" w:firstLine="430"/>
        <w:spacing w:after="0" w:line="252" w:lineRule="auto"/>
        <w:tabs>
          <w:tab w:leader="none" w:pos="6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Consultation</w:t>
      </w:r>
      <w:r>
        <w:rPr>
          <w:rFonts w:ascii="Times New Roman" w:cs="Times New Roman" w:eastAsia="Times New Roman" w:hAnsi="Times New Roman"/>
          <w:sz w:val="18"/>
          <w:szCs w:val="18"/>
          <w:color w:val="auto"/>
        </w:rPr>
        <w:t>. Participant understands that Participant may suffer adverse tax consequences as a result of Participant’s purchase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179" w:lineRule="exact"/>
        <w:rPr>
          <w:rFonts w:ascii="Times New Roman" w:cs="Times New Roman" w:eastAsia="Times New Roman" w:hAnsi="Times New Roman"/>
          <w:sz w:val="18"/>
          <w:szCs w:val="18"/>
          <w:color w:val="auto"/>
        </w:rPr>
      </w:pPr>
    </w:p>
    <w:p>
      <w:pPr>
        <w:ind w:left="600" w:hanging="170"/>
        <w:spacing w:after="0"/>
        <w:tabs>
          <w:tab w:leader="none" w:pos="6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Participant Representations</w:t>
      </w:r>
      <w:r>
        <w:rPr>
          <w:rFonts w:ascii="Times New Roman" w:cs="Times New Roman" w:eastAsia="Times New Roman" w:hAnsi="Times New Roman"/>
          <w:sz w:val="18"/>
          <w:szCs w:val="18"/>
          <w:color w:val="auto"/>
        </w:rPr>
        <w:t>. Participant hereby reaffirms the representations in Article IV of the Agreement as of the date hereof.</w:t>
      </w:r>
    </w:p>
    <w:p>
      <w:pPr>
        <w:spacing w:after="0" w:line="217" w:lineRule="exact"/>
        <w:rPr>
          <w:rFonts w:ascii="Times New Roman" w:cs="Times New Roman" w:eastAsia="Times New Roman" w:hAnsi="Times New Roman"/>
          <w:sz w:val="18"/>
          <w:szCs w:val="18"/>
          <w:color w:val="auto"/>
        </w:rPr>
      </w:pPr>
    </w:p>
    <w:p>
      <w:pPr>
        <w:ind w:right="40" w:firstLine="430"/>
        <w:spacing w:after="0" w:line="270" w:lineRule="auto"/>
        <w:tabs>
          <w:tab w:leader="none" w:pos="609"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Further Instruments</w:t>
      </w:r>
      <w:r>
        <w:rPr>
          <w:rFonts w:ascii="Times New Roman" w:cs="Times New Roman" w:eastAsia="Times New Roman" w:hAnsi="Times New Roman"/>
          <w:sz w:val="17"/>
          <w:szCs w:val="17"/>
          <w:color w:val="auto"/>
        </w:rPr>
        <w:t>. Participant hereby agrees to execute such further instruments and to take such further action as the Company requests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carry out the purposes and intent of this Agreement and the Plan, including, without limitation, restrictions on the transferability of the Shares, the right of the Company to exercise its repurchase rights pursuant to Section 10.9 of the Plan, the right of the Company to require that shares of Common Stock be transferred in the event of certain transactions, tag-along rights, bring-along rights, redemption and co-sale rights and voting requirements in accordance with the Plan. The issuance of Shares shall be further subject to Participant’s satisfaction of the conditions under Section 10.14 of the Plan and execution of a counterpart signature page or joinder agreeing to be subject to any stockholders agreement as the Administrator shall determine.</w:t>
      </w:r>
    </w:p>
    <w:p>
      <w:pPr>
        <w:spacing w:after="0" w:line="1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740"/>
          </w:cols>
          <w:pgMar w:left="540" w:top="265" w:right="619" w:bottom="1440" w:gutter="0" w:footer="0" w:header="0"/>
        </w:sectPr>
      </w:pPr>
    </w:p>
    <w:bookmarkStart w:id="404" w:name="page405"/>
    <w:bookmarkEnd w:id="404"/>
    <w:p>
      <w:pPr>
        <w:ind w:left="600" w:hanging="170"/>
        <w:spacing w:after="0"/>
        <w:tabs>
          <w:tab w:leader="none" w:pos="600"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Notices</w:t>
      </w:r>
      <w:r>
        <w:rPr>
          <w:rFonts w:ascii="Times New Roman" w:cs="Times New Roman" w:eastAsia="Times New Roman" w:hAnsi="Times New Roman"/>
          <w:sz w:val="17"/>
          <w:szCs w:val="17"/>
          <w:color w:val="auto"/>
        </w:rPr>
        <w:t>. Any notice required or permitted hereunder shall be given in accordance with the provisions set forth in Section 5.4 of the Agreement.</w:t>
      </w:r>
    </w:p>
    <w:p>
      <w:pPr>
        <w:spacing w:after="0" w:line="228" w:lineRule="exact"/>
        <w:rPr>
          <w:rFonts w:ascii="Times New Roman" w:cs="Times New Roman" w:eastAsia="Times New Roman" w:hAnsi="Times New Roman"/>
          <w:sz w:val="17"/>
          <w:szCs w:val="17"/>
          <w:color w:val="auto"/>
        </w:rPr>
      </w:pPr>
    </w:p>
    <w:p>
      <w:pPr>
        <w:jc w:val="both"/>
        <w:ind w:right="40" w:firstLine="430"/>
        <w:spacing w:after="0" w:line="262" w:lineRule="auto"/>
        <w:tabs>
          <w:tab w:leader="none" w:pos="60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The Plan and Agreement are incorporated herein by reference. This Notice, the Plan and the Agreement constitute the entire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of the parties and supersede in their entirety all prior undertakings and agreements of the Company and Participant with respect to the subject matter hereof.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57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42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5"/>
        </w:trPr>
        <w:tc>
          <w:tcPr>
            <w:tcW w:w="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Print Name:</w:t>
            </w:r>
          </w:p>
        </w:tc>
        <w:tc>
          <w:tcPr>
            <w:tcW w:w="4100" w:type="dxa"/>
            <w:vAlign w:val="bottom"/>
            <w:tcBorders>
              <w:top w:val="single" w:sz="8" w:color="auto"/>
              <w:bottom w:val="single" w:sz="8" w:color="auto"/>
            </w:tcBorders>
          </w:tcPr>
          <w:p>
            <w:pPr>
              <w:spacing w:after="0"/>
              <w:rPr>
                <w:sz w:val="17"/>
                <w:szCs w:val="17"/>
                <w:color w:val="auto"/>
              </w:rPr>
            </w:pPr>
          </w:p>
        </w:tc>
        <w:tc>
          <w:tcPr>
            <w:tcW w:w="1660" w:type="dxa"/>
            <w:vAlign w:val="bottom"/>
          </w:tcPr>
          <w:p>
            <w:pPr>
              <w:ind w:left="680"/>
              <w:spacing w:after="0" w:line="205" w:lineRule="exact"/>
              <w:rPr>
                <w:sz w:val="20"/>
                <w:szCs w:val="20"/>
                <w:color w:val="auto"/>
              </w:rPr>
            </w:pPr>
            <w:r>
              <w:rPr>
                <w:rFonts w:ascii="Times New Roman" w:cs="Times New Roman" w:eastAsia="Times New Roman" w:hAnsi="Times New Roman"/>
                <w:sz w:val="18"/>
                <w:szCs w:val="18"/>
                <w:color w:val="auto"/>
              </w:rPr>
              <w:t>Print Name:</w:t>
            </w:r>
          </w:p>
        </w:tc>
        <w:tc>
          <w:tcPr>
            <w:tcW w:w="40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4100" w:type="dxa"/>
            <w:vAlign w:val="bottom"/>
            <w:tcBorders>
              <w:bottom w:val="single" w:sz="8" w:color="auto"/>
            </w:tcBorders>
          </w:tcPr>
          <w:p>
            <w:pPr>
              <w:spacing w:after="0"/>
              <w:rPr>
                <w:sz w:val="17"/>
                <w:szCs w:val="17"/>
                <w:color w:val="auto"/>
              </w:rPr>
            </w:pPr>
          </w:p>
        </w:tc>
        <w:tc>
          <w:tcPr>
            <w:tcW w:w="5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B-2</w:t>
            </w:r>
          </w:p>
        </w:tc>
        <w:tc>
          <w:tcPr>
            <w:tcW w:w="0" w:type="dxa"/>
            <w:vAlign w:val="bottom"/>
          </w:tcPr>
          <w:p>
            <w:pPr>
              <w:spacing w:after="0"/>
              <w:rPr>
                <w:sz w:val="1"/>
                <w:szCs w:val="1"/>
                <w:color w:val="auto"/>
              </w:rPr>
            </w:pPr>
          </w:p>
        </w:tc>
      </w:tr>
      <w:tr>
        <w:trPr>
          <w:trHeight w:val="352"/>
        </w:trPr>
        <w:tc>
          <w:tcPr>
            <w:tcW w:w="9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540" w:top="263" w:right="559" w:bottom="1440" w:gutter="0" w:footer="0" w:header="0"/>
        </w:sectPr>
      </w:pPr>
    </w:p>
    <w:bookmarkStart w:id="405" w:name="page406"/>
    <w:bookmarkEnd w:id="405"/>
    <w:p>
      <w:pPr>
        <w:ind w:left="4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CG ONCOLOGY, INC.</w:t>
      </w:r>
    </w:p>
    <w:p>
      <w:pPr>
        <w:spacing w:after="0" w:line="2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2022 INCENTIVE AWARD PLAN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GRANT NOTICE (EARLY EXERCIZE)</w:t>
      </w:r>
    </w:p>
    <w:p>
      <w:pPr>
        <w:spacing w:after="0" w:line="215" w:lineRule="exact"/>
        <w:rPr>
          <w:sz w:val="20"/>
          <w:szCs w:val="20"/>
          <w:color w:val="auto"/>
        </w:rPr>
      </w:pPr>
    </w:p>
    <w:p>
      <w:pPr>
        <w:ind w:right="260" w:firstLine="432"/>
        <w:spacing w:after="0" w:line="278" w:lineRule="auto"/>
        <w:rPr>
          <w:sz w:val="20"/>
          <w:szCs w:val="20"/>
          <w:color w:val="auto"/>
        </w:rPr>
      </w:pPr>
      <w:r>
        <w:rPr>
          <w:rFonts w:ascii="Times New Roman" w:cs="Times New Roman" w:eastAsia="Times New Roman" w:hAnsi="Times New Roman"/>
          <w:sz w:val="18"/>
          <w:szCs w:val="18"/>
          <w:color w:val="auto"/>
        </w:rPr>
        <w:t>Capitalized terms not specifically defined in this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have the meanings given to them in the 2022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CG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8"/>
          <w:szCs w:val="18"/>
          <w:color w:val="auto"/>
        </w:rPr>
        <w:t>The Company hereby grants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stock option described in this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xml:space="preserve">”), subject to the terms and conditions of the Plan and the Stock Option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w:t>
      </w:r>
    </w:p>
    <w:p>
      <w:pPr>
        <w:spacing w:after="0" w:line="199"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i w:val="1"/>
          <w:iCs w:val="1"/>
          <w:color w:val="auto"/>
        </w:rPr>
        <w:t>[Insert Participant Name]</w:t>
      </w:r>
    </w:p>
    <w:p>
      <w:pPr>
        <w:spacing w:after="0" w:line="111"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b w:val="1"/>
          <w:bCs w:val="1"/>
          <w:color w:val="auto"/>
        </w:rPr>
        <w:t>Grant Date:</w:t>
      </w:r>
      <w:r>
        <w:rPr>
          <w:sz w:val="20"/>
          <w:szCs w:val="20"/>
          <w:color w:val="auto"/>
        </w:rPr>
        <w:tab/>
      </w:r>
      <w:r>
        <w:rPr>
          <w:rFonts w:ascii="Times New Roman" w:cs="Times New Roman" w:eastAsia="Times New Roman" w:hAnsi="Times New Roman"/>
          <w:sz w:val="17"/>
          <w:szCs w:val="17"/>
          <w:i w:val="1"/>
          <w:iCs w:val="1"/>
          <w:color w:val="auto"/>
        </w:rPr>
        <w:t>[Insert Grant Date]</w:t>
      </w:r>
    </w:p>
    <w:p>
      <w:pPr>
        <w:spacing w:after="0" w:line="111"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b w:val="1"/>
          <w:bCs w:val="1"/>
          <w:color w:val="auto"/>
        </w:rPr>
        <w:t>Exercise Price per Share:</w:t>
      </w:r>
      <w:r>
        <w:rPr>
          <w:sz w:val="20"/>
          <w:szCs w:val="20"/>
          <w:color w:val="auto"/>
        </w:rPr>
        <w:tab/>
      </w:r>
      <w:r>
        <w:rPr>
          <w:rFonts w:ascii="Times New Roman" w:cs="Times New Roman" w:eastAsia="Times New Roman" w:hAnsi="Times New Roman"/>
          <w:sz w:val="17"/>
          <w:szCs w:val="17"/>
          <w:i w:val="1"/>
          <w:iCs w:val="1"/>
          <w:color w:val="auto"/>
        </w:rPr>
        <w:t>[Insert Exercise Price]</w:t>
      </w:r>
    </w:p>
    <w:p>
      <w:pPr>
        <w:spacing w:after="0" w:line="111"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b w:val="1"/>
          <w:bCs w:val="1"/>
          <w:color w:val="auto"/>
        </w:rPr>
        <w:t>Shares Subject to the Option:</w:t>
      </w:r>
      <w:r>
        <w:rPr>
          <w:sz w:val="20"/>
          <w:szCs w:val="20"/>
          <w:color w:val="auto"/>
        </w:rPr>
        <w:tab/>
      </w:r>
      <w:r>
        <w:rPr>
          <w:rFonts w:ascii="Times New Roman" w:cs="Times New Roman" w:eastAsia="Times New Roman" w:hAnsi="Times New Roman"/>
          <w:sz w:val="17"/>
          <w:szCs w:val="17"/>
          <w:i w:val="1"/>
          <w:iCs w:val="1"/>
          <w:color w:val="auto"/>
        </w:rPr>
        <w:t>[Insert Number of Options]</w:t>
      </w:r>
    </w:p>
    <w:p>
      <w:pPr>
        <w:spacing w:after="0" w:line="111"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b w:val="1"/>
          <w:bCs w:val="1"/>
          <w:color w:val="auto"/>
        </w:rPr>
        <w:t>Final Expiration Date:</w:t>
      </w:r>
      <w:r>
        <w:rPr>
          <w:sz w:val="20"/>
          <w:szCs w:val="20"/>
          <w:color w:val="auto"/>
        </w:rPr>
        <w:tab/>
      </w:r>
      <w:r>
        <w:rPr>
          <w:rFonts w:ascii="Times New Roman" w:cs="Times New Roman" w:eastAsia="Times New Roman" w:hAnsi="Times New Roman"/>
          <w:sz w:val="17"/>
          <w:szCs w:val="17"/>
          <w:i w:val="1"/>
          <w:iCs w:val="1"/>
          <w:color w:val="auto"/>
        </w:rPr>
        <w:t>[Insert Tenth Anniversary of Grant Date]</w:t>
      </w:r>
    </w:p>
    <w:p>
      <w:pPr>
        <w:spacing w:after="0" w:line="111"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b w:val="1"/>
          <w:bCs w:val="1"/>
          <w:color w:val="auto"/>
        </w:rPr>
        <w:t>Vesting Commencement Date:</w:t>
      </w:r>
      <w:r>
        <w:rPr>
          <w:sz w:val="20"/>
          <w:szCs w:val="20"/>
          <w:color w:val="auto"/>
        </w:rPr>
        <w:tab/>
      </w:r>
      <w:r>
        <w:rPr>
          <w:rFonts w:ascii="Times New Roman" w:cs="Times New Roman" w:eastAsia="Times New Roman" w:hAnsi="Times New Roman"/>
          <w:sz w:val="17"/>
          <w:szCs w:val="17"/>
          <w:i w:val="1"/>
          <w:iCs w:val="1"/>
          <w:color w:val="auto"/>
        </w:rPr>
        <w:t>[Insert Vesting Commencement Date]</w:t>
      </w:r>
    </w:p>
    <w:p>
      <w:pPr>
        <w:spacing w:after="0" w:line="111"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b w:val="1"/>
          <w:bCs w:val="1"/>
          <w:color w:val="auto"/>
        </w:rPr>
        <w:t>Exercise Schedule:</w:t>
      </w:r>
      <w:r>
        <w:rPr>
          <w:sz w:val="20"/>
          <w:szCs w:val="20"/>
          <w:color w:val="auto"/>
        </w:rPr>
        <w:tab/>
      </w:r>
      <w:r>
        <w:rPr>
          <w:rFonts w:ascii="Times New Roman" w:cs="Times New Roman" w:eastAsia="Times New Roman" w:hAnsi="Times New Roman"/>
          <w:sz w:val="17"/>
          <w:szCs w:val="17"/>
          <w:color w:val="auto"/>
        </w:rPr>
        <w:t>ý Early Exercise Permitted</w:t>
      </w:r>
    </w:p>
    <w:p>
      <w:pPr>
        <w:spacing w:after="0" w:line="111"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7"/>
          <w:szCs w:val="17"/>
          <w:color w:val="auto"/>
        </w:rPr>
        <w:t>This Option is exercisable immediately, in whole or in part, at such times as are established by the</w:t>
      </w:r>
    </w:p>
    <w:p>
      <w:pPr>
        <w:spacing w:after="0" w:line="26" w:lineRule="exact"/>
        <w:rPr>
          <w:sz w:val="20"/>
          <w:szCs w:val="20"/>
          <w:color w:val="auto"/>
        </w:rPr>
      </w:pPr>
    </w:p>
    <w:p>
      <w:pPr>
        <w:ind w:left="3140"/>
        <w:spacing w:after="0" w:line="251" w:lineRule="auto"/>
        <w:rPr>
          <w:sz w:val="20"/>
          <w:szCs w:val="20"/>
          <w:color w:val="auto"/>
        </w:rPr>
      </w:pPr>
      <w:r>
        <w:rPr>
          <w:rFonts w:ascii="Times New Roman" w:cs="Times New Roman" w:eastAsia="Times New Roman" w:hAnsi="Times New Roman"/>
          <w:sz w:val="18"/>
          <w:szCs w:val="18"/>
          <w:color w:val="auto"/>
        </w:rPr>
        <w:t>Administrator. The shares subject to this Option shall vest and/or be released from the Company Repurchase Right, as set forth in Section 5.1 of the Agreement, according to the following schedule:</w:t>
      </w:r>
    </w:p>
    <w:p>
      <w:pPr>
        <w:spacing w:after="0" w:line="8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i w:val="1"/>
          <w:iCs w:val="1"/>
          <w:color w:val="auto"/>
        </w:rPr>
        <w:t>[Insert Vesting Schedule]</w:t>
      </w:r>
    </w:p>
    <w:p>
      <w:pPr>
        <w:sectPr>
          <w:pgSz w:w="11900" w:h="16838" w:orient="portrait"/>
          <w:cols w:equalWidth="0" w:num="1">
            <w:col w:w="10800"/>
          </w:cols>
          <w:pgMar w:left="540" w:top="264"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Type of Option </w:t>
      </w:r>
      <w:r>
        <w:rPr>
          <w:rFonts w:ascii="Times New Roman" w:cs="Times New Roman" w:eastAsia="Times New Roman" w:hAnsi="Times New Roman"/>
          <w:sz w:val="17"/>
          <w:szCs w:val="17"/>
          <w:b w:val="1"/>
          <w:bCs w:val="1"/>
          <w:i w:val="1"/>
          <w:iCs w:val="1"/>
          <w:color w:val="auto"/>
        </w:rPr>
        <w:t>(select one)</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In addition, in the event a Participant experiences a Termination of Service as a result of (a) Participant’s termination by the Company other than for Cause (and excluding a Termination of Service as a result of Participant’s death or Disability), or (b) Participant’s resignation for Good Reason, in each case within eighteen (18) months following a Change in Control, then any remaining unvested portion of the Option shall become fully vested and and/or be released from the Company Repurchase Right on the date of such Termination of Service.</w:t>
      </w:r>
    </w:p>
    <w:p>
      <w:pPr>
        <w:spacing w:after="0" w:line="54"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Incentive Stock Option</w:t>
      </w:r>
    </w:p>
    <w:p>
      <w:pPr>
        <w:spacing w:after="0" w:line="124"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Non-Qualified Stock Option</w:t>
      </w:r>
    </w:p>
    <w:p>
      <w:pPr>
        <w:spacing w:after="0" w:line="200" w:lineRule="exact"/>
        <w:rPr>
          <w:sz w:val="20"/>
          <w:szCs w:val="20"/>
          <w:color w:val="auto"/>
        </w:rPr>
      </w:pPr>
    </w:p>
    <w:p>
      <w:pPr>
        <w:sectPr>
          <w:pgSz w:w="11900" w:h="16838" w:orient="portrait"/>
          <w:cols w:equalWidth="0" w:num="2">
            <w:col w:w="2420" w:space="720"/>
            <w:col w:w="7660"/>
          </w:cols>
          <w:pgMar w:left="540" w:top="264" w:right="559" w:bottom="1440" w:gutter="0" w:footer="0" w:header="0"/>
          <w:type w:val="continuous"/>
        </w:sectPr>
      </w:pPr>
    </w:p>
    <w:p>
      <w:pPr>
        <w:spacing w:after="0" w:line="69"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color w:val="auto"/>
        </w:rPr>
        <w:t>If the Company uses an electronic capitalization table system (such as E*Trade, Shareworks or Carta)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ectPr>
          <w:pgSz w:w="11900" w:h="16838" w:orient="portrait"/>
          <w:cols w:equalWidth="0" w:num="1">
            <w:col w:w="10800"/>
          </w:cols>
          <w:pgMar w:left="540" w:top="264" w:right="559" w:bottom="1440" w:gutter="0" w:footer="0" w:header="0"/>
          <w:type w:val="continuous"/>
        </w:sectPr>
      </w:pPr>
    </w:p>
    <w:bookmarkStart w:id="406" w:name="page407"/>
    <w:bookmarkEnd w:id="406"/>
    <w:p>
      <w:pPr>
        <w:ind w:right="200" w:firstLine="432"/>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By accepting (whether in writing, electronically or otherwise, including an acceptance through an electronic capitalization table system used by the Company)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57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2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Print Name:</w:t>
            </w:r>
          </w:p>
        </w:tc>
        <w:tc>
          <w:tcPr>
            <w:tcW w:w="4100" w:type="dxa"/>
            <w:vAlign w:val="bottom"/>
            <w:tcBorders>
              <w:top w:val="single" w:sz="8" w:color="auto"/>
              <w:bottom w:val="single" w:sz="8" w:color="auto"/>
            </w:tcBorders>
          </w:tcPr>
          <w:p>
            <w:pPr>
              <w:spacing w:after="0"/>
              <w:rPr>
                <w:sz w:val="17"/>
                <w:szCs w:val="17"/>
                <w:color w:val="auto"/>
              </w:rPr>
            </w:pPr>
          </w:p>
        </w:tc>
        <w:tc>
          <w:tcPr>
            <w:tcW w:w="1660" w:type="dxa"/>
            <w:vAlign w:val="bottom"/>
          </w:tcPr>
          <w:p>
            <w:pPr>
              <w:ind w:left="680"/>
              <w:spacing w:after="0" w:line="205" w:lineRule="exact"/>
              <w:rPr>
                <w:sz w:val="20"/>
                <w:szCs w:val="20"/>
                <w:color w:val="auto"/>
              </w:rPr>
            </w:pPr>
            <w:r>
              <w:rPr>
                <w:rFonts w:ascii="Times New Roman" w:cs="Times New Roman" w:eastAsia="Times New Roman" w:hAnsi="Times New Roman"/>
                <w:sz w:val="18"/>
                <w:szCs w:val="18"/>
                <w:color w:val="auto"/>
              </w:rPr>
              <w:t>Print Name:</w:t>
            </w:r>
          </w:p>
        </w:tc>
        <w:tc>
          <w:tcPr>
            <w:tcW w:w="4080" w:type="dxa"/>
            <w:vAlign w:val="bottom"/>
            <w:tcBorders>
              <w:top w:val="single" w:sz="8" w:color="auto"/>
              <w:bottom w:val="single" w:sz="8" w:color="auto"/>
            </w:tcBorders>
          </w:tcPr>
          <w:p>
            <w:pPr>
              <w:spacing w:after="0"/>
              <w:rPr>
                <w:sz w:val="17"/>
                <w:szCs w:val="17"/>
                <w:color w:val="auto"/>
              </w:rPr>
            </w:pPr>
          </w:p>
        </w:tc>
      </w:tr>
      <w:tr>
        <w:trPr>
          <w:trHeight w:val="205"/>
        </w:trPr>
        <w:tc>
          <w:tcPr>
            <w:tcW w:w="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4100" w:type="dxa"/>
            <w:vAlign w:val="bottom"/>
            <w:tcBorders>
              <w:bottom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4080" w:type="dxa"/>
            <w:vAlign w:val="bottom"/>
          </w:tcPr>
          <w:p>
            <w:pPr>
              <w:spacing w:after="0"/>
              <w:rPr>
                <w:sz w:val="17"/>
                <w:szCs w:val="17"/>
                <w:color w:val="auto"/>
              </w:rPr>
            </w:pPr>
          </w:p>
        </w:tc>
      </w:tr>
    </w:tbl>
    <w:p>
      <w:pPr>
        <w:sectPr>
          <w:pgSz w:w="11900" w:h="16838" w:orient="portrait"/>
          <w:cols w:equalWidth="0" w:num="1">
            <w:col w:w="10800"/>
          </w:cols>
          <w:pgMar w:left="540" w:top="267" w:right="559" w:bottom="1440" w:gutter="0" w:footer="0" w:header="0"/>
        </w:sectPr>
      </w:pPr>
    </w:p>
    <w:bookmarkStart w:id="407" w:name="page408"/>
    <w:bookmarkEnd w:id="4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A</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19" w:lineRule="exact"/>
        <w:rPr>
          <w:sz w:val="20"/>
          <w:szCs w:val="20"/>
          <w:color w:val="auto"/>
        </w:rPr>
      </w:pPr>
    </w:p>
    <w:p>
      <w:pPr>
        <w:ind w:firstLine="432"/>
        <w:spacing w:after="0" w:line="274"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w:t>
      </w:r>
    </w:p>
    <w:p>
      <w:pPr>
        <w:spacing w:after="0" w:line="37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4" w:lineRule="exact"/>
        <w:rPr>
          <w:sz w:val="20"/>
          <w:szCs w:val="20"/>
          <w:color w:val="auto"/>
        </w:rPr>
      </w:pPr>
    </w:p>
    <w:p>
      <w:pPr>
        <w:ind w:right="300" w:firstLine="432"/>
        <w:spacing w:after="0" w:line="27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has granted to Participant the Option effective as of the grant date set forth in the Grant Notice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820" w:firstLine="432"/>
        <w:spacing w:after="0" w:line="304"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Incorporation of Terms of Plan</w:t>
      </w:r>
      <w:r>
        <w:rPr>
          <w:rFonts w:ascii="Times New Roman" w:cs="Times New Roman" w:eastAsia="Times New Roman" w:hAnsi="Times New Roman"/>
          <w:sz w:val="17"/>
          <w:szCs w:val="17"/>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94" w:lineRule="exact"/>
        <w:rPr>
          <w:sz w:val="20"/>
          <w:szCs w:val="20"/>
          <w:color w:val="auto"/>
        </w:rPr>
      </w:pPr>
    </w:p>
    <w:p>
      <w:pPr>
        <w:ind w:right="200" w:firstLine="432"/>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Option will vest according to the vesting schedule in the Grant Notice (the “</w:t>
      </w: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except that any fraction of a Share as to which the Option would be vested will be accumulated and will vest only when a whole Share has accumulated. The Option shall not be exercisable with respect to fractional Shares. The Vesting Schedule is cumulative. Notwithstanding anything in the Grant Notice, the Plan or this Agreement to the contrary, any portion of the Option that has not become vested on or prior to the date of Participant’s Termination of Service for any reason shall not thereafter become vested, except as may be otherwise provided by the Administrator or as set forth in another written agreement with the Company and Participant.</w:t>
      </w:r>
    </w:p>
    <w:p>
      <w:pPr>
        <w:spacing w:after="0" w:line="184" w:lineRule="exact"/>
        <w:rPr>
          <w:sz w:val="20"/>
          <w:szCs w:val="20"/>
          <w:color w:val="auto"/>
        </w:rPr>
      </w:pPr>
    </w:p>
    <w:p>
      <w:pPr>
        <w:ind w:right="100" w:firstLine="432"/>
        <w:spacing w:after="0" w:line="25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Any portion of the Option or the entire Option may be exericised in whole or in part at any time prior to the time when the Option or portion thereof becomes unexercisable under Section 2.3, provided that each unvested Share with respect to which the Option is exercised (each a “</w:t>
      </w:r>
      <w:r>
        <w:rPr>
          <w:rFonts w:ascii="Times New Roman" w:cs="Times New Roman" w:eastAsia="Times New Roman" w:hAnsi="Times New Roman"/>
          <w:sz w:val="18"/>
          <w:szCs w:val="18"/>
          <w:b w:val="1"/>
          <w:bCs w:val="1"/>
          <w:i w:val="1"/>
          <w:iCs w:val="1"/>
          <w:color w:val="auto"/>
        </w:rPr>
        <w:t>Restricted Share</w:t>
      </w:r>
      <w:r>
        <w:rPr>
          <w:rFonts w:ascii="Times New Roman" w:cs="Times New Roman" w:eastAsia="Times New Roman" w:hAnsi="Times New Roman"/>
          <w:sz w:val="18"/>
          <w:szCs w:val="18"/>
          <w:color w:val="auto"/>
        </w:rPr>
        <w:t>”) shall be subject to the Company Repurchase Right (as defined in Section 5.1 below) for so long as the Option shall remain unvested with respect to such Share under the terms of this Agreement. The Restricted Shares shall be released from the Company Repurchase Right as set forth in Section 5.1. For the avoidance of doubt, all Shares with respect to which the Option is exercised shall at all times be assumed to be Restricted Shares to the fullest extent possible under the terms of this Agreement, unless otherwise provided by the Administrator.</w:t>
      </w:r>
    </w:p>
    <w:p>
      <w:pPr>
        <w:spacing w:after="0" w:line="185" w:lineRule="exact"/>
        <w:rPr>
          <w:sz w:val="20"/>
          <w:szCs w:val="20"/>
          <w:color w:val="auto"/>
        </w:rPr>
      </w:pPr>
    </w:p>
    <w:p>
      <w:pPr>
        <w:ind w:right="40" w:firstLine="432"/>
        <w:spacing w:after="0" w:line="27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Subject to Section 5.3 of the Plan, the Option may not be exercised to any extent by anyone after, and will expire on, the first of the following to occur:</w:t>
      </w:r>
    </w:p>
    <w:p>
      <w:pPr>
        <w:spacing w:after="0" w:line="57" w:lineRule="exact"/>
        <w:rPr>
          <w:sz w:val="20"/>
          <w:szCs w:val="20"/>
          <w:color w:val="auto"/>
        </w:rPr>
      </w:pPr>
    </w:p>
    <w:p>
      <w:pPr>
        <w:ind w:left="1220" w:hanging="249"/>
        <w:spacing w:after="0"/>
        <w:tabs>
          <w:tab w:leader="none" w:pos="122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expiration date in the Grant Notice, which shall in no event be more than ten (10) years from the Grant Date;</w:t>
      </w:r>
    </w:p>
    <w:p>
      <w:pPr>
        <w:spacing w:after="0" w:line="217" w:lineRule="exact"/>
        <w:rPr>
          <w:rFonts w:ascii="Times New Roman" w:cs="Times New Roman" w:eastAsia="Times New Roman" w:hAnsi="Times New Roman"/>
          <w:sz w:val="18"/>
          <w:szCs w:val="18"/>
          <w:color w:val="auto"/>
        </w:rPr>
      </w:pPr>
    </w:p>
    <w:p>
      <w:pPr>
        <w:ind w:right="220" w:firstLine="971"/>
        <w:spacing w:after="0" w:line="274" w:lineRule="auto"/>
        <w:tabs>
          <w:tab w:leader="none" w:pos="122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Option is designated as an Incentive Stock Option and the Participant, at the time the Option was granted, was a Greater Than 10% Stockholder, the expiration of five (5) years from the Grant Date;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800"/>
          </w:cols>
          <w:pgMar w:left="540" w:top="265" w:right="559" w:bottom="1440" w:gutter="0" w:footer="0" w:header="0"/>
        </w:sectPr>
      </w:pPr>
    </w:p>
    <w:bookmarkStart w:id="408" w:name="page409"/>
    <w:bookmarkEnd w:id="408"/>
    <w:p>
      <w:pPr>
        <w:ind w:left="2" w:right="260" w:firstLine="971"/>
        <w:spacing w:after="0" w:line="274" w:lineRule="auto"/>
        <w:tabs>
          <w:tab w:leader="none" w:pos="1215"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63" w:lineRule="exact"/>
        <w:rPr>
          <w:rFonts w:ascii="Times New Roman" w:cs="Times New Roman" w:eastAsia="Times New Roman" w:hAnsi="Times New Roman"/>
          <w:sz w:val="18"/>
          <w:szCs w:val="18"/>
          <w:color w:val="auto"/>
        </w:rPr>
      </w:pPr>
    </w:p>
    <w:p>
      <w:pPr>
        <w:ind w:left="2" w:right="560" w:firstLine="971"/>
        <w:spacing w:after="0" w:line="274" w:lineRule="auto"/>
        <w:tabs>
          <w:tab w:leader="none" w:pos="1225"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one (1) year from the date of Participant’s Termination of Service by reason of Participant’s death or Disability;</w:t>
      </w:r>
    </w:p>
    <w:p>
      <w:pPr>
        <w:spacing w:after="0" w:line="163" w:lineRule="exact"/>
        <w:rPr>
          <w:rFonts w:ascii="Times New Roman" w:cs="Times New Roman" w:eastAsia="Times New Roman" w:hAnsi="Times New Roman"/>
          <w:sz w:val="18"/>
          <w:szCs w:val="18"/>
          <w:color w:val="auto"/>
        </w:rPr>
      </w:pPr>
    </w:p>
    <w:p>
      <w:pPr>
        <w:ind w:left="1222" w:hanging="249"/>
        <w:spacing w:after="0"/>
        <w:tabs>
          <w:tab w:leader="none" w:pos="1222"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date of Participant’s Termination of Service for Cause; and</w:t>
      </w:r>
    </w:p>
    <w:p>
      <w:pPr>
        <w:spacing w:after="0" w:line="217" w:lineRule="exact"/>
        <w:rPr>
          <w:rFonts w:ascii="Times New Roman" w:cs="Times New Roman" w:eastAsia="Times New Roman" w:hAnsi="Times New Roman"/>
          <w:sz w:val="18"/>
          <w:szCs w:val="18"/>
          <w:color w:val="auto"/>
        </w:rPr>
      </w:pPr>
    </w:p>
    <w:p>
      <w:pPr>
        <w:ind w:left="1202" w:hanging="229"/>
        <w:spacing w:after="0"/>
        <w:tabs>
          <w:tab w:leader="none" w:pos="1202"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clauses (c) or (d) above, with respect to any unvested portion of the Option, the date that is thirty</w:t>
      </w:r>
    </w:p>
    <w:p>
      <w:pPr>
        <w:spacing w:after="0" w:line="24" w:lineRule="exact"/>
        <w:rPr>
          <w:rFonts w:ascii="Times New Roman" w:cs="Times New Roman" w:eastAsia="Times New Roman" w:hAnsi="Times New Roman"/>
          <w:sz w:val="18"/>
          <w:szCs w:val="18"/>
          <w:color w:val="auto"/>
        </w:rPr>
      </w:pPr>
    </w:p>
    <w:p>
      <w:pPr>
        <w:ind w:left="2" w:right="180" w:hanging="2"/>
        <w:spacing w:after="0" w:line="251" w:lineRule="auto"/>
        <w:tabs>
          <w:tab w:leader="none" w:pos="3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Participant’s Termination of Service by reason of Participant’s death or Disability, or such shorter period as may be determined by the Administrator.</w:t>
      </w:r>
    </w:p>
    <w:p>
      <w:pPr>
        <w:spacing w:after="0" w:line="39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198" w:lineRule="exact"/>
        <w:rPr>
          <w:sz w:val="20"/>
          <w:szCs w:val="20"/>
          <w:color w:val="auto"/>
        </w:rPr>
      </w:pPr>
    </w:p>
    <w:p>
      <w:pPr>
        <w:ind w:left="2" w:right="260" w:firstLine="432"/>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Person Eligible to Exercise</w:t>
      </w:r>
      <w:r>
        <w:rPr>
          <w:rFonts w:ascii="Times New Roman" w:cs="Times New Roman" w:eastAsia="Times New Roman" w:hAnsi="Times New Roman"/>
          <w:sz w:val="18"/>
          <w:szCs w:val="18"/>
          <w:color w:val="auto"/>
        </w:rPr>
        <w:t>. During Participant’s lifetime, only Participant may exercise the Option, unless it has been disposed of, with the consent of the Administrator, pursuant to a domestic relations order. After Participant’s death, any exercisable portion of the Option may, prior to the time when the Option becomes unexercisable under Section 2.3 hereof, be exercised by the Participant’s Designated Beneficiary or by any person empowered to do so under the deceased Participant’s will or under the then Applicable Laws of descent and distribution.</w:t>
      </w:r>
    </w:p>
    <w:p>
      <w:pPr>
        <w:spacing w:after="0" w:line="180" w:lineRule="exact"/>
        <w:rPr>
          <w:sz w:val="20"/>
          <w:szCs w:val="20"/>
          <w:color w:val="auto"/>
        </w:rPr>
      </w:pPr>
    </w:p>
    <w:p>
      <w:pPr>
        <w:ind w:left="2" w:right="440" w:firstLine="432"/>
        <w:spacing w:after="0" w:line="25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The Option, or any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2.3, except that the Option may only be exercised for whole Shares:</w:t>
      </w:r>
    </w:p>
    <w:p>
      <w:pPr>
        <w:spacing w:after="0" w:line="70" w:lineRule="exact"/>
        <w:rPr>
          <w:sz w:val="20"/>
          <w:szCs w:val="20"/>
          <w:color w:val="auto"/>
        </w:rPr>
      </w:pPr>
    </w:p>
    <w:p>
      <w:pPr>
        <w:ind w:left="2" w:firstLine="971"/>
        <w:spacing w:after="0" w:line="256" w:lineRule="auto"/>
        <w:tabs>
          <w:tab w:leader="none" w:pos="121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exercise notice in substantially in the form attached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to the Grant Notice (or such other form as is prescribed by the Administrator, which may be an electronic form) (the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signed by Participant or any other person then entitled to exercise the Option or portion thereof, stating that the Option or portion thereof is thereby exercised, such Exercise Notice complying with all applicable rules established by the Administrator; and</w:t>
      </w:r>
    </w:p>
    <w:p>
      <w:pPr>
        <w:spacing w:after="0" w:line="178" w:lineRule="exact"/>
        <w:rPr>
          <w:rFonts w:ascii="Times New Roman" w:cs="Times New Roman" w:eastAsia="Times New Roman" w:hAnsi="Times New Roman"/>
          <w:sz w:val="18"/>
          <w:szCs w:val="18"/>
          <w:color w:val="auto"/>
        </w:rPr>
      </w:pPr>
    </w:p>
    <w:p>
      <w:pPr>
        <w:ind w:left="2" w:right="180" w:firstLine="971"/>
        <w:spacing w:after="0" w:line="274" w:lineRule="auto"/>
        <w:tabs>
          <w:tab w:leader="none" w:pos="122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5.5 of the Plan, full payment for the Shares with respect to which the Option or portion thereof is exercised, which payment may be made by Participant, by:</w:t>
      </w:r>
    </w:p>
    <w:p>
      <w:pPr>
        <w:spacing w:after="0" w:line="57" w:lineRule="exact"/>
        <w:rPr>
          <w:rFonts w:ascii="Times New Roman" w:cs="Times New Roman" w:eastAsia="Times New Roman" w:hAnsi="Times New Roman"/>
          <w:sz w:val="18"/>
          <w:szCs w:val="18"/>
          <w:color w:val="auto"/>
        </w:rPr>
      </w:pPr>
    </w:p>
    <w:p>
      <w:pPr>
        <w:ind w:left="1582" w:hanging="216"/>
        <w:spacing w:after="0"/>
        <w:tabs>
          <w:tab w:leader="none" w:pos="1582"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check, payable to the order of the Company; or</w:t>
      </w:r>
    </w:p>
    <w:p>
      <w:pPr>
        <w:spacing w:after="0" w:line="111" w:lineRule="exact"/>
        <w:rPr>
          <w:rFonts w:ascii="Times New Roman" w:cs="Times New Roman" w:eastAsia="Times New Roman" w:hAnsi="Times New Roman"/>
          <w:sz w:val="18"/>
          <w:szCs w:val="18"/>
          <w:color w:val="auto"/>
        </w:rPr>
      </w:pPr>
    </w:p>
    <w:p>
      <w:pPr>
        <w:ind w:left="442" w:right="300" w:firstLine="924"/>
        <w:spacing w:after="0" w:line="274" w:lineRule="auto"/>
        <w:tabs>
          <w:tab w:leader="none" w:pos="16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surrender to or withholding by the Company of a net number of vested Shares issuable upon the exercise of the Option valued at their fair market value; or</w:t>
      </w:r>
    </w:p>
    <w:p>
      <w:pPr>
        <w:spacing w:after="0" w:line="57" w:lineRule="exact"/>
        <w:rPr>
          <w:rFonts w:ascii="Times New Roman" w:cs="Times New Roman" w:eastAsia="Times New Roman" w:hAnsi="Times New Roman"/>
          <w:sz w:val="18"/>
          <w:szCs w:val="18"/>
          <w:color w:val="auto"/>
        </w:rPr>
      </w:pPr>
    </w:p>
    <w:p>
      <w:pPr>
        <w:ind w:left="442" w:right="20" w:firstLine="924"/>
        <w:spacing w:after="0" w:line="274" w:lineRule="auto"/>
        <w:tabs>
          <w:tab w:leader="none" w:pos="1685"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delivery (either by actual delivery or attestation) of Shares owned by Participant valued at their fair market value; or</w:t>
      </w:r>
    </w:p>
    <w:p>
      <w:pPr>
        <w:spacing w:after="0" w:line="57" w:lineRule="exact"/>
        <w:rPr>
          <w:rFonts w:ascii="Times New Roman" w:cs="Times New Roman" w:eastAsia="Times New Roman" w:hAnsi="Times New Roman"/>
          <w:sz w:val="18"/>
          <w:szCs w:val="18"/>
          <w:color w:val="auto"/>
        </w:rPr>
      </w:pPr>
    </w:p>
    <w:p>
      <w:pPr>
        <w:ind w:left="442" w:right="80" w:firstLine="924"/>
        <w:spacing w:after="0" w:line="274" w:lineRule="auto"/>
        <w:tabs>
          <w:tab w:leader="none" w:pos="1675"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the Shares at the time of exercise, unless the Company or the Administrator otherwise determines, through the (A) delivery (including</w:t>
      </w:r>
    </w:p>
    <w:p>
      <w:pPr>
        <w:spacing w:after="0" w:line="9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802"/>
          </w:cols>
          <w:pgMar w:left="538" w:top="267" w:right="559" w:bottom="1440" w:gutter="0" w:footer="0" w:header="0"/>
        </w:sectPr>
      </w:pPr>
    </w:p>
    <w:bookmarkStart w:id="409" w:name="page410"/>
    <w:bookmarkEnd w:id="409"/>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electronically or telephonically to the extent permitted by the Company) of an irrevocable and unconditional undertaking by a broker acceptable to the Company to deliver promptly to the Company sufficient funds to pay the exercise price, or (B) delivery by the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 or</w:t>
      </w:r>
    </w:p>
    <w:p>
      <w:pPr>
        <w:spacing w:after="0" w:line="79" w:lineRule="exact"/>
        <w:rPr>
          <w:sz w:val="20"/>
          <w:szCs w:val="20"/>
          <w:color w:val="auto"/>
        </w:rPr>
      </w:pPr>
    </w:p>
    <w:p>
      <w:pPr>
        <w:ind w:left="1620" w:hanging="256"/>
        <w:spacing w:after="0"/>
        <w:tabs>
          <w:tab w:leader="none" w:pos="162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any other form of payment permitted under Section 5.5 of the Plan; or</w:t>
      </w:r>
    </w:p>
    <w:p>
      <w:pPr>
        <w:spacing w:after="0" w:line="111" w:lineRule="exact"/>
        <w:rPr>
          <w:rFonts w:ascii="Times New Roman" w:cs="Times New Roman" w:eastAsia="Times New Roman" w:hAnsi="Times New Roman"/>
          <w:sz w:val="18"/>
          <w:szCs w:val="18"/>
          <w:color w:val="auto"/>
        </w:rPr>
      </w:pPr>
    </w:p>
    <w:p>
      <w:pPr>
        <w:ind w:left="1660" w:hanging="296"/>
        <w:spacing w:after="0"/>
        <w:tabs>
          <w:tab w:leader="none" w:pos="16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 permitted forms of payment; and</w:t>
      </w:r>
    </w:p>
    <w:p>
      <w:pPr>
        <w:spacing w:after="0" w:line="217" w:lineRule="exact"/>
        <w:rPr>
          <w:rFonts w:ascii="Times New Roman" w:cs="Times New Roman" w:eastAsia="Times New Roman" w:hAnsi="Times New Roman"/>
          <w:sz w:val="18"/>
          <w:szCs w:val="18"/>
          <w:color w:val="auto"/>
        </w:rPr>
      </w:pPr>
    </w:p>
    <w:p>
      <w:pPr>
        <w:ind w:right="400" w:firstLine="971"/>
        <w:spacing w:after="0" w:line="274" w:lineRule="auto"/>
        <w:tabs>
          <w:tab w:leader="none" w:pos="1213"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9.5 of the Plan, full payment for any applicable Tax Withholding Obligation (as defined below) in such form as permitted by the Plan; and</w:t>
      </w:r>
    </w:p>
    <w:p>
      <w:pPr>
        <w:spacing w:after="0" w:line="163" w:lineRule="exact"/>
        <w:rPr>
          <w:rFonts w:ascii="Times New Roman" w:cs="Times New Roman" w:eastAsia="Times New Roman" w:hAnsi="Times New Roman"/>
          <w:sz w:val="18"/>
          <w:szCs w:val="18"/>
          <w:color w:val="auto"/>
        </w:rPr>
      </w:pPr>
    </w:p>
    <w:p>
      <w:pPr>
        <w:ind w:right="280" w:firstLine="971"/>
        <w:spacing w:after="0" w:line="274" w:lineRule="auto"/>
        <w:tabs>
          <w:tab w:leader="none" w:pos="1223"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Option or portion thereof shall be exercised pursuant to Section 3.1 by any person or persons other than Participant, appropriate proof of the right of such person or persons to exercise the Option; and</w:t>
      </w:r>
    </w:p>
    <w:p>
      <w:pPr>
        <w:spacing w:after="0" w:line="159" w:lineRule="exact"/>
        <w:rPr>
          <w:rFonts w:ascii="Times New Roman" w:cs="Times New Roman" w:eastAsia="Times New Roman" w:hAnsi="Times New Roman"/>
          <w:sz w:val="18"/>
          <w:szCs w:val="18"/>
          <w:color w:val="auto"/>
        </w:rPr>
      </w:pPr>
    </w:p>
    <w:p>
      <w:pPr>
        <w:ind w:left="1220" w:hanging="249"/>
        <w:spacing w:after="0"/>
        <w:tabs>
          <w:tab w:leader="none" w:pos="12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Option or portion thereof shall be exercised as to Restricted Shares, the following (collectively, the “</w:t>
      </w:r>
      <w:r>
        <w:rPr>
          <w:rFonts w:ascii="Times New Roman" w:cs="Times New Roman" w:eastAsia="Times New Roman" w:hAnsi="Times New Roman"/>
          <w:sz w:val="18"/>
          <w:szCs w:val="18"/>
          <w:b w:val="1"/>
          <w:bCs w:val="1"/>
          <w:i w:val="1"/>
          <w:iCs w:val="1"/>
          <w:color w:val="auto"/>
        </w:rPr>
        <w:t>Additional</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ind w:left="1620" w:hanging="216"/>
        <w:spacing w:after="0"/>
        <w:tabs>
          <w:tab w:leader="none" w:pos="1620" w:val="left"/>
        </w:tabs>
        <w:numPr>
          <w:ilvl w:val="2"/>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stock assignment duly endorsed in blank, attached as </w:t>
      </w:r>
      <w:r>
        <w:rPr>
          <w:rFonts w:ascii="Times New Roman" w:cs="Times New Roman" w:eastAsia="Times New Roman" w:hAnsi="Times New Roman"/>
          <w:sz w:val="17"/>
          <w:szCs w:val="17"/>
          <w:b w:val="1"/>
          <w:bCs w:val="1"/>
          <w:color w:val="auto"/>
        </w:rPr>
        <w:t>Exhibit C</w:t>
      </w:r>
      <w:r>
        <w:rPr>
          <w:rFonts w:ascii="Times New Roman" w:cs="Times New Roman" w:eastAsia="Times New Roman" w:hAnsi="Times New Roman"/>
          <w:sz w:val="17"/>
          <w:szCs w:val="17"/>
          <w:color w:val="auto"/>
        </w:rPr>
        <w:t xml:space="preserve"> to the Grant Notice (the “</w:t>
      </w:r>
      <w:r>
        <w:rPr>
          <w:rFonts w:ascii="Times New Roman" w:cs="Times New Roman" w:eastAsia="Times New Roman" w:hAnsi="Times New Roman"/>
          <w:sz w:val="17"/>
          <w:szCs w:val="17"/>
          <w:b w:val="1"/>
          <w:bCs w:val="1"/>
          <w:i w:val="1"/>
          <w:iCs w:val="1"/>
          <w:color w:val="auto"/>
        </w:rPr>
        <w:t>Stock Assignment</w:t>
      </w:r>
      <w:r>
        <w:rPr>
          <w:rFonts w:ascii="Times New Roman" w:cs="Times New Roman" w:eastAsia="Times New Roman" w:hAnsi="Times New Roman"/>
          <w:sz w:val="17"/>
          <w:szCs w:val="17"/>
          <w:color w:val="auto"/>
        </w:rPr>
        <w:t>”), executed by</w:t>
      </w:r>
    </w:p>
    <w:p>
      <w:pPr>
        <w:spacing w:after="0" w:line="3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Participant; and</w:t>
      </w:r>
    </w:p>
    <w:p>
      <w:pPr>
        <w:spacing w:after="0" w:line="195" w:lineRule="exact"/>
        <w:rPr>
          <w:rFonts w:ascii="Times New Roman" w:cs="Times New Roman" w:eastAsia="Times New Roman" w:hAnsi="Times New Roman"/>
          <w:sz w:val="17"/>
          <w:szCs w:val="17"/>
          <w:color w:val="auto"/>
        </w:rPr>
      </w:pPr>
    </w:p>
    <w:p>
      <w:pPr>
        <w:ind w:left="1660" w:hanging="256"/>
        <w:spacing w:after="0"/>
        <w:tabs>
          <w:tab w:leader="none" w:pos="166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Participant has a spouse of Participant, the Consent of Spouse attached as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to the Grant Notice, executed by</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spouse.</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Taxes; Tax Withholding</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40" w:firstLine="971"/>
        <w:spacing w:after="0" w:line="250" w:lineRule="auto"/>
        <w:tabs>
          <w:tab w:leader="none" w:pos="1213"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obligated to deliver any certificate representing Shares issuable with respect to the Option to Participant or his or her legal representative unless and until Participant or his or her legal representative shall have paid or otherwise satisfied in full the amount of all federal, state, local and foreign taxes required by Applicable Law to be withheld in connection with the vesting, exercise or settlement of the Option, the distribution of the Shares issuable with respect thereto, or any other taxable event related to the Option (the “</w:t>
      </w:r>
      <w:r>
        <w:rPr>
          <w:rFonts w:ascii="Times New Roman" w:cs="Times New Roman" w:eastAsia="Times New Roman" w:hAnsi="Times New Roman"/>
          <w:sz w:val="18"/>
          <w:szCs w:val="18"/>
          <w:b w:val="1"/>
          <w:bCs w:val="1"/>
          <w:i w:val="1"/>
          <w:iCs w:val="1"/>
          <w:color w:val="auto"/>
        </w:rPr>
        <w:t>Tax Withholding Obligation</w:t>
      </w:r>
      <w:r>
        <w:rPr>
          <w:rFonts w:ascii="Times New Roman" w:cs="Times New Roman" w:eastAsia="Times New Roman" w:hAnsi="Times New Roman"/>
          <w:sz w:val="18"/>
          <w:szCs w:val="18"/>
          <w:color w:val="auto"/>
        </w:rPr>
        <w:t>”). The Company shall have the authority and the right to deduct or withhold, or require Participant to remit to the Company, an amount sufficient to satisfy any Tax Withholding Obligation, including, without limitation, the authority to deduct such amounts from other compensation payable to Participant by the Company.</w:t>
      </w:r>
    </w:p>
    <w:p>
      <w:pPr>
        <w:spacing w:after="0" w:line="186" w:lineRule="exact"/>
        <w:rPr>
          <w:rFonts w:ascii="Times New Roman" w:cs="Times New Roman" w:eastAsia="Times New Roman" w:hAnsi="Times New Roman"/>
          <w:sz w:val="18"/>
          <w:szCs w:val="18"/>
          <w:color w:val="auto"/>
        </w:rPr>
      </w:pPr>
    </w:p>
    <w:p>
      <w:pPr>
        <w:ind w:right="60" w:firstLine="971"/>
        <w:spacing w:after="0" w:line="252" w:lineRule="auto"/>
        <w:tabs>
          <w:tab w:leader="none" w:pos="1223"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tax treatment to Participant in connection with the awarding, vesting or exercise of the Option or the subsequent sale of Shares. The Company and its Subsidiaries do not commit and are under no obligation to structure the Option to reduce or eliminate Participant’s tax liability.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800"/>
          </w:cols>
          <w:pgMar w:left="540" w:top="266" w:right="559" w:bottom="1440" w:gutter="0" w:footer="0" w:header="0"/>
        </w:sectPr>
      </w:pPr>
    </w:p>
    <w:bookmarkStart w:id="410" w:name="page411"/>
    <w:bookmarkEnd w:id="410"/>
    <w:p>
      <w:pPr>
        <w:ind w:right="260" w:firstLine="971"/>
        <w:spacing w:after="0" w:line="259" w:lineRule="auto"/>
        <w:tabs>
          <w:tab w:leader="none" w:pos="1213"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and/or any of its agents.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971"/>
        <w:spacing w:after="0" w:line="249" w:lineRule="auto"/>
        <w:tabs>
          <w:tab w:leader="none" w:pos="121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for Restricted Shares Purchased Pursuant to a Non-Qualified Stock Option</w:t>
      </w:r>
      <w:r>
        <w:rPr>
          <w:rFonts w:ascii="Times New Roman" w:cs="Times New Roman" w:eastAsia="Times New Roman" w:hAnsi="Times New Roman"/>
          <w:sz w:val="18"/>
          <w:szCs w:val="18"/>
          <w:color w:val="auto"/>
        </w:rPr>
        <w:t>. Participant acknowledges that, with respect to the exercise of a Non-Qualified Stock Option for Restricted Shares, unless an election is filed by Participant with the Internal Revenue Service and, if necessary, the proper state taxing authorities, within thirty days of the purchase of the Shares, electing pursuant to Section 83(b) of the Code (and similar state tax provisions if applicable) to be taxed currently on any difference between the purchase price of the Shares and their Fair Market Value on the date of purchase, there will be a recognition of taxable income to Participant, measured by the excess, if any, of the Fair Market Value of the Shares, at the time the Company Repurchase Right lapses over the purchase price for the Shares. Participant represents that Participant has consulted any tax consultant(s) Participant deems advisable in connection with the purchase of the Shares or the filing of the election under Section 83(b) of the Code and similar tax provisions.</w:t>
      </w:r>
    </w:p>
    <w:p>
      <w:pPr>
        <w:spacing w:after="0" w:line="190" w:lineRule="exact"/>
        <w:rPr>
          <w:rFonts w:ascii="Times New Roman" w:cs="Times New Roman" w:eastAsia="Times New Roman" w:hAnsi="Times New Roman"/>
          <w:sz w:val="18"/>
          <w:szCs w:val="18"/>
          <w:color w:val="auto"/>
        </w:rPr>
      </w:pPr>
    </w:p>
    <w:p>
      <w:pPr>
        <w:ind w:firstLine="971"/>
        <w:spacing w:after="0" w:line="264" w:lineRule="auto"/>
        <w:tabs>
          <w:tab w:leader="none" w:pos="1223"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83(b) Election for Restricted Shares Purchased Pursuant to an Incentive Stock Option</w:t>
      </w:r>
      <w:r>
        <w:rPr>
          <w:rFonts w:ascii="Times New Roman" w:cs="Times New Roman" w:eastAsia="Times New Roman" w:hAnsi="Times New Roman"/>
          <w:sz w:val="17"/>
          <w:szCs w:val="17"/>
          <w:color w:val="auto"/>
        </w:rPr>
        <w:t>. Participant hereby acknowledges that he or she has been informed that, with respect to the exercise of an Incentive Stock Option for Restricted Shares, unless an election is filed by Participant with the Internal Revenue Service and, if necessary, the proper state taxing authorities, within thirty days of the purchase of the Shares, electing pursuant to Section 83(b) of the Code (and similar state tax provisions if applicable) to be taxed currently on any difference between the purchase price of the Shares and their Fair Market Value on the date of purchase, there will be a recognition of income to the Participant, for alternative minimum tax purposes measured by the excess, if any, of the Fair Market Value of the Shares at the time the Company’s Repurchase Option lapses over the purchase price for the Shares. Participant further acknowledges that if an election is filed under Section 83(b) of the Code for the Unvested Shares and such shares are sold or transferred prior to the date two years following the Grant Date and one year following the purchase date of such shares, there will be a recognition of income to the Participant, for ordinary income, measured by the excess, if any, of the Fair Market Value of the Shares at the time the Company’s Repurchase Option lapses over the purchase price for the Shares. Participant represents that Participant has consulted any tax consultant(s) Participant deems advisable in connection with the purchase of the Shares or the filing of the election under Section 83(b) and similar tax provisions.</w:t>
      </w:r>
    </w:p>
    <w:p>
      <w:pPr>
        <w:spacing w:after="0" w:line="179" w:lineRule="exact"/>
        <w:rPr>
          <w:sz w:val="20"/>
          <w:szCs w:val="20"/>
          <w:color w:val="auto"/>
        </w:rPr>
      </w:pPr>
    </w:p>
    <w:p>
      <w:pPr>
        <w:ind w:right="100" w:firstLine="973"/>
        <w:spacing w:after="0" w:line="259" w:lineRule="auto"/>
        <w:rPr>
          <w:sz w:val="20"/>
          <w:szCs w:val="20"/>
          <w:color w:val="auto"/>
        </w:rPr>
      </w:pPr>
      <w:r>
        <w:rPr>
          <w:rFonts w:ascii="Times New Roman" w:cs="Times New Roman" w:eastAsia="Times New Roman" w:hAnsi="Times New Roman"/>
          <w:sz w:val="18"/>
          <w:szCs w:val="18"/>
          <w:color w:val="auto"/>
        </w:rPr>
        <w:t>PARTICIPANT ACKNOWLEDGES THAT IT IS PARTICIPANT’S SOLE RESPONSIBILITY AND NOT THE COMPANY’S TO TIMELY FILE THE ELECTION UNDER SECTION 83(B) OF THE CODE, AND THE COMPANY AND ITS REPRESENTATIVES SHALL HAVE NO OBLIGATION OR AUTHORITY TO MAKE THIS FILING ON PARTICIPANT’S BEHALF.</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PARTICIPANT REPRESENTATIONS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award of the Option, Participant represents to the Company the following:</w:t>
      </w:r>
    </w:p>
    <w:p>
      <w:pPr>
        <w:spacing w:after="0" w:line="111" w:lineRule="exact"/>
        <w:rPr>
          <w:sz w:val="20"/>
          <w:szCs w:val="20"/>
          <w:color w:val="auto"/>
        </w:rPr>
      </w:pPr>
    </w:p>
    <w:p>
      <w:pPr>
        <w:ind w:right="200" w:firstLine="971"/>
        <w:spacing w:after="0" w:line="255" w:lineRule="auto"/>
        <w:tabs>
          <w:tab w:leader="none" w:pos="121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aware of the Company’s business affairs and financial condition and has acquired sufficient information about the Company to reach an informed and knowledgeable decision to acquire the Shares issuable upon exercise of the Options. Participant is acquiring these Shares for investment for Participant’s own account only and not with a view to, or for resale in connection with, any “distribution” thereof within the meaning of the Securities Act.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800"/>
          </w:cols>
          <w:pgMar w:left="540" w:top="267" w:right="559" w:bottom="1440" w:gutter="0" w:footer="0" w:header="0"/>
        </w:sectPr>
      </w:pPr>
    </w:p>
    <w:bookmarkStart w:id="411" w:name="page412"/>
    <w:bookmarkEnd w:id="411"/>
    <w:p>
      <w:pPr>
        <w:ind w:firstLine="971"/>
        <w:spacing w:after="0" w:line="250" w:lineRule="auto"/>
        <w:tabs>
          <w:tab w:leader="none" w:pos="122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Participant acknowledges and understands that the Shares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Participant further understands that the Shares must be held indefinitely unless they are subsequently registered under the Securities Act or an exemption from such registration is available. Participant further acknowledges and understands that the Company is under no obligation to register the Shares. Participant understands that the certificate evidencing the Shares may be imprinted with a legend which prohibits the transfer of the Shares unless they are registered or such registration is not required in the opinion of counsel satisfactory to the Company and any other legend required under Applicable Laws.</w:t>
      </w:r>
    </w:p>
    <w:p>
      <w:pPr>
        <w:spacing w:after="0" w:line="186" w:lineRule="exact"/>
        <w:rPr>
          <w:rFonts w:ascii="Times New Roman" w:cs="Times New Roman" w:eastAsia="Times New Roman" w:hAnsi="Times New Roman"/>
          <w:sz w:val="18"/>
          <w:szCs w:val="18"/>
          <w:color w:val="auto"/>
        </w:rPr>
      </w:pPr>
    </w:p>
    <w:p>
      <w:pPr>
        <w:ind w:right="80" w:firstLine="971"/>
        <w:spacing w:after="0" w:line="252" w:lineRule="auto"/>
        <w:tabs>
          <w:tab w:leader="none" w:pos="121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In the event the Company becomes subject to the reporting requirements of Section 13 or 15(d) of the Exchange Act, ninety (90) days thereafter (or such longer period as any market stand-off agreement may require) the Shares exempt under Rule 701 may under present law be resold, subject to the satisfaction of certain of the conditions specified by Rule 144.</w:t>
      </w:r>
    </w:p>
    <w:p>
      <w:pPr>
        <w:spacing w:after="0" w:line="185" w:lineRule="exact"/>
        <w:rPr>
          <w:rFonts w:ascii="Times New Roman" w:cs="Times New Roman" w:eastAsia="Times New Roman" w:hAnsi="Times New Roman"/>
          <w:sz w:val="18"/>
          <w:szCs w:val="18"/>
          <w:color w:val="auto"/>
        </w:rPr>
      </w:pPr>
    </w:p>
    <w:p>
      <w:pPr>
        <w:ind w:right="120" w:firstLine="971"/>
        <w:spacing w:after="0" w:line="274" w:lineRule="auto"/>
        <w:tabs>
          <w:tab w:leader="none" w:pos="122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qualify under Rule 701 at the time of purchase of the Shares, then the Shares may be resold in certain limited circumstances subject to the provisions of Rule 144.</w:t>
      </w:r>
    </w:p>
    <w:p>
      <w:pPr>
        <w:spacing w:after="0" w:line="163" w:lineRule="exact"/>
        <w:rPr>
          <w:rFonts w:ascii="Times New Roman" w:cs="Times New Roman" w:eastAsia="Times New Roman" w:hAnsi="Times New Roman"/>
          <w:sz w:val="18"/>
          <w:szCs w:val="18"/>
          <w:color w:val="auto"/>
        </w:rPr>
      </w:pPr>
    </w:p>
    <w:p>
      <w:pPr>
        <w:ind w:firstLine="971"/>
        <w:spacing w:after="0" w:line="250" w:lineRule="auto"/>
        <w:tabs>
          <w:tab w:leader="none" w:pos="121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will be available in such event.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800"/>
          </w:cols>
          <w:pgMar w:left="540" w:top="267" w:right="559" w:bottom="1440" w:gutter="0" w:footer="0" w:header="0"/>
        </w:sectPr>
      </w:pPr>
    </w:p>
    <w:bookmarkStart w:id="412" w:name="page413"/>
    <w:bookmarkEnd w:id="4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REPURCHASE AND TRANSFER RESTRICTIONS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Company Repurchase Right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right="60" w:firstLine="971"/>
        <w:spacing w:after="0" w:line="259" w:lineRule="auto"/>
        <w:tabs>
          <w:tab w:leader="none" w:pos="1213"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Repurchase Right</w:t>
      </w:r>
      <w:r>
        <w:rPr>
          <w:rFonts w:ascii="Times New Roman" w:cs="Times New Roman" w:eastAsia="Times New Roman" w:hAnsi="Times New Roman"/>
          <w:sz w:val="18"/>
          <w:szCs w:val="18"/>
          <w:color w:val="auto"/>
        </w:rPr>
        <w:t>. Upon Participant’s Termination of Service for any reason, the Company shall have the right and option to repurchase all of the Restricted Shares from Participant, or Participant’s transferee or legal representative, as the case may be, for a purchase price equal to the price per Share paid for such Restricted Shares (the “</w:t>
      </w:r>
      <w:r>
        <w:rPr>
          <w:rFonts w:ascii="Times New Roman" w:cs="Times New Roman" w:eastAsia="Times New Roman" w:hAnsi="Times New Roman"/>
          <w:sz w:val="18"/>
          <w:szCs w:val="18"/>
          <w:b w:val="1"/>
          <w:bCs w:val="1"/>
          <w:i w:val="1"/>
          <w:iCs w:val="1"/>
          <w:color w:val="auto"/>
        </w:rPr>
        <w:t>Company Repurchase Right</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firstLine="971"/>
        <w:spacing w:after="0" w:line="249" w:lineRule="auto"/>
        <w:tabs>
          <w:tab w:leader="none" w:pos="1223"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Company Repurchase Right</w:t>
      </w:r>
      <w:r>
        <w:rPr>
          <w:rFonts w:ascii="Times New Roman" w:cs="Times New Roman" w:eastAsia="Times New Roman" w:hAnsi="Times New Roman"/>
          <w:sz w:val="18"/>
          <w:szCs w:val="18"/>
          <w:color w:val="auto"/>
        </w:rPr>
        <w:t>. The Company may exercise the Company Repurchase Right by delivering to Participant (or his or her transferee or legal representative, as the case may be), within ninety days of the date of Participant’s Termination of Service, a written notice indicating the Company’s intention to exercise the Company Repurchase Right and setting forth a date for closing not later than thirty days from the issuance of such notice. The closing shall take place at the Company’s office. At the closing, the holder of the certificates for the Restricted Shares shall deliver the stock certificate or certificates evidencing the Restricted Shares, and the Company shall deliver the purchase price therefore. At its option, the Company may elect to make payment for the Restricted Shares to a bank selected by the Company. The Company shall avail itself of this option by a written notice to Participant stating the name and address of the bank, date of closing, and waiving the closing at the Company’s office. If the Company does not elect to exercise the Company Repurchase Right by giving the requisite notice within ninety days following the date of Participant’s Termination of Service, the Company Repurchase Right shall terminate.</w:t>
      </w:r>
    </w:p>
    <w:p>
      <w:pPr>
        <w:spacing w:after="0" w:line="187" w:lineRule="exact"/>
        <w:rPr>
          <w:rFonts w:ascii="Times New Roman" w:cs="Times New Roman" w:eastAsia="Times New Roman" w:hAnsi="Times New Roman"/>
          <w:sz w:val="18"/>
          <w:szCs w:val="18"/>
          <w:color w:val="auto"/>
        </w:rPr>
      </w:pPr>
    </w:p>
    <w:p>
      <w:pPr>
        <w:ind w:right="100" w:firstLine="971"/>
        <w:spacing w:after="0" w:line="255" w:lineRule="auto"/>
        <w:tabs>
          <w:tab w:leader="none" w:pos="1213"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Restricted Shares</w:t>
      </w:r>
      <w:r>
        <w:rPr>
          <w:rFonts w:ascii="Times New Roman" w:cs="Times New Roman" w:eastAsia="Times New Roman" w:hAnsi="Times New Roman"/>
          <w:sz w:val="18"/>
          <w:szCs w:val="18"/>
          <w:color w:val="auto"/>
        </w:rPr>
        <w:t>. The Restricted Shares shall be released from the Company Repurchase Right upon vesting of the Option with respect to such Shares in accordance with the terms of this Agreement. For the avoidance of doubt, all Shares with respect to which the Option is exercised shall at all times be assumed to be Restricted Shares to the fullest extent possible under the terms of this Agreement, unless otherwise provided by the Administrator. Fractional Shares shall be rounded down to the nearest whole share.</w:t>
      </w:r>
    </w:p>
    <w:p>
      <w:pPr>
        <w:spacing w:after="0" w:line="180"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Award Not Transferable; Other Restrictions</w:t>
      </w:r>
      <w:r>
        <w:rPr>
          <w:rFonts w:ascii="Times New Roman" w:cs="Times New Roman" w:eastAsia="Times New Roman" w:hAnsi="Times New Roman"/>
          <w:sz w:val="18"/>
          <w:szCs w:val="18"/>
          <w:color w:val="auto"/>
        </w:rPr>
        <w:t>. Without limiting the generality of any other provision hereof, the Option and the Restricted Shares, as applicable, shall be subject to the restrictions on transferability set forth in Section 9.1 of the Plan. Without limiting the generality of any other provision hereof, the Participant hereby expressly acknowledges that Section 10.8 (“</w:t>
      </w:r>
      <w:r>
        <w:rPr>
          <w:rFonts w:ascii="Times New Roman" w:cs="Times New Roman" w:eastAsia="Times New Roman" w:hAnsi="Times New Roman"/>
          <w:sz w:val="18"/>
          <w:szCs w:val="18"/>
          <w:i w:val="1"/>
          <w:iCs w:val="1"/>
          <w:color w:val="auto"/>
        </w:rPr>
        <w:t>Lock-Up Period</w:t>
      </w:r>
      <w:r>
        <w:rPr>
          <w:rFonts w:ascii="Times New Roman" w:cs="Times New Roman" w:eastAsia="Times New Roman" w:hAnsi="Times New Roman"/>
          <w:sz w:val="18"/>
          <w:szCs w:val="18"/>
          <w:color w:val="auto"/>
        </w:rPr>
        <w:t>”), Section 10.9 (“</w:t>
      </w:r>
      <w:r>
        <w:rPr>
          <w:rFonts w:ascii="Times New Roman" w:cs="Times New Roman" w:eastAsia="Times New Roman" w:hAnsi="Times New Roman"/>
          <w:sz w:val="18"/>
          <w:szCs w:val="18"/>
          <w:i w:val="1"/>
          <w:iCs w:val="1"/>
          <w:color w:val="auto"/>
        </w:rPr>
        <w:t>Right of First Refusal</w:t>
      </w:r>
      <w:r>
        <w:rPr>
          <w:rFonts w:ascii="Times New Roman" w:cs="Times New Roman" w:eastAsia="Times New Roman" w:hAnsi="Times New Roman"/>
          <w:sz w:val="18"/>
          <w:szCs w:val="18"/>
          <w:color w:val="auto"/>
        </w:rPr>
        <w:t>”) and Section 10.14 (“</w:t>
      </w:r>
      <w:r>
        <w:rPr>
          <w:rFonts w:ascii="Times New Roman" w:cs="Times New Roman" w:eastAsia="Times New Roman" w:hAnsi="Times New Roman"/>
          <w:sz w:val="18"/>
          <w:szCs w:val="18"/>
          <w:i w:val="1"/>
          <w:iCs w:val="1"/>
          <w:color w:val="auto"/>
        </w:rPr>
        <w:t>Restrictions on Shares; Claw-Back Provisions</w:t>
      </w:r>
      <w:r>
        <w:rPr>
          <w:rFonts w:ascii="Times New Roman" w:cs="Times New Roman" w:eastAsia="Times New Roman" w:hAnsi="Times New Roman"/>
          <w:sz w:val="18"/>
          <w:szCs w:val="18"/>
          <w:color w:val="auto"/>
        </w:rPr>
        <w:t>”) of the Plan are expressly incorporated into this Agreement and are applicable to the Shares issued pursuant to this Agreement. Any transferee of the Shares shall hold such Shares subject to all of the provisions hereof and the Plan and the Exercise Notice and Additional Documents executed by Participant with respect to such Shares.</w:t>
      </w:r>
    </w:p>
    <w:p>
      <w:pPr>
        <w:spacing w:after="0" w:line="185" w:lineRule="exact"/>
        <w:rPr>
          <w:sz w:val="20"/>
          <w:szCs w:val="20"/>
          <w:color w:val="auto"/>
        </w:rPr>
      </w:pPr>
    </w:p>
    <w:p>
      <w:pPr>
        <w:ind w:right="20" w:firstLine="432"/>
        <w:spacing w:after="0" w:line="24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Restricted Shares; Rights as a Stockholder</w:t>
      </w:r>
      <w:r>
        <w:rPr>
          <w:rFonts w:ascii="Times New Roman" w:cs="Times New Roman" w:eastAsia="Times New Roman" w:hAnsi="Times New Roman"/>
          <w:sz w:val="18"/>
          <w:szCs w:val="18"/>
          <w:color w:val="auto"/>
        </w:rPr>
        <w:t>. Except as otherwise provided herein, upon exercise of the Option and the issuance of the Shares to Participant (as evidenced by the appropriate entry on the books of the Company or of a duly authorized transfer agent of the Company), Participant shall have all the rights of a stockholder with respect to the Restricted Shares, including the right to receive any cash or stock dividends or other distributions paid to or made with respect to the Restricted Shares, subject to the restrictions described in the following sentence, which restrictions shall lapse when the Restricted Shares are released from the Company Repurchase Right as set forth in Section 5.1. Unless otherwise provided by the Administrator, if any dividends or distributions are paid in shares, or consist of a dividend or distribution to holders of Common Stock of property, the shares or other property will be retained in custody by the Company (without interest) (the “</w:t>
      </w:r>
      <w:r>
        <w:rPr>
          <w:rFonts w:ascii="Times New Roman" w:cs="Times New Roman" w:eastAsia="Times New Roman" w:hAnsi="Times New Roman"/>
          <w:sz w:val="18"/>
          <w:szCs w:val="18"/>
          <w:b w:val="1"/>
          <w:bCs w:val="1"/>
          <w:i w:val="1"/>
          <w:iCs w:val="1"/>
          <w:color w:val="auto"/>
        </w:rPr>
        <w:t>Retained Distributions</w:t>
      </w:r>
      <w:r>
        <w:rPr>
          <w:rFonts w:ascii="Times New Roman" w:cs="Times New Roman" w:eastAsia="Times New Roman" w:hAnsi="Times New Roman"/>
          <w:sz w:val="18"/>
          <w:szCs w:val="18"/>
          <w:color w:val="auto"/>
        </w:rPr>
        <w:t>”) and subject to the same repurchase and transferability restrictions as the Restricted Shares with respect to which they were paid and shall automatically be forfeited to the Company for no consideration in the event the Company exercises the Company Repurchase Right for the Restricted Shares with respect to which they were paid. In no event shall a Retained Distribution be paid with respect to Restricted Shares later than the end of the calendar year in which the corresponding dividends or distributions are paid to holders of Common Stock or, if later,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800"/>
          </w:cols>
          <w:pgMar w:left="540" w:top="265" w:right="559" w:bottom="1440" w:gutter="0" w:footer="0" w:header="0"/>
        </w:sectPr>
      </w:pPr>
    </w:p>
    <w:bookmarkStart w:id="413" w:name="page414"/>
    <w:bookmarkEnd w:id="413"/>
    <w:p>
      <w:pPr>
        <w:ind w:left="2"/>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15th day of the third month following the later of (a) the date the corresponding dividends or distributions are paid to holders of Common Stock and</w:t>
      </w:r>
    </w:p>
    <w:p>
      <w:pPr>
        <w:spacing w:after="0" w:line="36" w:lineRule="exact"/>
        <w:rPr>
          <w:sz w:val="20"/>
          <w:szCs w:val="20"/>
          <w:color w:val="auto"/>
        </w:rPr>
      </w:pPr>
    </w:p>
    <w:p>
      <w:pPr>
        <w:ind w:left="2" w:right="40" w:hanging="2"/>
        <w:spacing w:after="0" w:line="247" w:lineRule="auto"/>
        <w:tabs>
          <w:tab w:leader="none" w:pos="252"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Restricted Shares with respect to which the Retained Distributions are paid vest. Participant shall enjoy rights as a stockholder until such time as Participant disposes of the Shares or the Company and/or its assignee(s) exercises the Right of First Refusal under the Plan. Upon such exercise, Participant shall have no further rights as a holder of the Shares so purchased except the right to receive payment for the Shares so purchased in accordance with the provisions of the Plan and this Agreement, and Participant shall forthwith cause the certificate(s), if any issued, evidencing the Shares so purchased to be surrendered to the Company for transfer or cancellation.</w:t>
      </w:r>
    </w:p>
    <w:p>
      <w:pPr>
        <w:spacing w:after="0" w:line="188"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Restrictive Legends and Stop Transfer Orders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right="40" w:firstLine="971"/>
        <w:spacing w:after="0" w:line="259" w:lineRule="auto"/>
        <w:tabs>
          <w:tab w:leader="none" w:pos="121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Participant understands and agrees that the Company shall cause the legends set forth below or legends substantially equivalent thereto, to be placed upon any certificate(s) evidencing ownership of the Shares together with any other legends that may be required by state or federal securities laws:</w:t>
      </w:r>
    </w:p>
    <w:p>
      <w:pPr>
        <w:spacing w:after="0" w:line="72" w:lineRule="exact"/>
        <w:rPr>
          <w:sz w:val="20"/>
          <w:szCs w:val="20"/>
          <w:color w:val="auto"/>
        </w:rPr>
      </w:pPr>
    </w:p>
    <w:p>
      <w:pPr>
        <w:ind w:left="442" w:right="140"/>
        <w:spacing w:after="0" w:line="250"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OR DISTRIBUTION THEREOF. THE SECURITIES REPRESENTED HEREBY HAVE NOT BEEN REGISTERED UNDER THE SECURITIES ACT OF 1933 (THE “ACT”) OR ANY APPLICABLE STATE SECURITIES LAWS AND MAY NOT BE OFFERED, SOLD OR OTHERWISE TRANSFERRED, PLEDGED OR HYPOTHECATED UNLESS AND UNTIL REGISTERED UNDER THE ACT AND SUCH LAWS OR, IN THE OPINION OF COUNSEL IN FORM AND SUBSTANCE SATISFACTORY TO THE ISSUER OF THESE SECURITIES, SUCH OFFER, SALE OR TRANSFER, PLEDGE OR HYPOTHECATION IS IN COMPLIANCE THEREWITH.</w:t>
      </w:r>
    </w:p>
    <w:p>
      <w:pPr>
        <w:spacing w:after="0" w:line="81" w:lineRule="exact"/>
        <w:rPr>
          <w:sz w:val="20"/>
          <w:szCs w:val="20"/>
          <w:color w:val="auto"/>
        </w:rPr>
      </w:pPr>
    </w:p>
    <w:p>
      <w:pPr>
        <w:ind w:left="442"/>
        <w:spacing w:after="0" w:line="271" w:lineRule="auto"/>
        <w:rPr>
          <w:sz w:val="20"/>
          <w:szCs w:val="20"/>
          <w:color w:val="auto"/>
        </w:rPr>
      </w:pPr>
      <w:r>
        <w:rPr>
          <w:rFonts w:ascii="Times New Roman" w:cs="Times New Roman" w:eastAsia="Times New Roman" w:hAnsi="Times New Roman"/>
          <w:sz w:val="17"/>
          <w:szCs w:val="17"/>
          <w:color w:val="auto"/>
        </w:rPr>
        <w:t>THE SHARES REPRESENTED BY THIS CERTIFICATE ARE SUBJECT TO CERTAIN REPURCHASE RIGHTS, FORFEITURE PROVISIONS, TRANSFER RESTRICTIONS AND A RIGHT OF FIRST REFUSAL HELD BY THE ISSUER OR ITS ASSIGNEE(S), AS SET FORTH IN A STOCK OPTION AGREEMENT BETWEEN THE ISSUER AND THE ORIGINAL HOLDER OF THESE SHARES, COPIES OF WHICH MAY BE OBTAINED AT THE PRINCIPAL OFFICE OF THE ISSUER. SUCH REPURCHASE RIGHTS, FORFEITURE PROVISIONS, TRANSFER RESTRICTIONS AND RIGHT OF FIRST REFUSAL ARE BINDING ON TRANSFEREES OF THESE SHARES.</w:t>
      </w:r>
    </w:p>
    <w:p>
      <w:pPr>
        <w:spacing w:after="0" w:line="168" w:lineRule="exact"/>
        <w:rPr>
          <w:sz w:val="20"/>
          <w:szCs w:val="20"/>
          <w:color w:val="auto"/>
        </w:rPr>
      </w:pPr>
    </w:p>
    <w:p>
      <w:pPr>
        <w:ind w:left="2" w:right="120" w:firstLine="971"/>
        <w:spacing w:after="0" w:line="259" w:lineRule="auto"/>
        <w:tabs>
          <w:tab w:leader="none" w:pos="122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Transfer Notices</w:t>
      </w:r>
      <w:r>
        <w:rPr>
          <w:rFonts w:ascii="Times New Roman" w:cs="Times New Roman" w:eastAsia="Times New Roman" w:hAnsi="Times New Roman"/>
          <w:sz w:val="18"/>
          <w:szCs w:val="18"/>
          <w:color w:val="auto"/>
        </w:rPr>
        <w:t>. The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7" w:lineRule="exact"/>
        <w:rPr>
          <w:rFonts w:ascii="Times New Roman" w:cs="Times New Roman" w:eastAsia="Times New Roman" w:hAnsi="Times New Roman"/>
          <w:sz w:val="18"/>
          <w:szCs w:val="18"/>
          <w:color w:val="auto"/>
        </w:rPr>
      </w:pPr>
    </w:p>
    <w:p>
      <w:pPr>
        <w:ind w:left="2" w:right="120" w:firstLine="971"/>
        <w:spacing w:after="0" w:line="259" w:lineRule="auto"/>
        <w:tabs>
          <w:tab w:leader="none" w:pos="121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1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802"/>
          </w:cols>
          <w:pgMar w:left="538" w:top="266" w:right="559" w:bottom="1440" w:gutter="0" w:footer="0" w:header="0"/>
        </w:sectPr>
      </w:pPr>
    </w:p>
    <w:bookmarkStart w:id="414" w:name="page415"/>
    <w:bookmarkEnd w:id="414"/>
    <w:p>
      <w:pPr>
        <w:ind w:right="60" w:firstLine="971"/>
        <w:spacing w:after="0" w:line="251" w:lineRule="auto"/>
        <w:tabs>
          <w:tab w:leader="none" w:pos="122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Other Restrictions on Transfer</w:t>
      </w:r>
      <w:r>
        <w:rPr>
          <w:rFonts w:ascii="Times New Roman" w:cs="Times New Roman" w:eastAsia="Times New Roman" w:hAnsi="Times New Roman"/>
          <w:sz w:val="18"/>
          <w:szCs w:val="18"/>
          <w:color w:val="auto"/>
        </w:rPr>
        <w:t>. In addition to the limitations contained in Section 5.2 above and this Section 5.4, the Participant agrees and acknowledges that Participant will not transfer in any manner the Shares issued pursuant to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85" w:lineRule="exact"/>
        <w:rPr>
          <w:sz w:val="20"/>
          <w:szCs w:val="20"/>
          <w:color w:val="auto"/>
        </w:rPr>
      </w:pPr>
    </w:p>
    <w:p>
      <w:pPr>
        <w:ind w:firstLine="432"/>
        <w:spacing w:after="0" w:line="24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To insure the availability for delivery of the Restricted Shares upon repurchase by the Company pursuant to the Company Repurchase Right, Participant appoints the Secretary of the Company, or such other person designated by the Administrator from time to time as escrow agent, as its attorney-in-fact to sell, assign and transfer unto the Company, such Restricted Shares, if any, repurchased by the Company pursuant to the Company Repurchase Right, together with and any Retained Distributions paid thereon pursuant to Section 5.3 and held by the Company, and shall, upon execution of the applicable Exercise Notice, deliver and deposit with the Secretary of the Company, or such other person designated by the Administrator from time to time, the share certificate(s) representing the Restricted Shares, together with the Stock Assignment. The Restricted Shares and Stock Assignment (and any Retained Distributions) shall be held by the Secretary, or such other person designated by the Administrator from time to time, in escrow, until the Company exercises the Company Repurchase Right, until such Restricted Shares are released from the Company Repurchase Right as set forth in Article V or until such time as this Agreement no longer is in effect. Upon release of the Restricted Shares from the Company’s Repurchase Right, the escrow agent shall as soon as reasonably practicable deliver to Participant the certificate or certificates representing such Shares in the escrow agent’s possession belonging to Participant, and the escrow agent shall be discharged of all further obligations hereunder. The Company, or its designee, shall not be liable for any act it may do or omit to do with respect to holding the Restricted Shares (or any Retained Distributions) in escrow and while acting in good faith and in the exercise of its judgment.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17"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 Participant acknowledges that the Option is subject to adjustment, modification and termination in certain events as provided in this Agreement and the Plan.</w:t>
      </w:r>
    </w:p>
    <w:p>
      <w:pPr>
        <w:spacing w:after="0" w:line="162"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1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780"/>
          </w:cols>
          <w:pgMar w:left="540" w:top="267" w:right="579" w:bottom="1440" w:gutter="0" w:footer="0" w:header="0"/>
        </w:sectPr>
      </w:pPr>
    </w:p>
    <w:bookmarkStart w:id="415" w:name="page416"/>
    <w:bookmarkEnd w:id="415"/>
    <w:p>
      <w:pPr>
        <w:ind w:right="6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requirements for the application of such exemptive rule. Participant acknowledges that the Plan, the Grant Notice and this Agreement are intended to conform to the extent necessary with all Applicable Laws and, to the extent Applicable Laws permit, will be deemed amended to the extent necessary to conform to such Applicable Laws or any such exemptive rule described in the preceding sentence.</w:t>
      </w:r>
    </w:p>
    <w:p>
      <w:pPr>
        <w:spacing w:after="0" w:line="178" w:lineRule="exact"/>
        <w:rPr>
          <w:sz w:val="20"/>
          <w:szCs w:val="20"/>
          <w:color w:val="auto"/>
        </w:rPr>
      </w:pPr>
    </w:p>
    <w:p>
      <w:pPr>
        <w:jc w:val="both"/>
        <w:ind w:right="40" w:firstLine="432"/>
        <w:spacing w:after="0" w:line="259"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in the Plan, this Agreement shall be binding upon and inure to the benefit of the heirs, legatees, legal representatives, successors and assigns of the parties hereto.</w:t>
      </w:r>
    </w:p>
    <w:p>
      <w:pPr>
        <w:spacing w:after="0" w:line="178" w:lineRule="exact"/>
        <w:rPr>
          <w:sz w:val="20"/>
          <w:szCs w:val="20"/>
          <w:color w:val="auto"/>
        </w:rPr>
      </w:pPr>
    </w:p>
    <w:p>
      <w:pPr>
        <w:ind w:right="40" w:firstLine="432"/>
        <w:spacing w:after="0" w:line="250"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constitute the entire agreement of the parties and supersede in their entirety all prior undertakings and agreements of the Company and Participant with respect to the subject matter hereof. Participant hereby agrees to execute such further instruments and to take such further action as the Company requests to carry out the purposes and intent of this Agreement and the Plan, including, without limitation, restrictions on the transferability of the Shares, the right of the Company to repurchase the Shares pursuant to Section 10.9 of the Plan, the right of the Company to require that shares of Common Stock be transferred in the event of certain transactions, tag-along rights, bring-along rights, redemption and co-sale rights and voting requirements in accordance with the Plan. This Agreement may be amended by the Company in accordance with Section 9.6 of the Plan.</w:t>
      </w:r>
    </w:p>
    <w:p>
      <w:pPr>
        <w:spacing w:after="0" w:line="187"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8"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85" w:lineRule="exact"/>
        <w:rPr>
          <w:sz w:val="20"/>
          <w:szCs w:val="20"/>
          <w:color w:val="auto"/>
        </w:rPr>
      </w:pPr>
    </w:p>
    <w:p>
      <w:pPr>
        <w:ind w:right="20" w:firstLine="432"/>
        <w:spacing w:after="0" w:line="249"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 The issuance of Shares under this Award to Participant shall be subject to Participant’s satisfaction of the conditions under Section 10.14 of the Plan and execution of a counterpart signature page or joinder agreeing to be subject to any stockholders agreement as the Administrator shall determine.</w:t>
      </w:r>
    </w:p>
    <w:p>
      <w:pPr>
        <w:spacing w:after="0" w:line="190"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800"/>
          </w:cols>
          <w:pgMar w:left="540" w:top="267" w:right="559" w:bottom="1440" w:gutter="0" w:footer="0" w:header="0"/>
        </w:sectPr>
      </w:pPr>
    </w:p>
    <w:bookmarkStart w:id="416" w:name="page417"/>
    <w:bookmarkEnd w:id="416"/>
    <w:p>
      <w:pPr>
        <w:ind w:right="520" w:firstLine="432"/>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6.11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63"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thereunder, including the Option, shall be governed by and interpreted in accordance with the laws of the State of Delaware, disregarding choice-of-law principles of the law of any state that would require the application of the laws of a jurisdiction other than such state.</w:t>
      </w:r>
    </w:p>
    <w:p>
      <w:pPr>
        <w:spacing w:after="0" w:line="178" w:lineRule="exact"/>
        <w:rPr>
          <w:sz w:val="20"/>
          <w:szCs w:val="20"/>
          <w:color w:val="auto"/>
        </w:rPr>
      </w:pPr>
    </w:p>
    <w:p>
      <w:pPr>
        <w:ind w:right="60" w:firstLine="432"/>
        <w:spacing w:after="0" w:line="274"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If the Option is designated as an Incentive Stock Option, the following provisions, in addition to the terms set forth in Section 5.6 of the Plan, shall apply to the Option:</w:t>
      </w:r>
    </w:p>
    <w:p>
      <w:pPr>
        <w:spacing w:after="0" w:line="163" w:lineRule="exact"/>
        <w:rPr>
          <w:sz w:val="20"/>
          <w:szCs w:val="20"/>
          <w:color w:val="auto"/>
        </w:rPr>
      </w:pPr>
    </w:p>
    <w:p>
      <w:pPr>
        <w:ind w:firstLine="971"/>
        <w:spacing w:after="0" w:line="248" w:lineRule="auto"/>
        <w:tabs>
          <w:tab w:leader="none" w:pos="1213"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acknowledges that amendments or modifications made to the Option pursuant to the Plan that would cause the Option to become a Non-Qualified Stock Option will not materially or adversely affect Participant’s rights under the Option, and that any such amendment or modification shall not require Participant’s consent. Participant also acknowledges that if the Option is exercised more than three (3) months after Participant’s Termination of Service as an Employee, other than by reason of death or Disability, the Option will be taxed as a Non-Qualified Stock Option. If the Option is an Incentive Stock Option and Participant is a Greater Than 10% Stockholder as of the Grant Date, the term of the Option will not exceed five (5) years from the Grant Date.</w:t>
      </w:r>
    </w:p>
    <w:p>
      <w:pPr>
        <w:spacing w:after="0" w:line="189" w:lineRule="exact"/>
        <w:rPr>
          <w:rFonts w:ascii="Times New Roman" w:cs="Times New Roman" w:eastAsia="Times New Roman" w:hAnsi="Times New Roman"/>
          <w:sz w:val="18"/>
          <w:szCs w:val="18"/>
          <w:color w:val="auto"/>
        </w:rPr>
      </w:pPr>
    </w:p>
    <w:p>
      <w:pPr>
        <w:ind w:right="60" w:firstLine="971"/>
        <w:spacing w:after="0" w:line="255" w:lineRule="auto"/>
        <w:tabs>
          <w:tab w:leader="none" w:pos="1223"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78" w:lineRule="exact"/>
        <w:rPr>
          <w:rFonts w:ascii="Times New Roman" w:cs="Times New Roman" w:eastAsia="Times New Roman" w:hAnsi="Times New Roman"/>
          <w:sz w:val="18"/>
          <w:szCs w:val="18"/>
          <w:color w:val="auto"/>
        </w:rPr>
      </w:pPr>
    </w:p>
    <w:p>
      <w:pPr>
        <w:ind w:left="5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 * * *</w:t>
      </w:r>
    </w:p>
    <w:p>
      <w:pPr>
        <w:spacing w:after="0" w:line="152" w:lineRule="exact"/>
        <w:rPr>
          <w:rFonts w:ascii="Times New Roman" w:cs="Times New Roman" w:eastAsia="Times New Roman" w:hAnsi="Times New Roman"/>
          <w:sz w:val="18"/>
          <w:szCs w:val="18"/>
          <w:color w:val="auto"/>
        </w:rPr>
      </w:pPr>
    </w:p>
    <w:p>
      <w:pPr>
        <w:ind w:left="5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A-10</w:t>
      </w:r>
    </w:p>
    <w:p>
      <w:pPr>
        <w:sectPr>
          <w:pgSz w:w="11900" w:h="16838" w:orient="portrait"/>
          <w:cols w:equalWidth="0" w:num="1">
            <w:col w:w="10760"/>
          </w:cols>
          <w:pgMar w:left="540" w:top="267" w:right="599" w:bottom="1440" w:gutter="0" w:footer="0" w:header="0"/>
        </w:sectPr>
      </w:pPr>
    </w:p>
    <w:bookmarkStart w:id="417" w:name="page418"/>
    <w:bookmarkEnd w:id="41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B</w:t>
      </w:r>
    </w:p>
    <w:p>
      <w:pPr>
        <w:spacing w:after="0" w:line="1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Effective as of today,         ,         , the undersigned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hereby elects to exercise Participant’s option to purchase         Shares of CG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and pursuant to the CG Oncology, Inc. 2022 Incentive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-159385</wp:posOffset>
            </wp:positionV>
            <wp:extent cx="9531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53135"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-159385</wp:posOffset>
            </wp:positionV>
            <wp:extent cx="44831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483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412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 xml:space="preserve">Grant Notice and Stock Option Agreement dated           </w:t>
            </w:r>
          </w:p>
        </w:tc>
        <w:tc>
          <w:tcPr>
            <w:tcW w:w="80" w:type="dxa"/>
            <w:vAlign w:val="bottom"/>
          </w:tcPr>
          <w:p>
            <w:pPr>
              <w:spacing w:after="0"/>
              <w:rPr>
                <w:sz w:val="14"/>
                <w:szCs w:val="14"/>
                <w:color w:val="auto"/>
              </w:rPr>
            </w:pPr>
          </w:p>
        </w:tc>
        <w:tc>
          <w:tcPr>
            <w:tcW w:w="6320" w:type="dxa"/>
            <w:vAlign w:val="bottom"/>
            <w:gridSpan w:val="27"/>
          </w:tcPr>
          <w:p>
            <w:pPr>
              <w:spacing w:after="0" w:line="172" w:lineRule="exact"/>
              <w:rPr>
                <w:sz w:val="20"/>
                <w:szCs w:val="20"/>
                <w:color w:val="auto"/>
              </w:rPr>
            </w:pPr>
            <w:r>
              <w:rPr>
                <w:rFonts w:ascii="Times New Roman" w:cs="Times New Roman" w:eastAsia="Times New Roman" w:hAnsi="Times New Roman"/>
                <w:sz w:val="18"/>
                <w:szCs w:val="18"/>
                <w:color w:val="auto"/>
                <w:w w:val="97"/>
              </w:rPr>
              <w:t>, ____ (the “</w:t>
            </w:r>
            <w:r>
              <w:rPr>
                <w:rFonts w:ascii="Times New Roman" w:cs="Times New Roman" w:eastAsia="Times New Roman" w:hAnsi="Times New Roman"/>
                <w:sz w:val="18"/>
                <w:szCs w:val="18"/>
                <w:b w:val="1"/>
                <w:bCs w:val="1"/>
                <w:i w:val="1"/>
                <w:iCs w:val="1"/>
                <w:color w:val="auto"/>
                <w:w w:val="97"/>
              </w:rPr>
              <w:t>Agreement</w:t>
            </w:r>
            <w:r>
              <w:rPr>
                <w:rFonts w:ascii="Times New Roman" w:cs="Times New Roman" w:eastAsia="Times New Roman" w:hAnsi="Times New Roman"/>
                <w:sz w:val="18"/>
                <w:szCs w:val="18"/>
                <w:color w:val="auto"/>
                <w:w w:val="97"/>
              </w:rPr>
              <w:t>”). Capitalized terms used herein without definition shall have the</w:t>
            </w:r>
          </w:p>
        </w:tc>
        <w:tc>
          <w:tcPr>
            <w:tcW w:w="0" w:type="dxa"/>
            <w:vAlign w:val="bottom"/>
          </w:tcPr>
          <w:p>
            <w:pPr>
              <w:spacing w:after="0"/>
              <w:rPr>
                <w:sz w:val="1"/>
                <w:szCs w:val="1"/>
                <w:color w:val="auto"/>
              </w:rPr>
            </w:pPr>
          </w:p>
        </w:tc>
      </w:tr>
      <w:tr>
        <w:trPr>
          <w:trHeight w:val="23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meanings given in the Agreement.</w:t>
            </w: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80" w:type="dxa"/>
            <w:vAlign w:val="bottom"/>
          </w:tcPr>
          <w:p>
            <w:pPr>
              <w:spacing w:after="0"/>
              <w:rPr>
                <w:sz w:val="24"/>
                <w:szCs w:val="24"/>
                <w:color w:val="auto"/>
              </w:rPr>
            </w:pPr>
          </w:p>
        </w:tc>
        <w:tc>
          <w:tcPr>
            <w:tcW w:w="15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jc w:val="center"/>
              <w:ind w:right="1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 of Shares as to which Option is Exercised:</w:t>
            </w: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jc w:val="center"/>
              <w:ind w:right="1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9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Exercise Price:</w:t>
            </w: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Certificate to be issued in name of:</w:t>
            </w:r>
          </w:p>
        </w:tc>
        <w:tc>
          <w:tcPr>
            <w:tcW w:w="80" w:type="dxa"/>
            <w:vAlign w:val="bottom"/>
          </w:tcPr>
          <w:p>
            <w:pPr>
              <w:spacing w:after="0"/>
              <w:rPr>
                <w:sz w:val="24"/>
                <w:szCs w:val="24"/>
                <w:color w:val="auto"/>
              </w:rPr>
            </w:pPr>
          </w:p>
        </w:tc>
        <w:tc>
          <w:tcPr>
            <w:tcW w:w="152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w w:val="70"/>
              </w:rPr>
              <w:t>   </w:t>
            </w: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jc w:val="center"/>
              <w:ind w:right="1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Payment delivered herewith (if applicable):</w:t>
            </w: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60" w:type="dxa"/>
            <w:vAlign w:val="bottom"/>
            <w:gridSpan w:val="19"/>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24"/>
                <w:szCs w:val="24"/>
                <w:color w:val="auto"/>
              </w:rPr>
            </w:pPr>
          </w:p>
        </w:tc>
        <w:tc>
          <w:tcPr>
            <w:tcW w:w="4120" w:type="dxa"/>
            <w:vAlign w:val="bottom"/>
            <w:gridSpan w:val="20"/>
          </w:tcPr>
          <w:p>
            <w:pPr>
              <w:jc w:val="center"/>
              <w:spacing w:after="0"/>
              <w:rPr>
                <w:sz w:val="20"/>
                <w:szCs w:val="20"/>
                <w:color w:val="auto"/>
              </w:rPr>
            </w:pPr>
            <w:r>
              <w:rPr>
                <w:rFonts w:ascii="Times New Roman" w:cs="Times New Roman" w:eastAsia="Times New Roman" w:hAnsi="Times New Roman"/>
                <w:sz w:val="18"/>
                <w:szCs w:val="18"/>
                <w:color w:val="auto"/>
                <w:w w:val="97"/>
              </w:rPr>
              <w:t>   (Representing the full Exercise Price for the Shares, as</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2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8"/>
              </w:rPr>
              <w:t>well as any applicable withholding tax)</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1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b w:val="1"/>
                <w:bCs w:val="1"/>
                <w:color w:val="auto"/>
                <w:w w:val="95"/>
              </w:rPr>
              <w:t xml:space="preserve">Type of Option (select one): </w:t>
            </w:r>
            <w:r>
              <w:rPr>
                <w:rFonts w:ascii="MS PGothic" w:cs="MS PGothic" w:eastAsia="MS PGothic" w:hAnsi="MS PGothic"/>
                <w:sz w:val="18"/>
                <w:szCs w:val="18"/>
                <w:color w:val="auto"/>
                <w:w w:val="95"/>
              </w:rPr>
              <w:t>☐</w:t>
            </w:r>
            <w:r>
              <w:rPr>
                <w:rFonts w:ascii="Times New Roman" w:cs="Times New Roman" w:eastAsia="Times New Roman" w:hAnsi="Times New Roman"/>
                <w:sz w:val="18"/>
                <w:szCs w:val="18"/>
                <w:color w:val="auto"/>
                <w:w w:val="95"/>
              </w:rPr>
              <w:t xml:space="preserve">  Incentive Stock Option </w:t>
            </w:r>
          </w:p>
        </w:tc>
        <w:tc>
          <w:tcPr>
            <w:tcW w:w="2480" w:type="dxa"/>
            <w:vAlign w:val="bottom"/>
            <w:gridSpan w:val="9"/>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Non-Qualified Stock Option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360" w:firstLine="430"/>
        <w:spacing w:after="0" w:line="278" w:lineRule="auto"/>
        <w:tabs>
          <w:tab w:leader="none" w:pos="60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Representations of Participant</w:t>
      </w:r>
      <w:r>
        <w:rPr>
          <w:rFonts w:ascii="Times New Roman" w:cs="Times New Roman" w:eastAsia="Times New Roman" w:hAnsi="Times New Roman"/>
          <w:sz w:val="18"/>
          <w:szCs w:val="18"/>
          <w:color w:val="auto"/>
        </w:rPr>
        <w:t>. Participant acknowledges that Participant has received, read and understood the Plan and the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agrees to abide by and be bound by their terms and conditions.</w:t>
      </w:r>
    </w:p>
    <w:p>
      <w:pPr>
        <w:spacing w:after="0" w:line="156" w:lineRule="exact"/>
        <w:rPr>
          <w:rFonts w:ascii="Times New Roman" w:cs="Times New Roman" w:eastAsia="Times New Roman" w:hAnsi="Times New Roman"/>
          <w:sz w:val="18"/>
          <w:szCs w:val="18"/>
          <w:color w:val="auto"/>
        </w:rPr>
      </w:pPr>
    </w:p>
    <w:p>
      <w:pPr>
        <w:ind w:right="100" w:firstLine="430"/>
        <w:spacing w:after="0" w:line="252" w:lineRule="auto"/>
        <w:tabs>
          <w:tab w:leader="none" w:pos="60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Consultation</w:t>
      </w:r>
      <w:r>
        <w:rPr>
          <w:rFonts w:ascii="Times New Roman" w:cs="Times New Roman" w:eastAsia="Times New Roman" w:hAnsi="Times New Roman"/>
          <w:sz w:val="18"/>
          <w:szCs w:val="18"/>
          <w:color w:val="auto"/>
        </w:rPr>
        <w:t>. Participant understands that Participant may suffer adverse tax consequences as a result of Participant’s purchase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179" w:lineRule="exact"/>
        <w:rPr>
          <w:rFonts w:ascii="Times New Roman" w:cs="Times New Roman" w:eastAsia="Times New Roman" w:hAnsi="Times New Roman"/>
          <w:sz w:val="18"/>
          <w:szCs w:val="18"/>
          <w:color w:val="auto"/>
        </w:rPr>
      </w:pPr>
    </w:p>
    <w:p>
      <w:pPr>
        <w:ind w:left="600" w:hanging="170"/>
        <w:spacing w:after="0"/>
        <w:tabs>
          <w:tab w:leader="none" w:pos="6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Participant Representations</w:t>
      </w:r>
      <w:r>
        <w:rPr>
          <w:rFonts w:ascii="Times New Roman" w:cs="Times New Roman" w:eastAsia="Times New Roman" w:hAnsi="Times New Roman"/>
          <w:sz w:val="18"/>
          <w:szCs w:val="18"/>
          <w:color w:val="auto"/>
        </w:rPr>
        <w:t>. Participant hereby reaffirms the representations in Article IV of the Agreement as of the date hereof.</w:t>
      </w:r>
    </w:p>
    <w:p>
      <w:pPr>
        <w:spacing w:after="0" w:line="217" w:lineRule="exact"/>
        <w:rPr>
          <w:rFonts w:ascii="Times New Roman" w:cs="Times New Roman" w:eastAsia="Times New Roman" w:hAnsi="Times New Roman"/>
          <w:sz w:val="18"/>
          <w:szCs w:val="18"/>
          <w:color w:val="auto"/>
        </w:rPr>
      </w:pPr>
    </w:p>
    <w:p>
      <w:pPr>
        <w:ind w:firstLine="430"/>
        <w:spacing w:after="0" w:line="270" w:lineRule="auto"/>
        <w:tabs>
          <w:tab w:leader="none" w:pos="609"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Further Instruments</w:t>
      </w:r>
      <w:r>
        <w:rPr>
          <w:rFonts w:ascii="Times New Roman" w:cs="Times New Roman" w:eastAsia="Times New Roman" w:hAnsi="Times New Roman"/>
          <w:sz w:val="17"/>
          <w:szCs w:val="17"/>
          <w:color w:val="auto"/>
        </w:rPr>
        <w:t>. Participant hereby agrees to execute such further instruments and to take such further action as the Company requests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carry out the purposes and intent of this Agreement and the Plan, including, without limitation, restrictions on the transferability of the Shares, the right of the Company to exercise its repurchase rights pursuant to Section 10.9 of the Plan, the right of the Company to require that shares of Common Stock be transferred in the event of certain transactions, tag-along rights, bring-along rights, redemption and co-sale rights and voting requirements in accordance with the Plan. The issuance of Shares shall be further subject to Participant’s satisfaction of the conditions under Section 10.14 of the Plan and execution of a counterpart signature page or joinder agreeing to be subject to any stockholders agreement as the Administrator shall determine.</w:t>
      </w:r>
    </w:p>
    <w:p>
      <w:pPr>
        <w:spacing w:after="0" w:line="1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700"/>
          </w:cols>
          <w:pgMar w:left="540" w:top="264" w:right="659" w:bottom="1440" w:gutter="0" w:footer="0" w:header="0"/>
        </w:sectPr>
      </w:pPr>
    </w:p>
    <w:bookmarkStart w:id="418" w:name="page419"/>
    <w:bookmarkEnd w:id="418"/>
    <w:p>
      <w:pPr>
        <w:ind w:left="600" w:hanging="170"/>
        <w:spacing w:after="0"/>
        <w:tabs>
          <w:tab w:leader="none" w:pos="600"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Notices</w:t>
      </w:r>
      <w:r>
        <w:rPr>
          <w:rFonts w:ascii="Times New Roman" w:cs="Times New Roman" w:eastAsia="Times New Roman" w:hAnsi="Times New Roman"/>
          <w:sz w:val="17"/>
          <w:szCs w:val="17"/>
          <w:color w:val="auto"/>
        </w:rPr>
        <w:t>. Any notice required or permitted hereunder shall be given in accordance with the provisions set forth in Section 6.2 of the Agreement.</w:t>
      </w:r>
    </w:p>
    <w:p>
      <w:pPr>
        <w:spacing w:after="0" w:line="228" w:lineRule="exact"/>
        <w:rPr>
          <w:rFonts w:ascii="Times New Roman" w:cs="Times New Roman" w:eastAsia="Times New Roman" w:hAnsi="Times New Roman"/>
          <w:sz w:val="17"/>
          <w:szCs w:val="17"/>
          <w:color w:val="auto"/>
        </w:rPr>
      </w:pPr>
    </w:p>
    <w:p>
      <w:pPr>
        <w:jc w:val="both"/>
        <w:ind w:right="40" w:firstLine="430"/>
        <w:spacing w:after="0" w:line="262" w:lineRule="auto"/>
        <w:tabs>
          <w:tab w:leader="none" w:pos="60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The Plan and Agreement are incorporated herein by reference. This Notice, the Plan and the Agreement constitute the entire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of the parties and supersede in their entirety all prior undertakings and agreements of the Company and Participant with respect to the subject matter hereof.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CG ONCOLOGY, INC.</w:t>
            </w:r>
          </w:p>
        </w:tc>
        <w:tc>
          <w:tcPr>
            <w:tcW w:w="5740" w:type="dxa"/>
            <w:vAlign w:val="bottom"/>
            <w:gridSpan w:val="2"/>
          </w:tcPr>
          <w:p>
            <w:pPr>
              <w:ind w:left="680"/>
              <w:spacing w:after="0"/>
              <w:rPr>
                <w:sz w:val="20"/>
                <w:szCs w:val="20"/>
                <w:color w:val="auto"/>
              </w:rPr>
            </w:pPr>
            <w:r>
              <w:rPr>
                <w:rFonts w:ascii="Times New Roman" w:cs="Times New Roman" w:eastAsia="Times New Roman" w:hAnsi="Times New Roman"/>
                <w:sz w:val="19"/>
                <w:szCs w:val="19"/>
                <w:b w:val="1"/>
                <w:bCs w:val="1"/>
                <w:color w:val="auto"/>
              </w:rPr>
              <w:t>PARTICIPANT:</w:t>
            </w:r>
          </w:p>
        </w:tc>
        <w:tc>
          <w:tcPr>
            <w:tcW w:w="0" w:type="dxa"/>
            <w:vAlign w:val="bottom"/>
          </w:tcPr>
          <w:p>
            <w:pPr>
              <w:spacing w:after="0"/>
              <w:rPr>
                <w:sz w:val="1"/>
                <w:szCs w:val="1"/>
                <w:color w:val="auto"/>
              </w:rPr>
            </w:pPr>
          </w:p>
        </w:tc>
      </w:tr>
      <w:tr>
        <w:trPr>
          <w:trHeight w:val="419"/>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5"/>
        </w:trPr>
        <w:tc>
          <w:tcPr>
            <w:tcW w:w="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Print Name:</w:t>
            </w:r>
          </w:p>
        </w:tc>
        <w:tc>
          <w:tcPr>
            <w:tcW w:w="4100" w:type="dxa"/>
            <w:vAlign w:val="bottom"/>
            <w:tcBorders>
              <w:top w:val="single" w:sz="8" w:color="auto"/>
              <w:bottom w:val="single" w:sz="8" w:color="auto"/>
            </w:tcBorders>
          </w:tcPr>
          <w:p>
            <w:pPr>
              <w:spacing w:after="0"/>
              <w:rPr>
                <w:sz w:val="17"/>
                <w:szCs w:val="17"/>
                <w:color w:val="auto"/>
              </w:rPr>
            </w:pPr>
          </w:p>
        </w:tc>
        <w:tc>
          <w:tcPr>
            <w:tcW w:w="1660" w:type="dxa"/>
            <w:vAlign w:val="bottom"/>
          </w:tcPr>
          <w:p>
            <w:pPr>
              <w:ind w:left="680"/>
              <w:spacing w:after="0" w:line="205" w:lineRule="exact"/>
              <w:rPr>
                <w:sz w:val="20"/>
                <w:szCs w:val="20"/>
                <w:color w:val="auto"/>
              </w:rPr>
            </w:pPr>
            <w:r>
              <w:rPr>
                <w:rFonts w:ascii="Times New Roman" w:cs="Times New Roman" w:eastAsia="Times New Roman" w:hAnsi="Times New Roman"/>
                <w:sz w:val="18"/>
                <w:szCs w:val="18"/>
                <w:color w:val="auto"/>
              </w:rPr>
              <w:t>Print Name:</w:t>
            </w:r>
          </w:p>
        </w:tc>
        <w:tc>
          <w:tcPr>
            <w:tcW w:w="40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4100" w:type="dxa"/>
            <w:vAlign w:val="bottom"/>
            <w:tcBorders>
              <w:bottom w:val="single" w:sz="8" w:color="auto"/>
            </w:tcBorders>
          </w:tcPr>
          <w:p>
            <w:pPr>
              <w:spacing w:after="0"/>
              <w:rPr>
                <w:sz w:val="17"/>
                <w:szCs w:val="17"/>
                <w:color w:val="auto"/>
              </w:rPr>
            </w:pPr>
          </w:p>
        </w:tc>
        <w:tc>
          <w:tcPr>
            <w:tcW w:w="5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352"/>
        </w:trPr>
        <w:tc>
          <w:tcPr>
            <w:tcW w:w="9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540" w:top="263" w:right="559" w:bottom="1440" w:gutter="0" w:footer="0" w:header="0"/>
        </w:sectPr>
      </w:pPr>
    </w:p>
    <w:bookmarkStart w:id="419" w:name="page420"/>
    <w:bookmarkEnd w:id="4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ASSIGNMENT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instructions below</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VALUE RECEIVED I,                      , hereby sell, assign and transfer unto _____________________ the shares of the Common Stock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-2540</wp:posOffset>
            </wp:positionV>
            <wp:extent cx="7848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Oncology, Inc. registered in my name on the books of said corporation represented by Certificate No. _____ and do hereby irrevocably constitute</w:t>
      </w:r>
    </w:p>
    <w:p>
      <w:pPr>
        <w:spacing w:after="0" w:line="5"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 xml:space="preserve">and appoint                    </w:t>
      </w:r>
      <w:r>
        <w:rPr>
          <w:sz w:val="20"/>
          <w:szCs w:val="20"/>
          <w:color w:val="auto"/>
        </w:rPr>
        <w:tab/>
      </w:r>
      <w:r>
        <w:rPr>
          <w:rFonts w:ascii="Times New Roman" w:cs="Times New Roman" w:eastAsia="Times New Roman" w:hAnsi="Times New Roman"/>
          <w:sz w:val="17"/>
          <w:szCs w:val="17"/>
          <w:color w:val="auto"/>
        </w:rPr>
        <w:t>to transfer the said stock on the books of the within named corporation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-22225</wp:posOffset>
            </wp:positionV>
            <wp:extent cx="7848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78" w:lineRule="exact"/>
        <w:rPr>
          <w:sz w:val="20"/>
          <w:szCs w:val="20"/>
          <w:color w:val="auto"/>
        </w:rPr>
      </w:pPr>
    </w:p>
    <w:p>
      <w:pPr>
        <w:ind w:right="360" w:firstLine="432"/>
        <w:spacing w:after="0" w:line="274" w:lineRule="auto"/>
        <w:rPr>
          <w:sz w:val="20"/>
          <w:szCs w:val="20"/>
          <w:color w:val="auto"/>
        </w:rPr>
      </w:pPr>
      <w:r>
        <w:rPr>
          <w:rFonts w:ascii="Times New Roman" w:cs="Times New Roman" w:eastAsia="Times New Roman" w:hAnsi="Times New Roman"/>
          <w:sz w:val="18"/>
          <w:szCs w:val="18"/>
          <w:color w:val="auto"/>
        </w:rPr>
        <w:t>This Assignment Separate from Certificate may be used only in accordance with the Stock Option Grant Notice and Stock Option Agreement between CG Oncology, Inc. and the undersigned 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-43815</wp:posOffset>
            </wp:positionV>
            <wp:extent cx="314007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14007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-9525</wp:posOffset>
            </wp:positionV>
            <wp:extent cx="84074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22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14605</wp:posOffset>
            </wp:positionV>
            <wp:extent cx="222123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spacing w:after="0" w:line="4"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[Name]</w:t>
      </w:r>
    </w:p>
    <w:p>
      <w:pPr>
        <w:spacing w:after="0" w:line="20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INSTRUCTIONS: </w:t>
      </w:r>
      <w:r>
        <w:rPr>
          <w:rFonts w:ascii="Times New Roman" w:cs="Times New Roman" w:eastAsia="Times New Roman" w:hAnsi="Times New Roman"/>
          <w:sz w:val="18"/>
          <w:szCs w:val="18"/>
          <w:u w:val="single" w:color="auto"/>
          <w:color w:val="auto"/>
        </w:rPr>
        <w:t>Please do not fill in any blanks other than the signature line. The purpose of this assignment is to enable the Company to exercise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the Company Repurchase Right, as set forth in the Stock Option Grant Notice and Stock Option Agreement, without requiring additional signatures on the part of Participant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800"/>
          </w:cols>
          <w:pgMar w:left="540" w:top="265" w:right="559"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33"/>
        </w:trPr>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20" w:type="dxa"/>
            <w:vAlign w:val="bottom"/>
          </w:tcPr>
          <w:p>
            <w:pPr>
              <w:jc w:val="right"/>
              <w:ind w:right="4672"/>
              <w:spacing w:after="0"/>
              <w:rPr>
                <w:sz w:val="20"/>
                <w:szCs w:val="20"/>
                <w:color w:val="auto"/>
              </w:rPr>
            </w:pPr>
            <w:r>
              <w:rPr>
                <w:rFonts w:ascii="Times New Roman" w:cs="Times New Roman" w:eastAsia="Times New Roman" w:hAnsi="Times New Roman"/>
                <w:sz w:val="18"/>
                <w:szCs w:val="18"/>
                <w:b w:val="1"/>
                <w:bCs w:val="1"/>
                <w:color w:val="auto"/>
              </w:rPr>
              <w:t>EXHIBIT D</w:t>
            </w:r>
          </w:p>
        </w:tc>
      </w:tr>
      <w:tr>
        <w:trPr>
          <w:trHeight w:val="318"/>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20" w:type="dxa"/>
            <w:vAlign w:val="bottom"/>
          </w:tcPr>
          <w:p>
            <w:pPr>
              <w:jc w:val="right"/>
              <w:ind w:right="4192"/>
              <w:spacing w:after="0"/>
              <w:rPr>
                <w:sz w:val="20"/>
                <w:szCs w:val="20"/>
                <w:color w:val="auto"/>
              </w:rPr>
            </w:pPr>
            <w:r>
              <w:rPr>
                <w:rFonts w:ascii="Times New Roman" w:cs="Times New Roman" w:eastAsia="Times New Roman" w:hAnsi="Times New Roman"/>
                <w:sz w:val="18"/>
                <w:szCs w:val="18"/>
                <w:b w:val="1"/>
                <w:bCs w:val="1"/>
                <w:color w:val="auto"/>
              </w:rPr>
              <w:t>CONSENT OF SPOUSE</w:t>
            </w:r>
          </w:p>
        </w:tc>
      </w:tr>
      <w:tr>
        <w:trPr>
          <w:trHeight w:val="383"/>
        </w:trPr>
        <w:tc>
          <w:tcPr>
            <w:tcW w:w="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4"/>
              </w:rPr>
              <w:t>I,  </w:t>
            </w:r>
          </w:p>
        </w:tc>
        <w:tc>
          <w:tcPr>
            <w:tcW w:w="3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spouse of                          </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 have read and approve the Stock Option Grant Notice and Stock Option Agreement dated</w:t>
            </w:r>
          </w:p>
        </w:tc>
      </w:tr>
      <w:tr>
        <w:trPr>
          <w:trHeight w:val="20"/>
        </w:trPr>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2"/>
        </w:trPr>
        <w:tc>
          <w:tcPr>
            <w:tcW w:w="58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spacing w:after="0"/>
              <w:rPr>
                <w:sz w:val="16"/>
                <w:szCs w:val="16"/>
                <w:color w:val="auto"/>
              </w:rPr>
            </w:pPr>
          </w:p>
        </w:tc>
        <w:tc>
          <w:tcPr>
            <w:tcW w:w="318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w w:val="98"/>
              </w:rPr>
              <w:t>, between my spouse and CG Oncology, Inc.</w:t>
            </w:r>
          </w:p>
        </w:tc>
        <w:tc>
          <w:tcPr>
            <w:tcW w:w="670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w w:val="97"/>
              </w:rPr>
              <w:t>In consideration of granting of the right to my spouse to purchase shares of CG Oncology, Inc.</w:t>
            </w:r>
          </w:p>
        </w:tc>
      </w:tr>
    </w:tbl>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8"/>
          <w:szCs w:val="18"/>
          <w:color w:val="auto"/>
        </w:rPr>
        <w:t>set forth in the Stock Option Grant Notice and Stock Option Agreement, I hereby appoint my spouse as my attorney-in-fact in respect to the exercise of any rights under the Stock Option Grant Notice and Stock Option Agreement and agree to be bound by the provisions of the Stock Option Grant Notice and Stock Option Agreement insofar as I may have any rights in said Stock Option Grant Notice and Stock Option Agreement or any shares issued pursuant thereto under the community property laws or similar laws relating to marital property in effect in the state of our residence as of the date of the signing of the Stock Option Grant Notice and Stock Option Agreement or the exercise of the option granted thereunder.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-9525</wp:posOffset>
            </wp:positionV>
            <wp:extent cx="84074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Signature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-127635</wp:posOffset>
            </wp:positionV>
            <wp:extent cx="274256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19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INSTRUCTIONS: </w:t>
      </w:r>
      <w:r>
        <w:rPr>
          <w:rFonts w:ascii="Times New Roman" w:cs="Times New Roman" w:eastAsia="Times New Roman" w:hAnsi="Times New Roman"/>
          <w:sz w:val="18"/>
          <w:szCs w:val="18"/>
          <w:color w:val="auto"/>
        </w:rPr>
        <w:t>Please do not fill in the blanks other than the signature line. The purpose of this assignment is to enable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its “Repurchase Option,” as set forth in the Stock Option Grant Notice and Stock Option Agreement, without requiring additional signatures on the part of Participant.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0800"/>
          </w:cols>
          <w:pgMar w:left="540" w:top="265" w:right="559" w:bottom="1440" w:gutter="0" w:footer="0" w:header="0"/>
        </w:sectPr>
      </w:pPr>
    </w:p>
    <w:bookmarkStart w:id="421" w:name="page422"/>
    <w:bookmarkEnd w:id="4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FORM OF 83(B) ELECTION AND INSTRUCTIONS</w:t>
      </w:r>
    </w:p>
    <w:p>
      <w:pPr>
        <w:spacing w:after="0" w:line="219"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color w:val="auto"/>
        </w:rPr>
        <w:t xml:space="preserve">These instructions are provided to assist you if you choose to make an election under Section 83(b) of the Internal Revenue Code, as amended, with respect to the shares of common stock of CG Oncology, Inc. transferred to you. </w:t>
      </w:r>
      <w:r>
        <w:rPr>
          <w:rFonts w:ascii="Times New Roman" w:cs="Times New Roman" w:eastAsia="Times New Roman" w:hAnsi="Times New Roman"/>
          <w:sz w:val="18"/>
          <w:szCs w:val="18"/>
          <w:b w:val="1"/>
          <w:bCs w:val="1"/>
          <w:color w:val="auto"/>
        </w:rPr>
        <w:t>Please consult with your personal tax advisor as to whether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 of this nature will be in your best interests in light of your personal tax situation.</w:t>
      </w:r>
    </w:p>
    <w:p>
      <w:pPr>
        <w:spacing w:after="0" w:line="178"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8"/>
          <w:szCs w:val="18"/>
          <w:color w:val="auto"/>
        </w:rPr>
        <w:t xml:space="preserve">The executed original of the Section 83(b) election must be filed with the Internal Revenue Service not later than 30 days after the date the shares were transferred to you. </w:t>
      </w:r>
      <w:r>
        <w:rPr>
          <w:rFonts w:ascii="Times New Roman" w:cs="Times New Roman" w:eastAsia="Times New Roman" w:hAnsi="Times New Roman"/>
          <w:sz w:val="18"/>
          <w:szCs w:val="18"/>
          <w:b w:val="1"/>
          <w:bCs w:val="1"/>
          <w:color w:val="auto"/>
        </w:rPr>
        <w:t>There is no remedy for failure to file on time.</w:t>
      </w:r>
      <w:r>
        <w:rPr>
          <w:rFonts w:ascii="Times New Roman" w:cs="Times New Roman" w:eastAsia="Times New Roman" w:hAnsi="Times New Roman"/>
          <w:sz w:val="18"/>
          <w:szCs w:val="18"/>
          <w:color w:val="auto"/>
        </w:rPr>
        <w:t xml:space="preserve"> The steps outlined below should be followed to ensure the election is mailed and filed correctly and in a timely manner. </w:t>
      </w:r>
      <w:r>
        <w:rPr>
          <w:rFonts w:ascii="Times New Roman" w:cs="Times New Roman" w:eastAsia="Times New Roman" w:hAnsi="Times New Roman"/>
          <w:sz w:val="18"/>
          <w:szCs w:val="18"/>
          <w:b w:val="1"/>
          <w:bCs w:val="1"/>
          <w:color w:val="auto"/>
        </w:rPr>
        <w:t>If you make the Section 83(b) election, the election is irrevocable.</w:t>
      </w:r>
    </w:p>
    <w:p>
      <w:pPr>
        <w:spacing w:after="0" w:line="178" w:lineRule="exact"/>
        <w:rPr>
          <w:sz w:val="20"/>
          <w:szCs w:val="20"/>
          <w:color w:val="auto"/>
        </w:rPr>
      </w:pPr>
    </w:p>
    <w:p>
      <w:pPr>
        <w:ind w:right="220" w:firstLine="432"/>
        <w:spacing w:after="0" w:line="274" w:lineRule="auto"/>
        <w:rPr>
          <w:sz w:val="20"/>
          <w:szCs w:val="20"/>
          <w:color w:val="auto"/>
        </w:rPr>
      </w:pPr>
      <w:r>
        <w:rPr>
          <w:rFonts w:ascii="Times New Roman" w:cs="Times New Roman" w:eastAsia="Times New Roman" w:hAnsi="Times New Roman"/>
          <w:sz w:val="18"/>
          <w:szCs w:val="18"/>
          <w:color w:val="auto"/>
        </w:rPr>
        <w:t xml:space="preserve">Complete the Section 83(b) election form (attached as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and make four (4) copies of the signed election form. Your spouse, if any, should sign the Section 83(b) election form as well.</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Prepare the cover letter to the Internal Revenue Service (sample letter attached as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80" w:firstLine="432"/>
        <w:spacing w:after="0" w:line="252" w:lineRule="auto"/>
        <w:rPr>
          <w:sz w:val="20"/>
          <w:szCs w:val="20"/>
          <w:color w:val="auto"/>
        </w:rPr>
      </w:pPr>
      <w:r>
        <w:rPr>
          <w:rFonts w:ascii="Times New Roman" w:cs="Times New Roman" w:eastAsia="Times New Roman" w:hAnsi="Times New Roman"/>
          <w:sz w:val="18"/>
          <w:szCs w:val="18"/>
          <w:color w:val="auto"/>
        </w:rPr>
        <w:t>Send the cover letter with the originally executed Section 83(b) election form and one (1) copy via certified mail, return receipt requested to the Internal Revenue Service at the address of the Internal Revenue Service where you file your personal tax returns. We suggest that you have the package date-stamped at the post office. The post office will provide you with a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(1) copy must be sent to CG Oncology, Inc. for its records.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Retain the Internal Revenue Service file stamped copy (when returned) for your records.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Please consult your personal tax advisor for the address of the office of the Internal Revenue Service to which you should mail your election form.</w:t>
      </w:r>
    </w:p>
    <w:p>
      <w:pPr>
        <w:sectPr>
          <w:pgSz w:w="11900" w:h="16838" w:orient="portrait"/>
          <w:cols w:equalWidth="0" w:num="1">
            <w:col w:w="10780"/>
          </w:cols>
          <w:pgMar w:left="540" w:top="264" w:right="579" w:bottom="1440" w:gutter="0" w:footer="0" w:header="0"/>
        </w:sectPr>
      </w:pPr>
    </w:p>
    <w:bookmarkStart w:id="422" w:name="page423"/>
    <w:bookmarkEnd w:id="4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ATTACHMENT 1</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ELECTION UNDER INTERNAL REVENUE CODE SECTION 83(B)</w:t>
      </w:r>
    </w:p>
    <w:p>
      <w:pPr>
        <w:spacing w:after="0" w:line="219" w:lineRule="exact"/>
        <w:rPr>
          <w:sz w:val="20"/>
          <w:szCs w:val="20"/>
          <w:color w:val="auto"/>
        </w:rPr>
      </w:pPr>
    </w:p>
    <w:p>
      <w:pPr>
        <w:ind w:right="260" w:firstLine="432"/>
        <w:spacing w:after="0" w:line="259" w:lineRule="auto"/>
        <w:rPr>
          <w:sz w:val="20"/>
          <w:szCs w:val="20"/>
          <w:color w:val="auto"/>
        </w:rPr>
      </w:pPr>
      <w:r>
        <w:rPr>
          <w:rFonts w:ascii="Times New Roman" w:cs="Times New Roman" w:eastAsia="Times New Roman" w:hAnsi="Times New Roman"/>
          <w:sz w:val="18"/>
          <w:szCs w:val="18"/>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of CG Oncology,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address and taxpayer identification number of the undersigned taxpayer are:</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7"/>
                <w:szCs w:val="17"/>
                <w:color w:val="auto"/>
              </w:rPr>
            </w:pPr>
          </w:p>
        </w:tc>
      </w:tr>
      <w:tr>
        <w:trPr>
          <w:trHeight w:val="19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gridSpan w:val="2"/>
          </w:tcPr>
          <w:p>
            <w:pPr>
              <w:ind w:left="60"/>
              <w:spacing w:after="0" w:line="192" w:lineRule="exact"/>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Borders>
              <w:bottom w:val="single" w:sz="8" w:color="auto"/>
            </w:tcBorders>
          </w:tcPr>
          <w:p>
            <w:pPr>
              <w:ind w:left="140"/>
              <w:spacing w:after="0" w:line="192" w:lineRule="exact"/>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20"/>
              <w:spacing w:after="0" w:line="192" w:lineRule="exact"/>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line="192" w:lineRule="exact"/>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6"/>
                <w:szCs w:val="16"/>
                <w:color w:val="auto"/>
              </w:rPr>
            </w:pPr>
          </w:p>
        </w:tc>
      </w:tr>
      <w:tr>
        <w:trPr>
          <w:trHeight w:val="192"/>
        </w:trPr>
        <w:tc>
          <w:tcPr>
            <w:tcW w:w="760" w:type="dxa"/>
            <w:vAlign w:val="bottom"/>
            <w:tcBorders>
              <w:bottom w:val="single" w:sz="8" w:color="auto"/>
            </w:tcBorders>
            <w:gridSpan w:val="6"/>
          </w:tcPr>
          <w:p>
            <w:pPr>
              <w:jc w:val="right"/>
              <w:spacing w:after="0" w:line="192" w:lineRule="exact"/>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Borders>
              <w:bottom w:val="single" w:sz="8" w:color="auto"/>
            </w:tcBorders>
          </w:tcPr>
          <w:p>
            <w:pPr>
              <w:ind w:left="140"/>
              <w:spacing w:after="0" w:line="192" w:lineRule="exact"/>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20"/>
              <w:spacing w:after="0" w:line="192" w:lineRule="exact"/>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line="192" w:lineRule="exact"/>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6"/>
                <w:szCs w:val="16"/>
                <w:color w:val="auto"/>
              </w:rPr>
            </w:pPr>
          </w:p>
        </w:tc>
      </w:tr>
      <w:tr>
        <w:trPr>
          <w:trHeight w:val="192"/>
        </w:trPr>
        <w:tc>
          <w:tcPr>
            <w:tcW w:w="48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auto"/>
                <w:w w:val="75"/>
              </w:rPr>
              <w:t>SSN:  </w:t>
            </w:r>
          </w:p>
        </w:tc>
        <w:tc>
          <w:tcPr>
            <w:tcW w:w="100" w:type="dxa"/>
            <w:vAlign w:val="bottom"/>
          </w:tcPr>
          <w:p>
            <w:pPr>
              <w:spacing w:after="0"/>
              <w:rPr>
                <w:sz w:val="16"/>
                <w:szCs w:val="16"/>
                <w:color w:val="auto"/>
              </w:rPr>
            </w:pPr>
          </w:p>
        </w:tc>
        <w:tc>
          <w:tcPr>
            <w:tcW w:w="180" w:type="dxa"/>
            <w:vAlign w:val="bottom"/>
          </w:tcPr>
          <w:p>
            <w:pPr>
              <w:jc w:val="right"/>
              <w:ind w:right="77"/>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6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address and taxpayer identification number of the Taxpayer’s spouse are (complete if applicable):</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7"/>
                <w:szCs w:val="17"/>
                <w:color w:val="auto"/>
              </w:rPr>
            </w:pPr>
          </w:p>
        </w:tc>
      </w:tr>
      <w:tr>
        <w:trPr>
          <w:trHeight w:val="192"/>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gridSpan w:val="2"/>
          </w:tcPr>
          <w:p>
            <w:pPr>
              <w:ind w:left="60"/>
              <w:spacing w:after="0" w:line="192" w:lineRule="exact"/>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Borders>
              <w:bottom w:val="single" w:sz="8" w:color="auto"/>
            </w:tcBorders>
          </w:tcPr>
          <w:p>
            <w:pPr>
              <w:ind w:left="140"/>
              <w:spacing w:after="0" w:line="192" w:lineRule="exact"/>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20"/>
              <w:spacing w:after="0" w:line="192" w:lineRule="exact"/>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line="192" w:lineRule="exact"/>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6"/>
                <w:szCs w:val="16"/>
                <w:color w:val="auto"/>
              </w:rPr>
            </w:pPr>
          </w:p>
        </w:tc>
      </w:tr>
      <w:tr>
        <w:trPr>
          <w:trHeight w:val="192"/>
        </w:trPr>
        <w:tc>
          <w:tcPr>
            <w:tcW w:w="760" w:type="dxa"/>
            <w:vAlign w:val="bottom"/>
            <w:tcBorders>
              <w:bottom w:val="single" w:sz="8" w:color="auto"/>
            </w:tcBorders>
            <w:gridSpan w:val="6"/>
          </w:tcPr>
          <w:p>
            <w:pPr>
              <w:jc w:val="right"/>
              <w:spacing w:after="0" w:line="192" w:lineRule="exact"/>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Borders>
              <w:bottom w:val="single" w:sz="8" w:color="auto"/>
            </w:tcBorders>
          </w:tcPr>
          <w:p>
            <w:pPr>
              <w:ind w:left="140"/>
              <w:spacing w:after="0" w:line="192" w:lineRule="exact"/>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20"/>
              <w:spacing w:after="0" w:line="192" w:lineRule="exact"/>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40"/>
              <w:spacing w:after="0" w:line="192" w:lineRule="exact"/>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6"/>
                <w:szCs w:val="16"/>
                <w:color w:val="auto"/>
              </w:rPr>
            </w:pPr>
          </w:p>
        </w:tc>
      </w:tr>
      <w:tr>
        <w:trPr>
          <w:trHeight w:val="192"/>
        </w:trPr>
        <w:tc>
          <w:tcPr>
            <w:tcW w:w="48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auto"/>
                <w:w w:val="75"/>
              </w:rPr>
              <w:t>SSN:  </w:t>
            </w:r>
          </w:p>
        </w:tc>
        <w:tc>
          <w:tcPr>
            <w:tcW w:w="100" w:type="dxa"/>
            <w:vAlign w:val="bottom"/>
          </w:tcPr>
          <w:p>
            <w:pPr>
              <w:spacing w:after="0"/>
              <w:rPr>
                <w:sz w:val="16"/>
                <w:szCs w:val="16"/>
                <w:color w:val="auto"/>
              </w:rPr>
            </w:pPr>
          </w:p>
        </w:tc>
        <w:tc>
          <w:tcPr>
            <w:tcW w:w="180" w:type="dxa"/>
            <w:vAlign w:val="bottom"/>
          </w:tcPr>
          <w:p>
            <w:pPr>
              <w:jc w:val="right"/>
              <w:ind w:right="77"/>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6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property with respect to which the election is being made:</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__________________ (_____) shares of Common Stock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on which the property was transferred was ______________. The taxable year to which this election relates is calendar year ____.</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Nature of restrictions to which the property is subject:</w:t>
      </w:r>
    </w:p>
    <w:p>
      <w:pPr>
        <w:spacing w:after="0" w:line="111" w:lineRule="exact"/>
        <w:rPr>
          <w:sz w:val="20"/>
          <w:szCs w:val="20"/>
          <w:color w:val="auto"/>
        </w:rPr>
      </w:pPr>
    </w:p>
    <w:p>
      <w:pPr>
        <w:ind w:left="440" w:right="280"/>
        <w:spacing w:after="0" w:line="274" w:lineRule="auto"/>
        <w:rPr>
          <w:sz w:val="20"/>
          <w:szCs w:val="20"/>
          <w:color w:val="auto"/>
        </w:rPr>
      </w:pPr>
      <w:r>
        <w:rPr>
          <w:rFonts w:ascii="Times New Roman" w:cs="Times New Roman" w:eastAsia="Times New Roman" w:hAnsi="Times New Roman"/>
          <w:sz w:val="18"/>
          <w:szCs w:val="18"/>
          <w:color w:val="auto"/>
        </w:rPr>
        <w:t>The Shares are subject to repurchase by the Company or its assignee upon the occurrence of certain events. This repurchase right lapses based upon the continued performance of services by the taxpayer over time.</w:t>
      </w:r>
    </w:p>
    <w:p>
      <w:pPr>
        <w:spacing w:after="0" w:line="1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fair market value at the time of transfer (determined without regard to any lapse restrictions, as defined in Treasury Regulation Section 1.83-3(i)) of the Shares was $___________ per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paid by the taxpayer for the Shares was per share.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statement has been furnished to the Company.</w:t>
      </w:r>
    </w:p>
    <w:p>
      <w:pPr>
        <w:spacing w:after="0" w:line="244"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8"/>
          <w:szCs w:val="18"/>
          <w:color w:val="auto"/>
        </w:rPr>
        <w:t>Dated: _____________, ____</w:t>
      </w:r>
      <w:r>
        <w:rPr>
          <w:sz w:val="20"/>
          <w:szCs w:val="20"/>
          <w:color w:val="auto"/>
        </w:rPr>
        <w:tab/>
      </w:r>
      <w:r>
        <w:rPr>
          <w:rFonts w:ascii="Times New Roman" w:cs="Times New Roman" w:eastAsia="Times New Roman" w:hAnsi="Times New Roman"/>
          <w:sz w:val="17"/>
          <w:szCs w:val="17"/>
          <w:color w:val="auto"/>
        </w:rPr>
        <w:t>Taxpayer Signature ________________________</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740"/>
          </w:cols>
          <w:pgMar w:left="540" w:top="265" w:right="619" w:bottom="1440" w:gutter="0" w:footer="0" w:header="0"/>
        </w:sectPr>
      </w:pPr>
    </w:p>
    <w:bookmarkStart w:id="423" w:name="page424"/>
    <w:bookmarkEnd w:id="423"/>
    <w:p>
      <w:pPr>
        <w:ind w:left="990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3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CERTAIN CONFIDENTIAL INFORMATION CONTAINED IN THIS DOCUMENT, MARKED BY [***], HAS BEEN OMITTED BECAUSE CG ONCOLOGY, INC. HAS DETERMINED THE INFORMATION (I) IS NOT MATERIAL AND (II) WOULD LIKELY CAUSE COMPETITIVE HARM TO CG ONCOLOGY, INC. IF PUBLICLY DISCLOSED.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DEVELOPMENT AND LICENSE AGREEMENT</w:t>
      </w:r>
    </w:p>
    <w:p>
      <w:pPr>
        <w:spacing w:after="0" w:line="215"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auto"/>
        </w:rPr>
        <w:t>This DEVELOPMENT AND LICENSE AGREEMENT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effective as of March 11, 2019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is entered into by and between Cold Genesys, Inc. (“</w:t>
      </w:r>
      <w:r>
        <w:rPr>
          <w:rFonts w:ascii="Times New Roman" w:cs="Times New Roman" w:eastAsia="Times New Roman" w:hAnsi="Times New Roman"/>
          <w:sz w:val="18"/>
          <w:szCs w:val="18"/>
          <w:b w:val="1"/>
          <w:bCs w:val="1"/>
          <w:i w:val="1"/>
          <w:iCs w:val="1"/>
          <w:color w:val="auto"/>
        </w:rPr>
        <w:t>CG</w:t>
      </w:r>
      <w:r>
        <w:rPr>
          <w:rFonts w:ascii="Times New Roman" w:cs="Times New Roman" w:eastAsia="Times New Roman" w:hAnsi="Times New Roman"/>
          <w:sz w:val="18"/>
          <w:szCs w:val="18"/>
          <w:color w:val="auto"/>
        </w:rPr>
        <w:t>”), with offices at Santa Ana, CA 92707, and Lepu Biotech Co., Ltd. (“</w:t>
      </w:r>
      <w:r>
        <w:rPr>
          <w:rFonts w:ascii="Times New Roman" w:cs="Times New Roman" w:eastAsia="Times New Roman" w:hAnsi="Times New Roman"/>
          <w:sz w:val="18"/>
          <w:szCs w:val="18"/>
          <w:b w:val="1"/>
          <w:bCs w:val="1"/>
          <w:i w:val="1"/>
          <w:iCs w:val="1"/>
          <w:color w:val="auto"/>
        </w:rPr>
        <w:t>Lepu</w:t>
      </w:r>
      <w:r>
        <w:rPr>
          <w:rFonts w:ascii="Times New Roman" w:cs="Times New Roman" w:eastAsia="Times New Roman" w:hAnsi="Times New Roman"/>
          <w:sz w:val="18"/>
          <w:szCs w:val="18"/>
          <w:color w:val="auto"/>
        </w:rPr>
        <w:t>”), with offices at 1-C280, No. 1628 Suzhao Road, Minhang, Shanghai. CG and Lepu may each be referred to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or together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9"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WHEREAS, CG owns or controls certain intellectual property assets, including, but not limited to, patents, proprietary know-how, and scientific and technical information relating to CG’s CG0070 recombinant adenovirus;</w:t>
      </w:r>
    </w:p>
    <w:p>
      <w:pPr>
        <w:spacing w:after="0" w:line="16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WHEREAS, Lepu possesses expertise and resources relating to the development, manufacture and commercialization of pharmaceutical products and wishes to obtain an exclusive license under CG’s patents, proprietary know-how and scientific and technical information relating to CG’s CG0070 recombinant adenovirus to develop, manufacture and commercialize products for China; and</w:t>
      </w:r>
    </w:p>
    <w:p>
      <w:pPr>
        <w:spacing w:after="0" w:line="178" w:lineRule="exact"/>
        <w:rPr>
          <w:sz w:val="20"/>
          <w:szCs w:val="20"/>
          <w:color w:val="auto"/>
        </w:rPr>
      </w:pPr>
    </w:p>
    <w:p>
      <w:pPr>
        <w:ind w:right="840"/>
        <w:spacing w:after="0" w:line="274" w:lineRule="auto"/>
        <w:rPr>
          <w:sz w:val="20"/>
          <w:szCs w:val="20"/>
          <w:color w:val="auto"/>
        </w:rPr>
      </w:pPr>
      <w:r>
        <w:rPr>
          <w:rFonts w:ascii="Times New Roman" w:cs="Times New Roman" w:eastAsia="Times New Roman" w:hAnsi="Times New Roman"/>
          <w:sz w:val="18"/>
          <w:szCs w:val="18"/>
          <w:color w:val="auto"/>
        </w:rPr>
        <w:t>WHEREAS, CG and Lepu desire to enter into a collaboration for the development and commercialization of such products as set forth in this Agreement.</w:t>
      </w:r>
    </w:p>
    <w:p>
      <w:pPr>
        <w:spacing w:after="0" w:line="163"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representations, warranties and covenants contained herein, CG and Lepu, intending to be legally bound, hereby agree as follows: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17" w:lineRule="exact"/>
        <w:rPr>
          <w:sz w:val="20"/>
          <w:szCs w:val="20"/>
          <w:color w:val="auto"/>
        </w:rPr>
      </w:pPr>
    </w:p>
    <w:p>
      <w:pPr>
        <w:ind w:right="320" w:firstLine="432"/>
        <w:spacing w:after="0" w:line="27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CERTAIN DEFINITIONS</w:t>
      </w:r>
      <w:r>
        <w:rPr>
          <w:rFonts w:ascii="Times New Roman" w:cs="Times New Roman" w:eastAsia="Times New Roman" w:hAnsi="Times New Roman"/>
          <w:sz w:val="18"/>
          <w:szCs w:val="18"/>
          <w:color w:val="auto"/>
        </w:rPr>
        <w:t>. For purposes of this Agreement, the following capitalized terms, whether used in the singular or plural, shall have the following meanings:</w:t>
      </w:r>
    </w:p>
    <w:p>
      <w:pPr>
        <w:spacing w:after="0" w:line="158" w:lineRule="exact"/>
        <w:rPr>
          <w:sz w:val="20"/>
          <w:szCs w:val="20"/>
          <w:color w:val="auto"/>
        </w:rPr>
      </w:pPr>
    </w:p>
    <w:p>
      <w:pPr>
        <w:ind w:right="40" w:firstLine="973"/>
        <w:spacing w:after="0" w:line="284"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b w:val="1"/>
          <w:bCs w:val="1"/>
          <w:i w:val="1"/>
          <w:iCs w:val="1"/>
          <w:color w:val="auto"/>
        </w:rPr>
        <w:t>Adverse Event</w:t>
      </w:r>
      <w:r>
        <w:rPr>
          <w:rFonts w:ascii="Times New Roman" w:cs="Times New Roman" w:eastAsia="Times New Roman" w:hAnsi="Times New Roman"/>
          <w:sz w:val="17"/>
          <w:szCs w:val="17"/>
          <w:color w:val="auto"/>
        </w:rPr>
        <w:t>” means any undesirable event or experience associated with the use of a medicinal product, whether or not expected, including, but not limited to, an event or experience that occurs: in the course of the use of the product in professional practice; from overdose whether accidental or intentional; from abuse; from withdrawal; or from a failure of expected pharmacological or biological therapeutic action of the product.</w:t>
      </w:r>
    </w:p>
    <w:p>
      <w:pPr>
        <w:spacing w:after="0" w:line="154" w:lineRule="exact"/>
        <w:rPr>
          <w:sz w:val="20"/>
          <w:szCs w:val="20"/>
          <w:color w:val="auto"/>
        </w:rPr>
      </w:pPr>
    </w:p>
    <w:p>
      <w:pPr>
        <w:ind w:right="340" w:firstLine="973"/>
        <w:spacing w:after="0" w:line="27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Person that, directly or indirectly, controls, is controlled by or is under common control with a Party for so long as such control exists, where “control” means the decision-making authority as to such Person and, further, where such control</w:t>
      </w:r>
    </w:p>
    <w:p>
      <w:pPr>
        <w:sectPr>
          <w:pgSz w:w="11900" w:h="16838" w:orient="portrait"/>
          <w:cols w:equalWidth="0" w:num="1">
            <w:col w:w="10820"/>
          </w:cols>
          <w:pgMar w:left="540" w:top="119" w:right="539" w:bottom="1440" w:gutter="0" w:footer="0" w:header="0"/>
        </w:sectPr>
      </w:pPr>
    </w:p>
    <w:bookmarkStart w:id="424" w:name="page425"/>
    <w:bookmarkEnd w:id="424"/>
    <w:p>
      <w:pPr>
        <w:ind w:right="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shall be presumed to exist where a Person owns more than fifty percent (50%) of the equity (or such lesser percentage which is the maximum allowed to be owned by a foreign corporation in a particular jurisdiction) entitled to vote regarding composition of the board of directors or other body entitled to direct the affairs of the entity.</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i w:val="1"/>
          <w:iCs w:val="1"/>
          <w:color w:val="auto"/>
        </w:rPr>
        <w:t>Approval Request</w:t>
      </w:r>
      <w:r>
        <w:rPr>
          <w:rFonts w:ascii="Times New Roman" w:cs="Times New Roman" w:eastAsia="Times New Roman" w:hAnsi="Times New Roman"/>
          <w:sz w:val="18"/>
          <w:szCs w:val="18"/>
          <w:color w:val="auto"/>
        </w:rPr>
        <w:t>” shall have the meaning assigned thereto in Section 9.1.</w:t>
      </w:r>
    </w:p>
    <w:p>
      <w:pPr>
        <w:spacing w:after="0" w:line="217" w:lineRule="exact"/>
        <w:rPr>
          <w:sz w:val="20"/>
          <w:szCs w:val="20"/>
          <w:color w:val="auto"/>
        </w:rPr>
      </w:pPr>
    </w:p>
    <w:p>
      <w:pPr>
        <w:ind w:right="360" w:firstLine="973"/>
        <w:spacing w:after="0" w:line="27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or Sunday or (b) any other day on which banks in New York, New York, United States are permitted or required to be closed.</w:t>
      </w:r>
    </w:p>
    <w:p>
      <w:pPr>
        <w:spacing w:after="0" w:line="156" w:lineRule="exact"/>
        <w:rPr>
          <w:sz w:val="20"/>
          <w:szCs w:val="20"/>
          <w:color w:val="auto"/>
        </w:rPr>
      </w:pPr>
    </w:p>
    <w:p>
      <w:pPr>
        <w:ind w:right="100" w:firstLine="973"/>
        <w:spacing w:after="0" w:line="25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i w:val="1"/>
          <w:iCs w:val="1"/>
          <w:color w:val="auto"/>
        </w:rPr>
        <w:t>CG0070 Patents</w:t>
      </w:r>
      <w:r>
        <w:rPr>
          <w:rFonts w:ascii="Times New Roman" w:cs="Times New Roman" w:eastAsia="Times New Roman" w:hAnsi="Times New Roman"/>
          <w:sz w:val="18"/>
          <w:szCs w:val="18"/>
          <w:color w:val="auto"/>
        </w:rPr>
        <w:t>” means the following: (a) the patents and patent applications set forth in Exhibit 1 attached hereto; (b) all other patents and patent applications owned or Controlled by CG as of the Effective Date or during the Term with at least one pending or issued claim that would be infringed by the manufacture, use, and/or sale of a Product; (c) all patent applications claiming priority from a patent or patent application described in (a) or (b), including, without limitation, continuations, divisionals, continuations-in-part and foreign patent applications; (d) all patents and patent applications from which any patent or patent application described in (a), (b), or (c) claims priority; and (e) all patents issuing from a patent application described in (a), (b), (c), or (d), including, without limitation, all reissues, reexaminations and extensions.</w:t>
      </w:r>
    </w:p>
    <w:p>
      <w:pPr>
        <w:spacing w:after="0" w:line="180" w:lineRule="exact"/>
        <w:rPr>
          <w:sz w:val="20"/>
          <w:szCs w:val="20"/>
          <w:color w:val="auto"/>
        </w:rPr>
      </w:pPr>
    </w:p>
    <w:p>
      <w:pPr>
        <w:ind w:right="60" w:firstLine="973"/>
        <w:spacing w:after="0" w:line="254"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 transaction or series of related transactions pursuant to which an entity that directly or indirectly obtains ownership of more than fifty percent (50%) of the voting securities of CG, provided that (i) CG is the surviving or continuing entity in the event of any merger, combination, conversion, reorganization, or similar transaction that constitutes all or part of such Change in Control and (ii) no assets of CG relating to the Licensed IP are assigned, transferred or sold in connection with such transaction or series of related transactions constituting such Change in Control.</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means any charge, complaint, action, suit, proceeding, hearing, investigation, claim or demand.</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i w:val="1"/>
          <w:iCs w:val="1"/>
          <w:color w:val="auto"/>
        </w:rPr>
        <w:t>Combination Product</w:t>
      </w:r>
      <w:r>
        <w:rPr>
          <w:rFonts w:ascii="Times New Roman" w:cs="Times New Roman" w:eastAsia="Times New Roman" w:hAnsi="Times New Roman"/>
          <w:sz w:val="18"/>
          <w:szCs w:val="18"/>
          <w:color w:val="auto"/>
        </w:rPr>
        <w:t>” means a Product(s) and Other Product(s) sold in combination.</w:t>
      </w:r>
    </w:p>
    <w:p>
      <w:pPr>
        <w:spacing w:after="0" w:line="217" w:lineRule="exact"/>
        <w:rPr>
          <w:sz w:val="20"/>
          <w:szCs w:val="20"/>
          <w:color w:val="auto"/>
        </w:rPr>
      </w:pPr>
    </w:p>
    <w:p>
      <w:pPr>
        <w:ind w:firstLine="973"/>
        <w:spacing w:after="0" w:line="254"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i w:val="1"/>
          <w:iCs w:val="1"/>
          <w:color w:val="auto"/>
        </w:rPr>
        <w:t>Commercially Reasonable Efforts</w:t>
      </w:r>
      <w:r>
        <w:rPr>
          <w:rFonts w:ascii="Times New Roman" w:cs="Times New Roman" w:eastAsia="Times New Roman" w:hAnsi="Times New Roman"/>
          <w:sz w:val="18"/>
          <w:szCs w:val="18"/>
          <w:color w:val="auto"/>
        </w:rPr>
        <w:t>” means efforts at least consistent with the efforts a party would be expected to devote to a product of similar market potential, profit potential (determined without taking into account payments under this Agreement) or strategic value resulting from its own research efforts, based on conditions then prevailing. In all cases, the level of efforts required of a party in connection with its Development and/or Commercialization efforts (as applicable) shall be determined without reference to any product other than Products or any other drug development program owned by that Party, its Affiliates or any Sublicensee, or to which any of them have any rights.</w:t>
      </w:r>
    </w:p>
    <w:p>
      <w:pPr>
        <w:spacing w:after="0" w:line="177" w:lineRule="exact"/>
        <w:rPr>
          <w:sz w:val="20"/>
          <w:szCs w:val="20"/>
          <w:color w:val="auto"/>
        </w:rPr>
      </w:pPr>
    </w:p>
    <w:p>
      <w:pPr>
        <w:jc w:val="both"/>
        <w:ind w:right="100" w:firstLine="973"/>
        <w:spacing w:after="0" w:line="262"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i w:val="1"/>
          <w:iCs w:val="1"/>
          <w:color w:val="auto"/>
        </w:rPr>
        <w:t>Commercialization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Commercialize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Commercializing</w:t>
      </w:r>
      <w:r>
        <w:rPr>
          <w:rFonts w:ascii="Times New Roman" w:cs="Times New Roman" w:eastAsia="Times New Roman" w:hAnsi="Times New Roman"/>
          <w:sz w:val="18"/>
          <w:szCs w:val="18"/>
          <w:color w:val="auto"/>
        </w:rPr>
        <w:t>” means engaging in any and all activities directed to manufacturing of commercial supplies, marketing, promoting, distributing, offering for sale, selling, importing, exporting or exploiting a product, and conducting post Marketing Authorization Approval studies.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0"/>
          </w:cols>
          <w:pgMar w:left="540" w:top="267" w:right="559" w:bottom="1440" w:gutter="0" w:footer="0" w:header="0"/>
        </w:sectPr>
      </w:pPr>
    </w:p>
    <w:bookmarkStart w:id="425" w:name="page426"/>
    <w:bookmarkEnd w:id="42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1.11 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shall have the meaning assigned thereto in Section 10.1.</w:t>
      </w:r>
    </w:p>
    <w:p>
      <w:pPr>
        <w:spacing w:after="0" w:line="217" w:lineRule="exact"/>
        <w:rPr>
          <w:sz w:val="20"/>
          <w:szCs w:val="20"/>
          <w:color w:val="auto"/>
        </w:rPr>
      </w:pPr>
    </w:p>
    <w:p>
      <w:pPr>
        <w:ind w:firstLine="973"/>
        <w:spacing w:after="0" w:line="254"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means, with respect to any item of or right under CG0070 Patents or Licensed Know-How, the possession of such item or right (whether by ownership or license, other than pursuant to this Agreement) or the ability of a Party to grant a license or sublicense of such item or right as provided for herein without violating the terms of any agreement or other arrangement with any Third Party existing at the time such Party would be required hereunder to grant the other Party such license or sublicense and without payment of additional consideration to such Third Party.</w:t>
      </w:r>
    </w:p>
    <w:p>
      <w:pPr>
        <w:spacing w:after="0" w:line="177" w:lineRule="exact"/>
        <w:rPr>
          <w:sz w:val="20"/>
          <w:szCs w:val="20"/>
          <w:color w:val="auto"/>
        </w:rPr>
      </w:pPr>
    </w:p>
    <w:p>
      <w:pPr>
        <w:ind w:right="120" w:firstLine="973"/>
        <w:spacing w:after="0" w:line="26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Cover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Covering</w:t>
      </w:r>
      <w:r>
        <w:rPr>
          <w:rFonts w:ascii="Times New Roman" w:cs="Times New Roman" w:eastAsia="Times New Roman" w:hAnsi="Times New Roman"/>
          <w:sz w:val="18"/>
          <w:szCs w:val="18"/>
          <w:color w:val="auto"/>
        </w:rPr>
        <w:t>” means, (a) with respect to a patent or patent application, that at least one Valid Claim of such patent or patent application would be infringed by the product, method, use, or device, as applicable, and (b) with respect to any other intellectual property right, that the product, method, use or device would infringe or misappropriate such rights unless a license were granted.</w:t>
      </w:r>
    </w:p>
    <w:p>
      <w:pPr>
        <w:spacing w:after="0" w:line="170" w:lineRule="exact"/>
        <w:rPr>
          <w:sz w:val="20"/>
          <w:szCs w:val="20"/>
          <w:color w:val="auto"/>
        </w:rPr>
      </w:pPr>
    </w:p>
    <w:p>
      <w:pPr>
        <w:ind w:right="100" w:firstLine="973"/>
        <w:spacing w:after="0" w:line="254"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Development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Develop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Developing</w:t>
      </w:r>
      <w:r>
        <w:rPr>
          <w:rFonts w:ascii="Times New Roman" w:cs="Times New Roman" w:eastAsia="Times New Roman" w:hAnsi="Times New Roman"/>
          <w:sz w:val="18"/>
          <w:szCs w:val="18"/>
          <w:color w:val="auto"/>
        </w:rPr>
        <w:t>” means engaging in preclinical and clinical drug development activities, including, but not limited to, test method development, stability testing, toxicology, formulation, process development, manufacturing scale-up, development-stage manufacturing, analytical method validation, manufacturing process validation, cleaning validation, post-approval changes, quality assurance/quality control, statistical analysis, report writing, preclinical and Clinical studies, regulatory filing submission and approval and regulatory affairs, but expressly excluding Research.</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Development Activities</w:t>
      </w:r>
      <w:r>
        <w:rPr>
          <w:rFonts w:ascii="Times New Roman" w:cs="Times New Roman" w:eastAsia="Times New Roman" w:hAnsi="Times New Roman"/>
          <w:sz w:val="18"/>
          <w:szCs w:val="18"/>
          <w:color w:val="auto"/>
        </w:rPr>
        <w:t>” means activities undertaken in performance of the Development Plan.</w:t>
      </w:r>
    </w:p>
    <w:p>
      <w:pPr>
        <w:spacing w:after="0" w:line="217" w:lineRule="exact"/>
        <w:rPr>
          <w:sz w:val="20"/>
          <w:szCs w:val="20"/>
          <w:color w:val="auto"/>
        </w:rPr>
      </w:pPr>
    </w:p>
    <w:p>
      <w:pPr>
        <w:ind w:right="480" w:firstLine="973"/>
        <w:spacing w:after="0" w:line="278"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Development Plan</w:t>
      </w:r>
      <w:r>
        <w:rPr>
          <w:rFonts w:ascii="Times New Roman" w:cs="Times New Roman" w:eastAsia="Times New Roman" w:hAnsi="Times New Roman"/>
          <w:sz w:val="18"/>
          <w:szCs w:val="18"/>
          <w:color w:val="auto"/>
        </w:rPr>
        <w:t>” means the comprehensive plan for the Development of Products for the purpose of obtaining Marketing Authorization Approval for the Products in the Field of Use in the Territory.</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Disclosing Party</w:t>
      </w:r>
      <w:r>
        <w:rPr>
          <w:rFonts w:ascii="Times New Roman" w:cs="Times New Roman" w:eastAsia="Times New Roman" w:hAnsi="Times New Roman"/>
          <w:sz w:val="18"/>
          <w:szCs w:val="18"/>
          <w:color w:val="auto"/>
        </w:rPr>
        <w:t>” shall have the meaning assigned thereto in Section 10.1.</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United States Food and Drug Administration and any successor agency thereto.</w:t>
      </w:r>
    </w:p>
    <w:p>
      <w:pPr>
        <w:spacing w:after="0" w:line="217" w:lineRule="exact"/>
        <w:rPr>
          <w:sz w:val="20"/>
          <w:szCs w:val="20"/>
          <w:color w:val="auto"/>
        </w:rPr>
      </w:pPr>
    </w:p>
    <w:p>
      <w:pPr>
        <w:ind w:firstLine="973"/>
        <w:spacing w:after="0" w:line="278"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FDCA</w:t>
      </w:r>
      <w:r>
        <w:rPr>
          <w:rFonts w:ascii="Times New Roman" w:cs="Times New Roman" w:eastAsia="Times New Roman" w:hAnsi="Times New Roman"/>
          <w:sz w:val="18"/>
          <w:szCs w:val="18"/>
          <w:color w:val="auto"/>
        </w:rPr>
        <w:t>” means the Federal Food, Drug and Cosmetics Act, as amended from time to time, and the rules, regulations and guidelines promulgated thereunder.</w:t>
      </w:r>
    </w:p>
    <w:p>
      <w:pPr>
        <w:spacing w:after="0" w:line="156" w:lineRule="exact"/>
        <w:rPr>
          <w:sz w:val="20"/>
          <w:szCs w:val="20"/>
          <w:color w:val="auto"/>
        </w:rPr>
      </w:pPr>
    </w:p>
    <w:p>
      <w:pPr>
        <w:ind w:right="260" w:firstLine="973"/>
        <w:spacing w:after="0" w:line="278"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i w:val="1"/>
          <w:iCs w:val="1"/>
          <w:color w:val="auto"/>
        </w:rPr>
        <w:t>Field of Use</w:t>
      </w:r>
      <w:r>
        <w:rPr>
          <w:rFonts w:ascii="Times New Roman" w:cs="Times New Roman" w:eastAsia="Times New Roman" w:hAnsi="Times New Roman"/>
          <w:sz w:val="18"/>
          <w:szCs w:val="18"/>
          <w:color w:val="auto"/>
        </w:rPr>
        <w:t>” means the use of the CG0070 recombinant adenovirus and/or n-Dodecyl-beta-Maltoside (“</w:t>
      </w:r>
      <w:r>
        <w:rPr>
          <w:rFonts w:ascii="Times New Roman" w:cs="Times New Roman" w:eastAsia="Times New Roman" w:hAnsi="Times New Roman"/>
          <w:sz w:val="18"/>
          <w:szCs w:val="18"/>
          <w:b w:val="1"/>
          <w:bCs w:val="1"/>
          <w:i w:val="1"/>
          <w:iCs w:val="1"/>
          <w:color w:val="auto"/>
        </w:rPr>
        <w:t>DDM</w:t>
      </w:r>
      <w:r>
        <w:rPr>
          <w:rFonts w:ascii="Times New Roman" w:cs="Times New Roman" w:eastAsia="Times New Roman" w:hAnsi="Times New Roman"/>
          <w:sz w:val="18"/>
          <w:szCs w:val="18"/>
          <w:color w:val="auto"/>
        </w:rPr>
        <w:t>”) to treat and/or prevent cancer (in each case, including in a combination therapy).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540" w:top="262" w:right="559" w:bottom="1440" w:gutter="0" w:footer="0" w:header="0"/>
        </w:sectPr>
      </w:pPr>
    </w:p>
    <w:bookmarkStart w:id="426" w:name="page427"/>
    <w:bookmarkEnd w:id="426"/>
    <w:p>
      <w:pPr>
        <w:jc w:val="both"/>
        <w:ind w:right="20" w:firstLine="97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1.21  “</w:t>
      </w:r>
      <w:r>
        <w:rPr>
          <w:rFonts w:ascii="Times New Roman" w:cs="Times New Roman" w:eastAsia="Times New Roman" w:hAnsi="Times New Roman"/>
          <w:sz w:val="18"/>
          <w:szCs w:val="18"/>
          <w:b w:val="1"/>
          <w:bCs w:val="1"/>
          <w:i w:val="1"/>
          <w:iCs w:val="1"/>
          <w:color w:val="auto"/>
        </w:rPr>
        <w:t>First Commercial Sale</w:t>
      </w:r>
      <w:r>
        <w:rPr>
          <w:rFonts w:ascii="Times New Roman" w:cs="Times New Roman" w:eastAsia="Times New Roman" w:hAnsi="Times New Roman"/>
          <w:sz w:val="18"/>
          <w:szCs w:val="18"/>
          <w:color w:val="auto"/>
        </w:rPr>
        <w:t>” means the first transfer for value of commercial quantities of any Product by Lepu or any of its Affiliates or Sublicensees after receipt of Marketing Authorization Approval. Sales for test marketing, sampling and promotional uses, clinical study purposes or compassionate or similar uses shall not be considered to constitute a First Commercial Sale.</w:t>
      </w:r>
    </w:p>
    <w:p>
      <w:pPr>
        <w:spacing w:after="0" w:line="170" w:lineRule="exact"/>
        <w:rPr>
          <w:sz w:val="20"/>
          <w:szCs w:val="20"/>
          <w:color w:val="auto"/>
        </w:rPr>
      </w:pPr>
    </w:p>
    <w:p>
      <w:pPr>
        <w:ind w:right="100" w:firstLine="973"/>
        <w:spacing w:after="0" w:line="276" w:lineRule="auto"/>
        <w:rPr>
          <w:sz w:val="20"/>
          <w:szCs w:val="20"/>
          <w:color w:val="auto"/>
        </w:rPr>
      </w:pPr>
      <w:r>
        <w:rPr>
          <w:rFonts w:ascii="Times New Roman" w:cs="Times New Roman" w:eastAsia="Times New Roman" w:hAnsi="Times New Roman"/>
          <w:sz w:val="17"/>
          <w:szCs w:val="17"/>
          <w:color w:val="auto"/>
        </w:rPr>
        <w:t>1.22  “</w:t>
      </w:r>
      <w:r>
        <w:rPr>
          <w:rFonts w:ascii="Times New Roman" w:cs="Times New Roman" w:eastAsia="Times New Roman" w:hAnsi="Times New Roman"/>
          <w:sz w:val="17"/>
          <w:szCs w:val="17"/>
          <w:b w:val="1"/>
          <w:bCs w:val="1"/>
          <w:i w:val="1"/>
          <w:iCs w:val="1"/>
          <w:color w:val="auto"/>
        </w:rPr>
        <w:t>Good Manufacturing Practices</w:t>
      </w:r>
      <w:r>
        <w:rPr>
          <w:rFonts w:ascii="Times New Roman" w:cs="Times New Roman" w:eastAsia="Times New Roman" w:hAnsi="Times New Roman"/>
          <w:sz w:val="17"/>
          <w:szCs w:val="17"/>
          <w:color w:val="auto"/>
        </w:rPr>
        <w:t>” means, with respect to the United States, the minimum then-current good manufacturing practices for methods, facilities, and controls to be used for the manufacture, processing, packing, or holding of a drug to assure that it meets the requirements of the FDCA for safety and has the identity and strength and meets the quality and purity characteristics, specified in 21 C.F.R. Parts 210 and 211, as may be amended, and, with respect to any other country or jurisdiction, the equivalent regulations in such other country or jurisdiction.</w:t>
      </w:r>
    </w:p>
    <w:p>
      <w:pPr>
        <w:spacing w:after="0" w:line="161" w:lineRule="exact"/>
        <w:rPr>
          <w:sz w:val="20"/>
          <w:szCs w:val="20"/>
          <w:color w:val="auto"/>
        </w:rPr>
      </w:pPr>
    </w:p>
    <w:p>
      <w:pPr>
        <w:ind w:right="660" w:firstLine="973"/>
        <w:spacing w:after="0" w:line="262"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court, tribunal, arbitrator, agency, legislative body, commission, official or other instrumentality of (a) any government of any country, (b) a federal, state, province, county, city or other political subdivision thereof or (c) any supranational body, including, but not limited to, the FDA.</w:t>
      </w:r>
    </w:p>
    <w:p>
      <w:pPr>
        <w:spacing w:after="0" w:line="170" w:lineRule="exact"/>
        <w:rPr>
          <w:sz w:val="20"/>
          <w:szCs w:val="20"/>
          <w:color w:val="auto"/>
        </w:rPr>
      </w:pPr>
    </w:p>
    <w:p>
      <w:pPr>
        <w:jc w:val="both"/>
        <w:ind w:right="20" w:firstLine="973"/>
        <w:spacing w:after="0" w:line="262"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xml:space="preserve">” means any and all patent rights, copyright rights, trade secret rights, </w:t>
      </w:r>
      <w:r>
        <w:rPr>
          <w:rFonts w:ascii="Times New Roman" w:cs="Times New Roman" w:eastAsia="Times New Roman" w:hAnsi="Times New Roman"/>
          <w:sz w:val="18"/>
          <w:szCs w:val="18"/>
          <w:i w:val="1"/>
          <w:iCs w:val="1"/>
          <w:color w:val="auto"/>
        </w:rPr>
        <w:t>sui generis</w:t>
      </w:r>
      <w:r>
        <w:rPr>
          <w:rFonts w:ascii="Times New Roman" w:cs="Times New Roman" w:eastAsia="Times New Roman" w:hAnsi="Times New Roman"/>
          <w:sz w:val="18"/>
          <w:szCs w:val="18"/>
          <w:color w:val="auto"/>
        </w:rPr>
        <w:t xml:space="preserve"> database rights and all other intellectual and industrial property rights of any sort throughout the world (including, but not limited to, any application therefor) whether now known or hereafter existing.</w:t>
      </w:r>
    </w:p>
    <w:p>
      <w:pPr>
        <w:spacing w:after="0" w:line="170" w:lineRule="exact"/>
        <w:rPr>
          <w:sz w:val="20"/>
          <w:szCs w:val="20"/>
          <w:color w:val="auto"/>
        </w:rPr>
      </w:pPr>
    </w:p>
    <w:p>
      <w:pPr>
        <w:ind w:right="180" w:firstLine="973"/>
        <w:spacing w:after="0" w:line="278"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means all laws, statutes, rules, regulations, ordinances and other pronouncements having the binding effect of law of any Governmental Authority.</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i w:val="1"/>
          <w:iCs w:val="1"/>
          <w:color w:val="auto"/>
        </w:rPr>
        <w:t>Licensed IP</w:t>
      </w:r>
      <w:r>
        <w:rPr>
          <w:rFonts w:ascii="Times New Roman" w:cs="Times New Roman" w:eastAsia="Times New Roman" w:hAnsi="Times New Roman"/>
          <w:sz w:val="18"/>
          <w:szCs w:val="18"/>
          <w:color w:val="auto"/>
        </w:rPr>
        <w:t>” means the Licensed Patents and Licensed Know-How.</w:t>
      </w:r>
    </w:p>
    <w:p>
      <w:pPr>
        <w:spacing w:after="0" w:line="217" w:lineRule="exact"/>
        <w:rPr>
          <w:sz w:val="20"/>
          <w:szCs w:val="20"/>
          <w:color w:val="auto"/>
        </w:rPr>
      </w:pPr>
    </w:p>
    <w:p>
      <w:pPr>
        <w:ind w:right="80" w:firstLine="973"/>
        <w:spacing w:after="0" w:line="262"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i w:val="1"/>
          <w:iCs w:val="1"/>
          <w:color w:val="auto"/>
        </w:rPr>
        <w:t>Licensed Know-How</w:t>
      </w:r>
      <w:r>
        <w:rPr>
          <w:rFonts w:ascii="Times New Roman" w:cs="Times New Roman" w:eastAsia="Times New Roman" w:hAnsi="Times New Roman"/>
          <w:sz w:val="18"/>
          <w:szCs w:val="18"/>
          <w:color w:val="auto"/>
        </w:rPr>
        <w:t>” means all know-how and technical information Controlled and possessed by CG during the Term that relates to the CG0070 recombinant adenovirus and/or DDM and is reasonably necessary or useful to develop, use, sell, offer to sell, market or promote the CG0070 recombinant adenovirus and/or DDM in the Field of Use in the Territory.</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i w:val="1"/>
          <w:iCs w:val="1"/>
          <w:color w:val="auto"/>
        </w:rPr>
        <w:t>Licensed Patents</w:t>
      </w:r>
      <w:r>
        <w:rPr>
          <w:rFonts w:ascii="Times New Roman" w:cs="Times New Roman" w:eastAsia="Times New Roman" w:hAnsi="Times New Roman"/>
          <w:sz w:val="18"/>
          <w:szCs w:val="18"/>
          <w:color w:val="auto"/>
        </w:rPr>
        <w:t>” means CG0070 Patents held in a jurisdiction within the Territory.</w:t>
      </w:r>
    </w:p>
    <w:p>
      <w:pPr>
        <w:spacing w:after="0" w:line="217" w:lineRule="exact"/>
        <w:rPr>
          <w:sz w:val="20"/>
          <w:szCs w:val="20"/>
          <w:color w:val="auto"/>
        </w:rPr>
      </w:pPr>
    </w:p>
    <w:p>
      <w:pPr>
        <w:ind w:right="140" w:firstLine="973"/>
        <w:spacing w:after="0" w:line="278"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i w:val="1"/>
          <w:iCs w:val="1"/>
          <w:color w:val="auto"/>
        </w:rPr>
        <w:t>Manufacturing Documentation</w:t>
      </w:r>
      <w:r>
        <w:rPr>
          <w:rFonts w:ascii="Times New Roman" w:cs="Times New Roman" w:eastAsia="Times New Roman" w:hAnsi="Times New Roman"/>
          <w:sz w:val="18"/>
          <w:szCs w:val="18"/>
          <w:color w:val="auto"/>
        </w:rPr>
        <w:t>” means, with respect to a Product, the documentation that is in CG’s possession and relevant to the manufacture of such Product.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1.30   “</w:t>
      </w:r>
      <w:r>
        <w:rPr>
          <w:rFonts w:ascii="Times New Roman" w:cs="Times New Roman" w:eastAsia="Times New Roman" w:hAnsi="Times New Roman"/>
          <w:sz w:val="17"/>
          <w:szCs w:val="17"/>
          <w:b w:val="1"/>
          <w:bCs w:val="1"/>
          <w:i w:val="1"/>
          <w:iCs w:val="1"/>
          <w:color w:val="auto"/>
        </w:rPr>
        <w:t>Marketing Authorization Approval</w:t>
      </w:r>
      <w:r>
        <w:rPr>
          <w:rFonts w:ascii="Times New Roman" w:cs="Times New Roman" w:eastAsia="Times New Roman" w:hAnsi="Times New Roman"/>
          <w:sz w:val="17"/>
          <w:szCs w:val="17"/>
          <w:color w:val="auto"/>
        </w:rPr>
        <w:t>” shall mean approval by the applicable Regulatory Authority for sale of a Product in the Field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Use.</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i w:val="1"/>
          <w:iCs w:val="1"/>
          <w:color w:val="auto"/>
        </w:rPr>
        <w:t>Materials</w:t>
      </w:r>
      <w:r>
        <w:rPr>
          <w:rFonts w:ascii="Times New Roman" w:cs="Times New Roman" w:eastAsia="Times New Roman" w:hAnsi="Times New Roman"/>
          <w:sz w:val="18"/>
          <w:szCs w:val="18"/>
          <w:color w:val="auto"/>
        </w:rPr>
        <w:t>” shall have the meaning assigned thereto in Section 7.1.1.</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40"/>
          </w:cols>
          <w:pgMar w:left="540" w:top="263" w:right="619" w:bottom="1440" w:gutter="0" w:footer="0" w:header="0"/>
        </w:sectPr>
      </w:pPr>
    </w:p>
    <w:bookmarkStart w:id="427" w:name="page428"/>
    <w:bookmarkEnd w:id="427"/>
    <w:p>
      <w:pPr>
        <w:ind w:right="60" w:firstLine="973"/>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1.32  “</w:t>
      </w: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means with respect to a given period, the gross amounts invoiced for Products sold or otherwise disposed of by Lepu, an Affiliate of Lepu, or a Sublicensee, to Third Party customers, less the following amounts:</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(i)   [***];</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(ii)   [***];</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(iii)   [***];</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(iv)   [***];</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(v)   [***]; and</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(vi)   [***].</w:t>
      </w:r>
    </w:p>
    <w:p>
      <w:pPr>
        <w:spacing w:after="0" w:line="213" w:lineRule="exact"/>
        <w:rPr>
          <w:sz w:val="20"/>
          <w:szCs w:val="20"/>
          <w:color w:val="auto"/>
        </w:rPr>
      </w:pPr>
    </w:p>
    <w:p>
      <w:pPr>
        <w:jc w:val="both"/>
        <w:ind w:firstLine="973"/>
        <w:spacing w:after="0" w:line="262"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i w:val="1"/>
          <w:iCs w:val="1"/>
          <w:color w:val="auto"/>
        </w:rPr>
        <w:t>Other Product</w:t>
      </w:r>
      <w:r>
        <w:rPr>
          <w:rFonts w:ascii="Times New Roman" w:cs="Times New Roman" w:eastAsia="Times New Roman" w:hAnsi="Times New Roman"/>
          <w:sz w:val="18"/>
          <w:szCs w:val="18"/>
          <w:color w:val="auto"/>
        </w:rPr>
        <w:t>” means an active ingredient, other than the Product, consisting of a separate and distinct molecular entity having a clearly defined therapeutic activity other than as an adjuvant, bio-availability enhancer, formulation excipient, stabilizer, antioxidant, device, carrier or the like.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shall have the meaning assigned thereto in the first paragraph of this Agreement.</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i w:val="1"/>
          <w:iCs w:val="1"/>
          <w:color w:val="auto"/>
        </w:rPr>
        <w:t>Patent Costs</w:t>
      </w:r>
      <w:r>
        <w:rPr>
          <w:rFonts w:ascii="Times New Roman" w:cs="Times New Roman" w:eastAsia="Times New Roman" w:hAnsi="Times New Roman"/>
          <w:sz w:val="18"/>
          <w:szCs w:val="18"/>
          <w:color w:val="auto"/>
        </w:rPr>
        <w:t>” shall have the meaning assigned thereto in Section 13.1.2.</w:t>
      </w:r>
    </w:p>
    <w:p>
      <w:pPr>
        <w:spacing w:after="0" w:line="217" w:lineRule="exact"/>
        <w:rPr>
          <w:sz w:val="20"/>
          <w:szCs w:val="20"/>
          <w:color w:val="auto"/>
        </w:rPr>
      </w:pPr>
    </w:p>
    <w:p>
      <w:pPr>
        <w:ind w:right="60" w:firstLine="973"/>
        <w:spacing w:after="0" w:line="278"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xml:space="preserve">” means any natural person, corporation, general partnership, limited partnership, limited liability company, joint venture, proprietorship or other </w:t>
      </w:r>
      <w:r>
        <w:rPr>
          <w:rFonts w:ascii="Times New Roman" w:cs="Times New Roman" w:eastAsia="Times New Roman" w:hAnsi="Times New Roman"/>
          <w:sz w:val="18"/>
          <w:szCs w:val="18"/>
          <w:i w:val="1"/>
          <w:iCs w:val="1"/>
          <w:color w:val="auto"/>
        </w:rPr>
        <w:t>de jure</w:t>
      </w:r>
      <w:r>
        <w:rPr>
          <w:rFonts w:ascii="Times New Roman" w:cs="Times New Roman" w:eastAsia="Times New Roman" w:hAnsi="Times New Roman"/>
          <w:sz w:val="18"/>
          <w:szCs w:val="18"/>
          <w:color w:val="auto"/>
        </w:rPr>
        <w:t xml:space="preserve"> entity organized under the Laws of any jurisdiction.</w:t>
      </w:r>
    </w:p>
    <w:p>
      <w:pPr>
        <w:spacing w:after="0" w:line="156" w:lineRule="exact"/>
        <w:rPr>
          <w:sz w:val="20"/>
          <w:szCs w:val="20"/>
          <w:color w:val="auto"/>
        </w:rPr>
      </w:pPr>
    </w:p>
    <w:p>
      <w:pPr>
        <w:ind w:right="20" w:firstLine="973"/>
        <w:spacing w:after="0" w:line="252"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b w:val="1"/>
          <w:bCs w:val="1"/>
          <w:i w:val="1"/>
          <w:iCs w:val="1"/>
          <w:color w:val="auto"/>
        </w:rPr>
        <w:t>Personnel Costs</w:t>
      </w:r>
      <w:r>
        <w:rPr>
          <w:rFonts w:ascii="Times New Roman" w:cs="Times New Roman" w:eastAsia="Times New Roman" w:hAnsi="Times New Roman"/>
          <w:sz w:val="18"/>
          <w:szCs w:val="18"/>
          <w:color w:val="auto"/>
        </w:rPr>
        <w:t>” shall mean CG’s internal and external costs for personnel to the extent directed to work under this Agreement (e.g. assisting in Development and/or manufacturing of Products), excluding any such costs related to participation of CG’s employees on the JDC. External costs for consultants will be equivalent to the amount CG is required to pay such consultants, but only if such consultants are approved in advance by Lepu. Costs for CG personnel will be calculated on an hourly basis based on such personnel’s base salary (excluding bonuses, benefits, and other perquisites). For clarity, costs and expenses for CG’s consultants to engage in JDC activities shall be deemed Personnel Costs, but only if such consultants are approved in advance by Lepu.</w:t>
      </w:r>
    </w:p>
    <w:p>
      <w:pPr>
        <w:spacing w:after="0" w:line="180" w:lineRule="exact"/>
        <w:rPr>
          <w:sz w:val="20"/>
          <w:szCs w:val="20"/>
          <w:color w:val="auto"/>
        </w:rPr>
      </w:pPr>
    </w:p>
    <w:p>
      <w:pPr>
        <w:ind w:right="300" w:firstLine="973"/>
        <w:spacing w:after="0" w:line="309" w:lineRule="auto"/>
        <w:rPr>
          <w:sz w:val="20"/>
          <w:szCs w:val="20"/>
          <w:color w:val="auto"/>
        </w:rPr>
      </w:pPr>
      <w:r>
        <w:rPr>
          <w:rFonts w:ascii="Times New Roman" w:cs="Times New Roman" w:eastAsia="Times New Roman" w:hAnsi="Times New Roman"/>
          <w:sz w:val="17"/>
          <w:szCs w:val="17"/>
          <w:color w:val="auto"/>
        </w:rPr>
        <w:t>1.38  “</w:t>
      </w:r>
      <w:r>
        <w:rPr>
          <w:rFonts w:ascii="Times New Roman" w:cs="Times New Roman" w:eastAsia="Times New Roman" w:hAnsi="Times New Roman"/>
          <w:sz w:val="17"/>
          <w:szCs w:val="17"/>
          <w:b w:val="1"/>
          <w:bCs w:val="1"/>
          <w:i w:val="1"/>
          <w:iCs w:val="1"/>
          <w:color w:val="auto"/>
        </w:rPr>
        <w:t>Product</w:t>
      </w:r>
      <w:r>
        <w:rPr>
          <w:rFonts w:ascii="Times New Roman" w:cs="Times New Roman" w:eastAsia="Times New Roman" w:hAnsi="Times New Roman"/>
          <w:sz w:val="17"/>
          <w:szCs w:val="17"/>
          <w:color w:val="auto"/>
        </w:rPr>
        <w:t>” means CG0070 recombinant adenovirus and/or DDM, the Development, manufacture, Commercialization or use of which (i) is Covered by a Valid Claim of at least one (1) Licensed Patent or; (ii) uses or incorporates all or any part of the Licensed Know-How.</w:t>
      </w:r>
    </w:p>
    <w:p>
      <w:pPr>
        <w:spacing w:after="0" w:line="133" w:lineRule="exact"/>
        <w:rPr>
          <w:sz w:val="20"/>
          <w:szCs w:val="20"/>
          <w:color w:val="auto"/>
        </w:rPr>
      </w:pPr>
    </w:p>
    <w:p>
      <w:pPr>
        <w:ind w:right="40" w:firstLine="973"/>
        <w:spacing w:after="0" w:line="278" w:lineRule="auto"/>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b w:val="1"/>
          <w:bCs w:val="1"/>
          <w:i w:val="1"/>
          <w:iCs w:val="1"/>
          <w:color w:val="auto"/>
        </w:rPr>
        <w:t>Regulatory Authority</w:t>
      </w:r>
      <w:r>
        <w:rPr>
          <w:rFonts w:ascii="Times New Roman" w:cs="Times New Roman" w:eastAsia="Times New Roman" w:hAnsi="Times New Roman"/>
          <w:sz w:val="18"/>
          <w:szCs w:val="18"/>
          <w:color w:val="auto"/>
        </w:rPr>
        <w:t>” means a federal, national, multinational or other regulatory agency or governmental entity involved in the granting of marketing approval for a pharmaceutical product in a country (e.g., the FDA).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40" w:top="263" w:right="659" w:bottom="1440" w:gutter="0" w:footer="0" w:header="0"/>
        </w:sectPr>
      </w:pPr>
    </w:p>
    <w:bookmarkStart w:id="428" w:name="page429"/>
    <w:bookmarkEnd w:id="428"/>
    <w:p>
      <w:pPr>
        <w:ind w:right="80" w:firstLine="97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1.40  “</w:t>
      </w:r>
      <w:r>
        <w:rPr>
          <w:rFonts w:ascii="Times New Roman" w:cs="Times New Roman" w:eastAsia="Times New Roman" w:hAnsi="Times New Roman"/>
          <w:sz w:val="18"/>
          <w:szCs w:val="18"/>
          <w:b w:val="1"/>
          <w:bCs w:val="1"/>
          <w:i w:val="1"/>
          <w:iCs w:val="1"/>
          <w:color w:val="auto"/>
        </w:rPr>
        <w:t>Regulatory Exclusivity</w:t>
      </w:r>
      <w:r>
        <w:rPr>
          <w:rFonts w:ascii="Times New Roman" w:cs="Times New Roman" w:eastAsia="Times New Roman" w:hAnsi="Times New Roman"/>
          <w:sz w:val="18"/>
          <w:szCs w:val="18"/>
          <w:color w:val="auto"/>
        </w:rPr>
        <w:t>” means, with respect to a Product, any exclusive marketing rights or data exclusivity rights conferred by any Regulatory Authority with respect to such Product, other than patent rights, that prohibits a third party from (a) relying on data generated by or on behalf of the Parties with respect to such Product in an application for regulatory approval, or (b) commercializing such Product (for example, any Data Exclusivity rules released by the CFDA).</w:t>
      </w:r>
    </w:p>
    <w:p>
      <w:pPr>
        <w:spacing w:after="0" w:line="177" w:lineRule="exact"/>
        <w:rPr>
          <w:sz w:val="20"/>
          <w:szCs w:val="20"/>
          <w:color w:val="auto"/>
        </w:rPr>
      </w:pPr>
    </w:p>
    <w:p>
      <w:pPr>
        <w:ind w:right="80" w:firstLine="973"/>
        <w:spacing w:after="0" w:line="254" w:lineRule="auto"/>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b w:val="1"/>
          <w:bCs w:val="1"/>
          <w:i w:val="1"/>
          <w:iCs w:val="1"/>
          <w:color w:val="auto"/>
        </w:rPr>
        <w:t>Regulatory Filings</w:t>
      </w:r>
      <w:r>
        <w:rPr>
          <w:rFonts w:ascii="Times New Roman" w:cs="Times New Roman" w:eastAsia="Times New Roman" w:hAnsi="Times New Roman"/>
          <w:sz w:val="18"/>
          <w:szCs w:val="18"/>
          <w:color w:val="auto"/>
        </w:rPr>
        <w:t>” means any written application, submission, notice or other filing made to an applicable Regulatory Authority in the Territory: (a) seeking approval for the commercial manufacture, use, storage, import, export, transport, distribution, marketing or sale of a Product, including, without limitation, any Marketing Authorization Approval; or (b) that is required to be filed with the applicable Regulatory Authority before beginning clinical testing of a Product in human subjects, including, without limitation, any successor application or procedure, non-U.S. equivalents to any of the foregoing and all supplements and amendments that may be filed with respect to any of the foregoing.</w:t>
      </w:r>
    </w:p>
    <w:p>
      <w:pPr>
        <w:spacing w:after="0" w:line="177" w:lineRule="exact"/>
        <w:rPr>
          <w:sz w:val="20"/>
          <w:szCs w:val="20"/>
          <w:color w:val="auto"/>
        </w:rPr>
      </w:pPr>
    </w:p>
    <w:p>
      <w:pPr>
        <w:ind w:right="480" w:firstLine="973"/>
        <w:spacing w:after="0" w:line="278" w:lineRule="auto"/>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b w:val="1"/>
          <w:bCs w:val="1"/>
          <w:i w:val="1"/>
          <w:iCs w:val="1"/>
          <w:color w:val="auto"/>
        </w:rPr>
        <w:t>Research</w:t>
      </w:r>
      <w:r>
        <w:rPr>
          <w:rFonts w:ascii="Times New Roman" w:cs="Times New Roman" w:eastAsia="Times New Roman" w:hAnsi="Times New Roman"/>
          <w:sz w:val="18"/>
          <w:szCs w:val="18"/>
          <w:color w:val="auto"/>
        </w:rPr>
        <w:t>” means activities to (i) develop a virus other than CG0070 recombinant adenovirus or (ii) develop applications for CG0070 recombinant adenovirus and/or DDM outside the Field of Use.</w:t>
      </w:r>
    </w:p>
    <w:p>
      <w:pPr>
        <w:spacing w:after="0" w:line="156" w:lineRule="exact"/>
        <w:rPr>
          <w:sz w:val="20"/>
          <w:szCs w:val="20"/>
          <w:color w:val="auto"/>
        </w:rPr>
      </w:pPr>
    </w:p>
    <w:p>
      <w:pPr>
        <w:ind w:firstLine="973"/>
        <w:spacing w:after="0" w:line="278" w:lineRule="auto"/>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i w:val="1"/>
          <w:iCs w:val="1"/>
          <w:color w:val="auto"/>
        </w:rPr>
        <w:t>Senior Executives</w:t>
      </w:r>
      <w:r>
        <w:rPr>
          <w:rFonts w:ascii="Times New Roman" w:cs="Times New Roman" w:eastAsia="Times New Roman" w:hAnsi="Times New Roman"/>
          <w:sz w:val="18"/>
          <w:szCs w:val="18"/>
          <w:color w:val="auto"/>
        </w:rPr>
        <w:t>” shall mean the Chairman or Chief Executive Officer of CG and the Chief Executive Officer or other “</w:t>
      </w:r>
      <w:r>
        <w:rPr>
          <w:rFonts w:ascii="Times New Roman" w:cs="Times New Roman" w:eastAsia="Times New Roman" w:hAnsi="Times New Roman"/>
          <w:sz w:val="18"/>
          <w:szCs w:val="18"/>
          <w:b w:val="1"/>
          <w:bCs w:val="1"/>
          <w:i w:val="1"/>
          <w:iCs w:val="1"/>
          <w:color w:val="auto"/>
        </w:rPr>
        <w:t>C-Level</w:t>
      </w:r>
      <w:r>
        <w:rPr>
          <w:rFonts w:ascii="Times New Roman" w:cs="Times New Roman" w:eastAsia="Times New Roman" w:hAnsi="Times New Roman"/>
          <w:sz w:val="18"/>
          <w:szCs w:val="18"/>
          <w:color w:val="auto"/>
        </w:rPr>
        <w:t>” Management of Lepu.</w:t>
      </w:r>
    </w:p>
    <w:p>
      <w:pPr>
        <w:spacing w:after="0" w:line="156" w:lineRule="exact"/>
        <w:rPr>
          <w:sz w:val="20"/>
          <w:szCs w:val="20"/>
          <w:color w:val="auto"/>
        </w:rPr>
      </w:pPr>
    </w:p>
    <w:p>
      <w:pPr>
        <w:ind w:right="40" w:firstLine="973"/>
        <w:spacing w:after="0" w:line="278"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b w:val="1"/>
          <w:bCs w:val="1"/>
          <w:i w:val="1"/>
          <w:iCs w:val="1"/>
          <w:color w:val="auto"/>
        </w:rPr>
        <w:t>Sublicensee</w:t>
      </w:r>
      <w:r>
        <w:rPr>
          <w:rFonts w:ascii="Times New Roman" w:cs="Times New Roman" w:eastAsia="Times New Roman" w:hAnsi="Times New Roman"/>
          <w:sz w:val="18"/>
          <w:szCs w:val="18"/>
          <w:color w:val="auto"/>
        </w:rPr>
        <w:t>” means a sublicensee to whom Lepu has sublicensed any of its rights to Develop and/or Commercialize (e.g., without limitation, the right to sell or offer to sell) Products pursuant to Section 3.2.</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shall have the meaning assigned thereto in Section 14.1.</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b w:val="1"/>
          <w:bCs w:val="1"/>
          <w:i w:val="1"/>
          <w:iCs w:val="1"/>
          <w:color w:val="auto"/>
        </w:rPr>
        <w:t>Territory</w:t>
      </w:r>
      <w:r>
        <w:rPr>
          <w:rFonts w:ascii="Times New Roman" w:cs="Times New Roman" w:eastAsia="Times New Roman" w:hAnsi="Times New Roman"/>
          <w:sz w:val="18"/>
          <w:szCs w:val="18"/>
          <w:color w:val="auto"/>
        </w:rPr>
        <w:t>” means mainland China (including Hong Kong and Macau).</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1.47   “</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means a Person who is not a Party or an Affiliate of a Party.</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i w:val="1"/>
          <w:iCs w:val="1"/>
          <w:color w:val="auto"/>
        </w:rPr>
        <w:t>United States</w:t>
      </w:r>
      <w:r>
        <w:rPr>
          <w:rFonts w:ascii="Times New Roman" w:cs="Times New Roman" w:eastAsia="Times New Roman" w:hAnsi="Times New Roman"/>
          <w:sz w:val="18"/>
          <w:szCs w:val="18"/>
          <w:color w:val="auto"/>
        </w:rPr>
        <w:t>” means the United States of America and its territories and possessions.</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b w:val="1"/>
          <w:bCs w:val="1"/>
          <w:i w:val="1"/>
          <w:iCs w:val="1"/>
          <w:color w:val="auto"/>
        </w:rPr>
        <w:t>Upfront Payment</w:t>
      </w:r>
      <w:r>
        <w:rPr>
          <w:rFonts w:ascii="Times New Roman" w:cs="Times New Roman" w:eastAsia="Times New Roman" w:hAnsi="Times New Roman"/>
          <w:sz w:val="18"/>
          <w:szCs w:val="18"/>
          <w:color w:val="auto"/>
        </w:rPr>
        <w:t>” shall have the meaning assigned thereto in Section 9.1.</w:t>
      </w:r>
    </w:p>
    <w:p>
      <w:pPr>
        <w:spacing w:after="0" w:line="217" w:lineRule="exact"/>
        <w:rPr>
          <w:sz w:val="20"/>
          <w:szCs w:val="20"/>
          <w:color w:val="auto"/>
        </w:rPr>
      </w:pPr>
    </w:p>
    <w:p>
      <w:pPr>
        <w:ind w:right="320" w:firstLine="973"/>
        <w:spacing w:after="0" w:line="256" w:lineRule="auto"/>
        <w:rPr>
          <w:sz w:val="20"/>
          <w:szCs w:val="20"/>
          <w:color w:val="auto"/>
        </w:rPr>
      </w:pPr>
      <w:r>
        <w:rPr>
          <w:rFonts w:ascii="Times New Roman" w:cs="Times New Roman" w:eastAsia="Times New Roman" w:hAnsi="Times New Roman"/>
          <w:sz w:val="18"/>
          <w:szCs w:val="18"/>
          <w:color w:val="auto"/>
        </w:rPr>
        <w:t>1.50  “</w:t>
      </w:r>
      <w:r>
        <w:rPr>
          <w:rFonts w:ascii="Times New Roman" w:cs="Times New Roman" w:eastAsia="Times New Roman" w:hAnsi="Times New Roman"/>
          <w:sz w:val="18"/>
          <w:szCs w:val="18"/>
          <w:b w:val="1"/>
          <w:bCs w:val="1"/>
          <w:i w:val="1"/>
          <w:iCs w:val="1"/>
          <w:color w:val="auto"/>
        </w:rPr>
        <w:t>Valid Claim</w:t>
      </w:r>
      <w:r>
        <w:rPr>
          <w:rFonts w:ascii="Times New Roman" w:cs="Times New Roman" w:eastAsia="Times New Roman" w:hAnsi="Times New Roman"/>
          <w:sz w:val="18"/>
          <w:szCs w:val="18"/>
          <w:color w:val="auto"/>
        </w:rPr>
        <w:t>” means a claim in an issued, unexpired patent that (i) has not been finally cancelled, withdrawn, abandoned or rejected by any administrative agency or other body of competent jurisdiction, (ii) has not been revoked, held invalid, or declared unpatentable or unenforceable in a decision of a court or other body of competent jurisdiction that is unappealable or unappealed within the time allowed for appeal, (iii) has not been rendered unenforceable through disclaimer or otherwise, and (iv) is not lost through an interference proceeding.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[Intentionally omitted]</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540" w:top="263" w:right="559" w:bottom="1440" w:gutter="0" w:footer="0" w:header="0"/>
        </w:sectPr>
      </w:pPr>
    </w:p>
    <w:bookmarkStart w:id="429" w:name="page430"/>
    <w:bookmarkEnd w:id="429"/>
    <w:p>
      <w:pPr>
        <w:ind w:left="44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3.   </w:t>
      </w:r>
      <w:r>
        <w:rPr>
          <w:rFonts w:ascii="Times New Roman" w:cs="Times New Roman" w:eastAsia="Times New Roman" w:hAnsi="Times New Roman"/>
          <w:sz w:val="18"/>
          <w:szCs w:val="18"/>
          <w:b w:val="1"/>
          <w:bCs w:val="1"/>
          <w:color w:val="auto"/>
        </w:rPr>
        <w:t>LICENSE GRANTS, OWNERSHIP AND EXCLUSIVITY</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2" w:right="100" w:firstLine="973"/>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License Grant</w:t>
      </w:r>
      <w:r>
        <w:rPr>
          <w:rFonts w:ascii="Times New Roman" w:cs="Times New Roman" w:eastAsia="Times New Roman" w:hAnsi="Times New Roman"/>
          <w:sz w:val="18"/>
          <w:szCs w:val="18"/>
          <w:color w:val="auto"/>
        </w:rPr>
        <w:t>. Subject to the terms and conditions of this Agreement, CG grants to Lepu and its Affiliates (but only to the extent those Affiliates agree in writing provided to CG and for CG’s benefit to be bound by all the restrictions in this Agreement in the same manner in which Lepu is bound) an exclusive, royalty-bearing, non-transferable (except as expressly set forth in Section 15.8) license under the Licensed IP, to manufacture (but not have manufactured), Commercialize and Develop Products in the Field of Use in the Territory.</w:t>
      </w:r>
    </w:p>
    <w:p>
      <w:pPr>
        <w:spacing w:after="0" w:line="180" w:lineRule="exact"/>
        <w:rPr>
          <w:sz w:val="20"/>
          <w:szCs w:val="20"/>
          <w:color w:val="auto"/>
        </w:rPr>
      </w:pPr>
    </w:p>
    <w:p>
      <w:pPr>
        <w:ind w:left="2" w:firstLine="973"/>
        <w:spacing w:after="0" w:line="27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Sublicenses</w:t>
      </w:r>
      <w:r>
        <w:rPr>
          <w:rFonts w:ascii="Times New Roman" w:cs="Times New Roman" w:eastAsia="Times New Roman" w:hAnsi="Times New Roman"/>
          <w:sz w:val="18"/>
          <w:szCs w:val="18"/>
          <w:color w:val="auto"/>
        </w:rPr>
        <w:t>. Lepu may not sublicense any of the rights granted under Section 2.1 without CG’s prior written consent, which shall not be unreasonably withheld.</w:t>
      </w:r>
    </w:p>
    <w:p>
      <w:pPr>
        <w:spacing w:after="0" w:line="163" w:lineRule="exact"/>
        <w:rPr>
          <w:sz w:val="20"/>
          <w:szCs w:val="20"/>
          <w:color w:val="auto"/>
        </w:rPr>
      </w:pPr>
    </w:p>
    <w:p>
      <w:pPr>
        <w:ind w:left="2" w:right="20" w:firstLine="973"/>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Research</w:t>
      </w:r>
      <w:r>
        <w:rPr>
          <w:rFonts w:ascii="Times New Roman" w:cs="Times New Roman" w:eastAsia="Times New Roman" w:hAnsi="Times New Roman"/>
          <w:sz w:val="18"/>
          <w:szCs w:val="18"/>
          <w:color w:val="auto"/>
        </w:rPr>
        <w:t>. For clarity, Section 3.1 does not grant Lepu any rights to conduct (and Lepu agrees not to conduct) Research with respect to the Licensed IP. Without limiting any remedies of CG, CG shall own (and Lepu hereby assigns) all right, title and interest in and to any inventions conceived or reduced to practice during the Term that are improvements or modifications to any Licensed IP or otherwise resulting from Research using the Licensed IP.</w:t>
      </w:r>
    </w:p>
    <w:p>
      <w:pPr>
        <w:spacing w:after="0" w:line="180" w:lineRule="exact"/>
        <w:rPr>
          <w:sz w:val="20"/>
          <w:szCs w:val="20"/>
          <w:color w:val="auto"/>
        </w:rPr>
      </w:pPr>
    </w:p>
    <w:p>
      <w:pPr>
        <w:ind w:left="2" w:right="20" w:firstLine="973"/>
        <w:spacing w:after="0" w:line="259"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Implied Rights</w:t>
      </w:r>
      <w:r>
        <w:rPr>
          <w:rFonts w:ascii="Times New Roman" w:cs="Times New Roman" w:eastAsia="Times New Roman" w:hAnsi="Times New Roman"/>
          <w:sz w:val="18"/>
          <w:szCs w:val="18"/>
          <w:color w:val="auto"/>
        </w:rPr>
        <w:t>. Nothing contained in this Agreement confers or will be construed to confer any rights by implication, estoppel or otherwise, under any Intellectual Property Rights, other than the rights expressly granted in this Agreement. All rights not expressly granted by a Party under this Agreement are reserved to such Party.</w:t>
      </w:r>
    </w:p>
    <w:p>
      <w:pPr>
        <w:spacing w:after="0" w:line="178" w:lineRule="exact"/>
        <w:rPr>
          <w:sz w:val="20"/>
          <w:szCs w:val="20"/>
          <w:color w:val="auto"/>
        </w:rPr>
      </w:pPr>
    </w:p>
    <w:p>
      <w:pPr>
        <w:ind w:left="2" w:right="140" w:firstLine="973"/>
        <w:spacing w:after="0" w:line="25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Ownership of Licensed IP</w:t>
      </w:r>
      <w:r>
        <w:rPr>
          <w:rFonts w:ascii="Times New Roman" w:cs="Times New Roman" w:eastAsia="Times New Roman" w:hAnsi="Times New Roman"/>
          <w:sz w:val="18"/>
          <w:szCs w:val="18"/>
          <w:color w:val="auto"/>
        </w:rPr>
        <w:t>. Other than through a license outside the Field of Use or outside the Territory, CG shall not sell, convey, assign, license, or otherwise transfer all or part of its right, title, or interest in the Licensed IP unless, prior to or contemporaneously with such transaction, the transferee delivers to Lepu an instrument by which the transferee assumes CG’s obligations under this Agreement and agrees that such Licensed IP is being transferred subject to the license grant in Section 3.1. For the avoidance of doubt, a Change in Control, by itself, is not a sale, conveyance, assignment, license or transfer of Licensed IP subject to this Section.</w:t>
      </w:r>
    </w:p>
    <w:p>
      <w:pPr>
        <w:spacing w:after="0" w:line="18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JOINT DEVELOPMENT COMMITTEE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parties shall establish a joint development committee (the “</w:t>
      </w:r>
      <w:r>
        <w:rPr>
          <w:rFonts w:ascii="Times New Roman" w:cs="Times New Roman" w:eastAsia="Times New Roman" w:hAnsi="Times New Roman"/>
          <w:sz w:val="17"/>
          <w:szCs w:val="17"/>
          <w:b w:val="1"/>
          <w:bCs w:val="1"/>
          <w:i w:val="1"/>
          <w:iCs w:val="1"/>
          <w:color w:val="auto"/>
        </w:rPr>
        <w:t>Joint Development Committee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JDC</w:t>
      </w:r>
      <w:r>
        <w:rPr>
          <w:rFonts w:ascii="Times New Roman" w:cs="Times New Roman" w:eastAsia="Times New Roman" w:hAnsi="Times New Roman"/>
          <w:sz w:val="17"/>
          <w:szCs w:val="17"/>
          <w:color w:val="auto"/>
        </w:rPr>
        <w:t>”) consisting of</w:t>
      </w:r>
    </w:p>
    <w:p>
      <w:pPr>
        <w:spacing w:after="0" w:line="40" w:lineRule="exact"/>
        <w:rPr>
          <w:sz w:val="20"/>
          <w:szCs w:val="20"/>
          <w:color w:val="auto"/>
        </w:rPr>
      </w:pPr>
    </w:p>
    <w:p>
      <w:pPr>
        <w:ind w:left="2" w:right="140" w:hanging="2"/>
        <w:spacing w:after="0" w:line="263" w:lineRule="auto"/>
        <w:tabs>
          <w:tab w:leader="none" w:pos="429"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each Party, which committee shall oversee, guide, and monitor the Development (including the conducting of clinical trials) and regulatory approval efforts for the Products in the Field of Use in the Territory by (a) reviewing and discussing the progress of the Development Activities, including any significant difficulties encountered or anticipated to be encountered in connection therewith, and (b) reviewing and approving any amendments to the then-current Development Plan. The Parties acknowledge that one goal of the JDC’s efforts will be to maximize the commercial potential of Products in the Territory for the Field of Use while harmonizing such efforts with the development and commercialization of the same or other Products outside the Territory in the Field of Use. Notwithstanding the foregoing sentence, the JDC will not oversee, guide, or monitor the Commercialization of Products. The JDC shall meet on a [***] basis. JDC decisions shall be made by consensus, with each party having a single vote regardless of the number of the representatives of such Party; provided, however, that Lepu shall cast the deciding vote for each matter where the</w:t>
      </w:r>
    </w:p>
    <w:p>
      <w:pPr>
        <w:spacing w:after="0" w:line="10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82"/>
          </w:cols>
          <w:pgMar w:left="538" w:top="265" w:right="579" w:bottom="1440" w:gutter="0" w:footer="0" w:header="0"/>
        </w:sectPr>
      </w:pPr>
    </w:p>
    <w:bookmarkStart w:id="430" w:name="page431"/>
    <w:bookmarkEnd w:id="430"/>
    <w:p>
      <w:pPr>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JDC cannot reach consensus after escalation to each Party’s Senior Executives, so long as such JDC decision would not reasonably be expected to result in (i) any direct, material impairment to the Licensed IP or the Development of any Products outside of the Territory or (ii) any direct, material conflict with the rights of other CG licensees of the Licensed IP. In the case of clause (i) or (ii) above, CG shall cast the deciding vote.</w:t>
      </w:r>
    </w:p>
    <w:p>
      <w:pPr>
        <w:spacing w:after="0" w:line="178" w:lineRule="exact"/>
        <w:rPr>
          <w:sz w:val="20"/>
          <w:szCs w:val="20"/>
          <w:color w:val="auto"/>
        </w:rPr>
      </w:pPr>
    </w:p>
    <w:p>
      <w:pPr>
        <w:jc w:val="both"/>
        <w:ind w:right="20" w:firstLine="973"/>
        <w:spacing w:after="0" w:line="259"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Product Development</w:t>
      </w:r>
      <w:r>
        <w:rPr>
          <w:rFonts w:ascii="Times New Roman" w:cs="Times New Roman" w:eastAsia="Times New Roman" w:hAnsi="Times New Roman"/>
          <w:sz w:val="18"/>
          <w:szCs w:val="18"/>
          <w:color w:val="auto"/>
        </w:rPr>
        <w:t>. Lepu agrees not to research, develop, use, sell, market and promote any Products without informing the JDC. In addition, Lepu will not undertake any Development efforts (including conducting any preclinical studies or clinical trials) for any Product (other than pursuant to the Development Plan) without informing the JDC.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DEVELOPMENT OF PRODUCTS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right="60" w:firstLine="973"/>
        <w:spacing w:after="0" w:line="25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Approval of Development Plan; Annual Updates</w:t>
      </w:r>
      <w:r>
        <w:rPr>
          <w:rFonts w:ascii="Times New Roman" w:cs="Times New Roman" w:eastAsia="Times New Roman" w:hAnsi="Times New Roman"/>
          <w:sz w:val="18"/>
          <w:szCs w:val="18"/>
          <w:color w:val="auto"/>
        </w:rPr>
        <w:t>. An initial Development Plan shall be prepared by Lepu and submitted to the JDC for approval within [***] of the Effective Date. Lepu shall submit to the JDC updates to the Development Plan by [***] of each calendar year in which Lepu anticipates conducting Development Activities.</w:t>
      </w:r>
    </w:p>
    <w:p>
      <w:pPr>
        <w:spacing w:after="0" w:line="178" w:lineRule="exact"/>
        <w:rPr>
          <w:sz w:val="20"/>
          <w:szCs w:val="20"/>
          <w:color w:val="auto"/>
        </w:rPr>
      </w:pPr>
    </w:p>
    <w:p>
      <w:pPr>
        <w:ind w:right="140" w:firstLine="973"/>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Lepu Responsibilities; CG Assistance</w:t>
      </w:r>
      <w:r>
        <w:rPr>
          <w:rFonts w:ascii="Times New Roman" w:cs="Times New Roman" w:eastAsia="Times New Roman" w:hAnsi="Times New Roman"/>
          <w:sz w:val="18"/>
          <w:szCs w:val="18"/>
          <w:color w:val="auto"/>
        </w:rPr>
        <w:t>. Lepu shall use Commercially Reasonable Efforts to Develop Products in the Field of Use in the Territory, including by performing Development Activities in accordance with the corresponding timelines set forth in Development Plan, all at Lepu’s sole cost and expense. Without limiting the foregoing, Lepu shall achieve the following clinical and regulatory milestones on or before the following dates:</w:t>
      </w:r>
    </w:p>
    <w:p>
      <w:pPr>
        <w:spacing w:after="0" w:line="185"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100" w:type="dxa"/>
            <w:vAlign w:val="bottom"/>
            <w:gridSpan w:val="2"/>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46"/>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Milestone</w:t>
            </w:r>
          </w:p>
        </w:tc>
        <w:tc>
          <w:tcPr>
            <w:tcW w:w="5660" w:type="dxa"/>
            <w:vAlign w:val="bottom"/>
          </w:tcPr>
          <w:p>
            <w:pPr>
              <w:spacing w:after="0"/>
              <w:rPr>
                <w:sz w:val="12"/>
                <w:szCs w:val="12"/>
                <w:color w:val="auto"/>
              </w:rPr>
            </w:pPr>
          </w:p>
        </w:tc>
        <w:tc>
          <w:tcPr>
            <w:tcW w:w="1100" w:type="dxa"/>
            <w:vAlign w:val="bottom"/>
            <w:gridSpan w:val="2"/>
          </w:tcPr>
          <w:p>
            <w:pPr>
              <w:jc w:val="center"/>
              <w:ind w:right="272"/>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Completion</w:t>
            </w:r>
          </w:p>
        </w:tc>
        <w:tc>
          <w:tcPr>
            <w:tcW w:w="0" w:type="dxa"/>
            <w:vAlign w:val="bottom"/>
          </w:tcPr>
          <w:p>
            <w:pPr>
              <w:spacing w:after="0"/>
              <w:rPr>
                <w:sz w:val="1"/>
                <w:szCs w:val="1"/>
                <w:color w:val="auto"/>
              </w:rPr>
            </w:pPr>
          </w:p>
        </w:tc>
      </w:tr>
      <w:tr>
        <w:trPr>
          <w:trHeight w:val="177"/>
        </w:trPr>
        <w:tc>
          <w:tcPr>
            <w:tcW w:w="580" w:type="dxa"/>
            <w:vAlign w:val="bottom"/>
            <w:tcBorders>
              <w:bottom w:val="single" w:sz="8" w:color="auto"/>
            </w:tcBorders>
            <w:vMerge w:val="continue"/>
          </w:tcPr>
          <w:p>
            <w:pPr>
              <w:spacing w:after="0"/>
              <w:rPr>
                <w:sz w:val="15"/>
                <w:szCs w:val="15"/>
                <w:color w:val="auto"/>
              </w:rPr>
            </w:pPr>
          </w:p>
        </w:tc>
        <w:tc>
          <w:tcPr>
            <w:tcW w:w="5660" w:type="dxa"/>
            <w:vAlign w:val="bottom"/>
          </w:tcPr>
          <w:p>
            <w:pPr>
              <w:spacing w:after="0"/>
              <w:rPr>
                <w:sz w:val="15"/>
                <w:szCs w:val="15"/>
                <w:color w:val="auto"/>
              </w:rPr>
            </w:pPr>
          </w:p>
        </w:tc>
        <w:tc>
          <w:tcPr>
            <w:tcW w:w="1100" w:type="dxa"/>
            <w:vAlign w:val="bottom"/>
            <w:gridSpan w:val="2"/>
          </w:tcPr>
          <w:p>
            <w:pPr>
              <w:jc w:val="center"/>
              <w:ind w:right="292"/>
              <w:spacing w:after="0" w:line="157"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98"/>
        </w:trPr>
        <w:tc>
          <w:tcPr>
            <w:tcW w:w="580" w:type="dxa"/>
            <w:vAlign w:val="bottom"/>
            <w:tcBorders>
              <w:top w:val="single" w:sz="8" w:color="CCEEFF"/>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56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w w:val="76"/>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CG shall provide all reasonably requested information, Licensed Know-How, and assistance to Lepu in connection with the Development Activities, at Lepu’s cost and expense (which CG may reasonably require in advance).</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CG Development Costs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1406"/>
        <w:spacing w:after="0" w:line="249" w:lineRule="auto"/>
        <w:rPr>
          <w:sz w:val="20"/>
          <w:szCs w:val="20"/>
          <w:color w:val="auto"/>
        </w:rPr>
      </w:pPr>
      <w:r>
        <w:rPr>
          <w:rFonts w:ascii="Times New Roman" w:cs="Times New Roman" w:eastAsia="Times New Roman" w:hAnsi="Times New Roman"/>
          <w:sz w:val="18"/>
          <w:szCs w:val="18"/>
          <w:color w:val="auto"/>
        </w:rPr>
        <w:t>5.3.1  The Parties acknowledge and agree that their intent is for Lepu to be responsible for all of the internal and external costs and expenses incurred by CG in its performance of all Development Activities it is required to perform, including, without limitation, Personnel Costs, but excluding costs related to participation of CG’s employees on the JDC (the “</w:t>
      </w:r>
      <w:r>
        <w:rPr>
          <w:rFonts w:ascii="Times New Roman" w:cs="Times New Roman" w:eastAsia="Times New Roman" w:hAnsi="Times New Roman"/>
          <w:sz w:val="18"/>
          <w:szCs w:val="18"/>
          <w:b w:val="1"/>
          <w:bCs w:val="1"/>
          <w:i w:val="1"/>
          <w:iCs w:val="1"/>
          <w:color w:val="auto"/>
        </w:rPr>
        <w:t>CG Development Costs</w:t>
      </w:r>
      <w:r>
        <w:rPr>
          <w:rFonts w:ascii="Times New Roman" w:cs="Times New Roman" w:eastAsia="Times New Roman" w:hAnsi="Times New Roman"/>
          <w:sz w:val="18"/>
          <w:szCs w:val="18"/>
          <w:color w:val="auto"/>
        </w:rPr>
        <w:t>”). Accordingly, Lepu shall pay CG for the CG Development Costs within [***] after receipt of CG’s written invoice(s), supported by reasonable documentation for the amounts charged in such invoice(s). However, to the extent CG must pay its approved consultants prior to such time period, then Lepu shall pay CG such CG Development Costs within the later of (i) [***] after invoice, or (ii) the date such consultant requires payment after invoice. For the avoidance of doubt, unless otherwise agreed to by the Parties in writing, CG will not be required to perform any activities under the Development Plan for which funding by Lepu is not provided.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60"/>
          </w:cols>
          <w:pgMar w:left="540" w:top="267" w:right="599" w:bottom="1440" w:gutter="0" w:footer="0" w:header="0"/>
        </w:sectPr>
      </w:pPr>
    </w:p>
    <w:bookmarkStart w:id="431" w:name="page432"/>
    <w:bookmarkEnd w:id="4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6. 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firstLine="973"/>
        <w:spacing w:after="0" w:line="249"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Commercialization Plan</w:t>
      </w:r>
      <w:r>
        <w:rPr>
          <w:rFonts w:ascii="Times New Roman" w:cs="Times New Roman" w:eastAsia="Times New Roman" w:hAnsi="Times New Roman"/>
          <w:sz w:val="18"/>
          <w:szCs w:val="18"/>
          <w:color w:val="auto"/>
        </w:rPr>
        <w:t>. No later than [***] prior to the estimated date of Marketing Authorization Approval in the Territory, Lepu shall provide CG with a written plan for the Commercialization of Products in the Field of Use in the Territory (the “</w:t>
      </w:r>
      <w:r>
        <w:rPr>
          <w:rFonts w:ascii="Times New Roman" w:cs="Times New Roman" w:eastAsia="Times New Roman" w:hAnsi="Times New Roman"/>
          <w:sz w:val="18"/>
          <w:szCs w:val="18"/>
          <w:b w:val="1"/>
          <w:bCs w:val="1"/>
          <w:i w:val="1"/>
          <w:iCs w:val="1"/>
          <w:color w:val="auto"/>
        </w:rPr>
        <w:t>Commercialization Plan</w:t>
      </w:r>
      <w:r>
        <w:rPr>
          <w:rFonts w:ascii="Times New Roman" w:cs="Times New Roman" w:eastAsia="Times New Roman" w:hAnsi="Times New Roman"/>
          <w:sz w:val="18"/>
          <w:szCs w:val="18"/>
          <w:color w:val="auto"/>
        </w:rPr>
        <w:t>”) including a corresponding budget, which shall include reasonable detail regarding the activities Lepu expects to undertake, and the amounts it expects to expend in connection with such activities over the [***] period immediately following Marketing Authorization Approval in the Territory. The Commercialization Plan shall be updated [***] and shall include revenue projections for the first [***] covered by the Commercialization Plan. The Commercialization Plan shall, at a minimum, contain reasonably sufficient detail to demonstrate to CG how Lepu intends to meet its obligations under Section 6.2. Lepu shall provide CG with a reasonable opportunity to review and comment on the initial Commercialization Plan and each update thereto, and Lepu shall consider all such comments in good faith. Lepu shall be responsible to use Commercially Reasonable Efforts to Commercialize Products in accordance with the Commercialization Plan and otherwise as expressly provided under this Agreement.</w:t>
      </w:r>
    </w:p>
    <w:p>
      <w:pPr>
        <w:spacing w:after="0" w:line="187" w:lineRule="exact"/>
        <w:rPr>
          <w:sz w:val="20"/>
          <w:szCs w:val="20"/>
          <w:color w:val="auto"/>
        </w:rPr>
      </w:pPr>
    </w:p>
    <w:p>
      <w:pPr>
        <w:ind w:right="20" w:firstLine="973"/>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Diligence</w:t>
      </w:r>
      <w:r>
        <w:rPr>
          <w:rFonts w:ascii="Times New Roman" w:cs="Times New Roman" w:eastAsia="Times New Roman" w:hAnsi="Times New Roman"/>
          <w:sz w:val="18"/>
          <w:szCs w:val="18"/>
          <w:color w:val="auto"/>
        </w:rPr>
        <w:t>. Lepu shall use Commercially Reasonable Efforts to Commercialize Products in the Field of Use in the Territory, at its sole expense. Without limiting the generality of the foregoing, Lepu shall use Commercially Reasonable Efforts to Commercialize at least one (1) Product and achieve the First Commercial Sale in the Territory within [***] after receipt of Marketing Authorization Approval therefor, and to Commercialize at least one (1) Product and achieve the First Commercial Sale in the Territory within [***] after receipt of Marketing Authorization Approval in the Territory.</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Samples and Labeling</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80" w:firstLine="1406"/>
        <w:spacing w:after="0" w:line="252" w:lineRule="auto"/>
        <w:rPr>
          <w:sz w:val="20"/>
          <w:szCs w:val="20"/>
          <w:color w:val="auto"/>
        </w:rPr>
      </w:pPr>
      <w:r>
        <w:rPr>
          <w:rFonts w:ascii="Times New Roman" w:cs="Times New Roman" w:eastAsia="Times New Roman" w:hAnsi="Times New Roman"/>
          <w:sz w:val="18"/>
          <w:szCs w:val="18"/>
          <w:color w:val="auto"/>
        </w:rPr>
        <w:t xml:space="preserve">6.3.1  </w:t>
      </w:r>
      <w:r>
        <w:rPr>
          <w:rFonts w:ascii="Times New Roman" w:cs="Times New Roman" w:eastAsia="Times New Roman" w:hAnsi="Times New Roman"/>
          <w:sz w:val="18"/>
          <w:szCs w:val="18"/>
          <w:u w:val="single" w:color="auto"/>
          <w:color w:val="auto"/>
        </w:rPr>
        <w:t>Markings</w:t>
      </w:r>
      <w:r>
        <w:rPr>
          <w:rFonts w:ascii="Times New Roman" w:cs="Times New Roman" w:eastAsia="Times New Roman" w:hAnsi="Times New Roman"/>
          <w:sz w:val="18"/>
          <w:szCs w:val="18"/>
          <w:color w:val="auto"/>
        </w:rPr>
        <w:t>. To the extent permitted or required by applicable Law, Lepu shall (and shall require that its Affiliates and Sublicensees) indicate that the Product is licensed by CG in the package insert for all Products distributed in the Field of Use in the Territory. Subject to the Parties’ agreement as to which Licensed Patents Cover any Product, Lepu shall, and shall require its Affiliates and Sublicensees to, mark all Products and all associated packaging and documentation, with the appropriate marking and notices associated with the applicable Licensed Patents in accordance with the laws and customs of each country or jurisdiction in which such Products are manufactured, used or sold.</w:t>
      </w:r>
    </w:p>
    <w:p>
      <w:pPr>
        <w:spacing w:after="0" w:line="185" w:lineRule="exact"/>
        <w:rPr>
          <w:sz w:val="20"/>
          <w:szCs w:val="20"/>
          <w:color w:val="auto"/>
        </w:rPr>
      </w:pPr>
    </w:p>
    <w:p>
      <w:pPr>
        <w:jc w:val="both"/>
        <w:ind w:right="100" w:firstLine="1406"/>
        <w:spacing w:after="0" w:line="259" w:lineRule="auto"/>
        <w:rPr>
          <w:sz w:val="20"/>
          <w:szCs w:val="20"/>
          <w:color w:val="auto"/>
        </w:rPr>
      </w:pPr>
      <w:r>
        <w:rPr>
          <w:rFonts w:ascii="Times New Roman" w:cs="Times New Roman" w:eastAsia="Times New Roman" w:hAnsi="Times New Roman"/>
          <w:sz w:val="18"/>
          <w:szCs w:val="18"/>
          <w:color w:val="auto"/>
        </w:rPr>
        <w:t xml:space="preserve">6.3.2  </w:t>
      </w:r>
      <w:r>
        <w:rPr>
          <w:rFonts w:ascii="Times New Roman" w:cs="Times New Roman" w:eastAsia="Times New Roman" w:hAnsi="Times New Roman"/>
          <w:sz w:val="18"/>
          <w:szCs w:val="18"/>
          <w:u w:val="single" w:color="auto"/>
          <w:color w:val="auto"/>
        </w:rPr>
        <w:t>Statements Consistent with Labeling</w:t>
      </w:r>
      <w:r>
        <w:rPr>
          <w:rFonts w:ascii="Times New Roman" w:cs="Times New Roman" w:eastAsia="Times New Roman" w:hAnsi="Times New Roman"/>
          <w:sz w:val="18"/>
          <w:szCs w:val="18"/>
          <w:color w:val="auto"/>
        </w:rPr>
        <w:t>. Lepu shall ensure that its employees, independent contractors and other agents market and sell Products consistent with the requirements of all applicable Laws. Lepu shall ensure that all samples provided under this Agreement are labeled and distributed in accordance with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MANUFACTURING; TECHNOLOGY TRANSFER</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right="120" w:firstLine="973"/>
        <w:spacing w:after="0" w:line="27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Manufacturing by CG</w:t>
      </w:r>
      <w:r>
        <w:rPr>
          <w:rFonts w:ascii="Times New Roman" w:cs="Times New Roman" w:eastAsia="Times New Roman" w:hAnsi="Times New Roman"/>
          <w:sz w:val="18"/>
          <w:szCs w:val="18"/>
          <w:color w:val="auto"/>
        </w:rPr>
        <w:t>. CG shall use Commercially Reasonable Efforts to manufacture or otherwise supply Lepu of its requirements of CG’s CG0070 recombinant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00"/>
          </w:cols>
          <w:pgMar w:left="540" w:top="265" w:right="559" w:bottom="1440" w:gutter="0" w:footer="0" w:header="0"/>
        </w:sectPr>
      </w:pPr>
    </w:p>
    <w:bookmarkStart w:id="432" w:name="page433"/>
    <w:bookmarkEnd w:id="432"/>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adenovirus and DDM (the “</w:t>
      </w:r>
      <w:r>
        <w:rPr>
          <w:rFonts w:ascii="Times New Roman" w:cs="Times New Roman" w:eastAsia="Times New Roman" w:hAnsi="Times New Roman"/>
          <w:sz w:val="18"/>
          <w:szCs w:val="18"/>
          <w:b w:val="1"/>
          <w:bCs w:val="1"/>
          <w:i w:val="1"/>
          <w:iCs w:val="1"/>
          <w:color w:val="auto"/>
        </w:rPr>
        <w:t>Materials</w:t>
      </w:r>
      <w:r>
        <w:rPr>
          <w:rFonts w:ascii="Times New Roman" w:cs="Times New Roman" w:eastAsia="Times New Roman" w:hAnsi="Times New Roman"/>
          <w:sz w:val="18"/>
          <w:szCs w:val="18"/>
          <w:color w:val="auto"/>
        </w:rPr>
        <w:t>”) for Development Activities. Lepu shall pay CG its fully burdened cost of such Materials plus (a) [***] thereof, and (b) actual freight and other Third Party transportation and handling expenses and within [***] after acceptance of Materials. Lepu may (as its sole and exclusive remedy for any non-conformance of Materials) only reject any Materials that do not conform in all material respects to specifications agreed upon in writing between Lepu and CG, and CG shall promptly upon such rejection provide Lepu with conforming replacement Materials in accordance with this Section. Materials that Lepu does not reject by notifying CG within [***] after delivery to Lepu shall be deemed accepted. Furthermore, the timing of delivery of the Materials shall be as reasonably specified by Lepu (but always subject to CG’s then current lead time), provided that the parties shall resolve any disputes regarding such timing through the JDC.</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Manufacturing by Lepu; Technology Transfer</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1406"/>
        <w:spacing w:after="0" w:line="259" w:lineRule="auto"/>
        <w:rPr>
          <w:sz w:val="20"/>
          <w:szCs w:val="20"/>
          <w:color w:val="auto"/>
        </w:rPr>
      </w:pPr>
      <w:r>
        <w:rPr>
          <w:rFonts w:ascii="Times New Roman" w:cs="Times New Roman" w:eastAsia="Times New Roman" w:hAnsi="Times New Roman"/>
          <w:sz w:val="18"/>
          <w:szCs w:val="18"/>
          <w:color w:val="auto"/>
        </w:rPr>
        <w:t>7.2.1  At least [***] every [***] during the Term or at Lepu’s request, CG will provide Lepu with copies of all Manufacturing Documentation in its possession and necessary for Lepu to manufacture clinical and commercial supplies of CG’s CG0070 recombinant adenovirus and DDM.</w:t>
      </w:r>
    </w:p>
    <w:p>
      <w:pPr>
        <w:spacing w:after="0" w:line="178" w:lineRule="exact"/>
        <w:rPr>
          <w:sz w:val="20"/>
          <w:szCs w:val="20"/>
          <w:color w:val="auto"/>
        </w:rPr>
      </w:pPr>
    </w:p>
    <w:p>
      <w:pPr>
        <w:ind w:right="40" w:firstLine="1406"/>
        <w:spacing w:after="0" w:line="265" w:lineRule="auto"/>
        <w:rPr>
          <w:sz w:val="20"/>
          <w:szCs w:val="20"/>
          <w:color w:val="auto"/>
        </w:rPr>
      </w:pPr>
      <w:r>
        <w:rPr>
          <w:rFonts w:ascii="Times New Roman" w:cs="Times New Roman" w:eastAsia="Times New Roman" w:hAnsi="Times New Roman"/>
          <w:sz w:val="17"/>
          <w:szCs w:val="17"/>
          <w:color w:val="auto"/>
        </w:rPr>
        <w:t>7.2.2  With respect to the manufacture of CG’s CG0070 recombinant adenovirus and DDM, CG shall provide all reasonably requested information (including, without limitation, Licensed Know-How) and assistance to Lepu, at Lepu’s cost and expense, necessary to enable the manufacture of CG’s CG0070 recombinant adenovirus and DDM at a manufacturing facility designated by Lepu. Such assistance shall include, if requested by Lepu and at Lepu’s expense (including, without limitation CG’s Personnel Costs), provision of reasonable access to and consultation with persons knowledgeable of the manufacture of CG’s CG0070 recombinant adenovirus and DDM. Prior to the start of the validation process of a Third Party facility, CG shall have the right to require that the Third Party facility enter into a reasonable agreement with CG and/or its Third Party manufacturer that includes confidentiality obligations that are at least as protective of CG’s Confidential Information as those set forth in Article 9. CG shall use Commercially Reasonably Efforts to provide reasonably requested information and assistance under this Section 7.2.2, at Lepu’s cost and expense, on an ongoing basis with the intent that Products can be manufactured to meet then-current demand with batch-to-batch stability.</w:t>
      </w:r>
    </w:p>
    <w:p>
      <w:pPr>
        <w:spacing w:after="0" w:line="177" w:lineRule="exact"/>
        <w:rPr>
          <w:sz w:val="20"/>
          <w:szCs w:val="20"/>
          <w:color w:val="auto"/>
        </w:rPr>
      </w:pPr>
    </w:p>
    <w:p>
      <w:pPr>
        <w:ind w:right="220" w:firstLine="1406"/>
        <w:spacing w:after="0" w:line="259" w:lineRule="auto"/>
        <w:rPr>
          <w:sz w:val="20"/>
          <w:szCs w:val="20"/>
          <w:color w:val="auto"/>
        </w:rPr>
      </w:pPr>
      <w:r>
        <w:rPr>
          <w:rFonts w:ascii="Times New Roman" w:cs="Times New Roman" w:eastAsia="Times New Roman" w:hAnsi="Times New Roman"/>
          <w:sz w:val="18"/>
          <w:szCs w:val="18"/>
          <w:color w:val="auto"/>
        </w:rPr>
        <w:t>7.2.3  Lepu acknowledges that CG’s obligations in Sections 7.2.1 and 7.2.2 are conditioned on Lepu providing certain documentation reasonably necessary to enable CG to perform its obligations and Lepu agrees to provide CG with such documentation and otherwise reasonably cooperate with CG in the performance of its obligations under this Section 7.2.</w:t>
      </w:r>
    </w:p>
    <w:p>
      <w:pPr>
        <w:spacing w:after="0" w:line="178" w:lineRule="exact"/>
        <w:rPr>
          <w:sz w:val="20"/>
          <w:szCs w:val="20"/>
          <w:color w:val="auto"/>
        </w:rPr>
      </w:pPr>
    </w:p>
    <w:p>
      <w:pPr>
        <w:ind w:right="300" w:firstLine="973"/>
        <w:spacing w:after="0" w:line="304"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Each Party shall conduct, or have conducted, all manufacturing of Product for which it is responsible in accordance with this Agreement and Laws, including, without limitation, all Good Manufacturing Practices, to the extent applicable.</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40" w:top="263" w:right="639" w:bottom="1440" w:gutter="0" w:footer="0" w:header="0"/>
        </w:sectPr>
      </w:pPr>
    </w:p>
    <w:bookmarkStart w:id="433" w:name="page434"/>
    <w:bookmarkEnd w:id="433"/>
    <w:p>
      <w:pPr>
        <w:jc w:val="center"/>
        <w:ind w:right="7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8.   </w:t>
      </w:r>
      <w:r>
        <w:rPr>
          <w:rFonts w:ascii="Times New Roman" w:cs="Times New Roman" w:eastAsia="Times New Roman" w:hAnsi="Times New Roman"/>
          <w:sz w:val="18"/>
          <w:szCs w:val="18"/>
          <w:b w:val="1"/>
          <w:bCs w:val="1"/>
          <w:color w:val="auto"/>
        </w:rPr>
        <w:t>REGULATORY MATTERS.</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Responsibility</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40" w:firstLine="1406"/>
        <w:spacing w:after="0" w:line="265" w:lineRule="auto"/>
        <w:rPr>
          <w:sz w:val="20"/>
          <w:szCs w:val="20"/>
          <w:color w:val="auto"/>
        </w:rPr>
      </w:pPr>
      <w:r>
        <w:rPr>
          <w:rFonts w:ascii="Times New Roman" w:cs="Times New Roman" w:eastAsia="Times New Roman" w:hAnsi="Times New Roman"/>
          <w:sz w:val="17"/>
          <w:szCs w:val="17"/>
          <w:color w:val="auto"/>
        </w:rPr>
        <w:t>8.1.1  Lepu shall be the holder and owner of all the Marketing Authorization Approvals in the Territory for Products in the Field of Use during the Term, and shall be responsible for all associated legal obligations with respect to all of the foregoing. Lepu shall use Commercially Reasonable Efforts to maintain all the Marketing Authorization Approvals for Products in the Territory, including submitting any supplemental applications, annual reports, variations or renewals thereof that are required by applicable Law to be obtained in order to maintain the Marketing Authorization Approval(s) in the Territory. Lepu shall use Commercially Reasonable Efforts, and bear its own costs and expenses, in connection with the foregoing and all other regulatory-related activities Lepu undertakes or is required to undertake in the Territory. Lepu shall not assign or transfer any Marketing Authorization Approvals in the Territory to any Third Party without the prior written consent of CG, except in connection with a permitted assignment of this Agreement pursuant to Section 15.8. At Lepu’s request and expense (which CG may reasonably request in advance), CG shall provide reasonable assistance with Lepu’s pursuit of Marketing Authorization Approvals and other regulatory activities.</w:t>
      </w:r>
    </w:p>
    <w:p>
      <w:pPr>
        <w:spacing w:after="0" w:line="177" w:lineRule="exact"/>
        <w:rPr>
          <w:sz w:val="20"/>
          <w:szCs w:val="20"/>
          <w:color w:val="auto"/>
        </w:rPr>
      </w:pPr>
    </w:p>
    <w:p>
      <w:pPr>
        <w:ind w:firstLine="973"/>
        <w:spacing w:after="0" w:line="250"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Lepu shall keep CG informed of all significant matters arising from Lepu’s regulatory-related activities with respect to Products and shall provide CG with a copy or a summary of any material correspondence that it receives from a Regulatory Authority regarding any Product, with such copy or summary to be provided no later than [***] after receipt of the correspondence to which it relates. Lepu shall provide CG reasonable advance written notice of any meetings, conferences, or calls with Regulatory Authority(ies) in the Territory concerning Products and an opportunity participate in any such meetings, conferences or calls, and to review and comment on any materials or correspondence proposed to be submitted to any Regulatory Authority. Lepu shall give reasonable consideration to CG’s comments and suggestions regarding all regulatory matters related.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Right of Reference</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60" w:firstLine="1406"/>
        <w:spacing w:after="0" w:line="252" w:lineRule="auto"/>
        <w:rPr>
          <w:sz w:val="20"/>
          <w:szCs w:val="20"/>
          <w:color w:val="auto"/>
        </w:rPr>
      </w:pPr>
      <w:r>
        <w:rPr>
          <w:rFonts w:ascii="Times New Roman" w:cs="Times New Roman" w:eastAsia="Times New Roman" w:hAnsi="Times New Roman"/>
          <w:sz w:val="18"/>
          <w:szCs w:val="18"/>
          <w:color w:val="auto"/>
        </w:rPr>
        <w:t>8.3.1  Lepu hereby grants CG a right of reference, subject to applicable Law, to all data and information contained or referenced in any submissions to Regulatory Authorities for Products in the Territory that are reasonably necessary or useful for any regulatory filings CG decides to make with respect to Products outside the Territory and/or Field of Use. Lepu shall provide the applicable Regulatory Authority(ies) a letter confirming this right of reference at any time within [***] after CG’s request and shall take such other actions and execute such other documents as CG may reasonably request to further confirm and give effect to this right of reference.</w:t>
      </w:r>
    </w:p>
    <w:p>
      <w:pPr>
        <w:spacing w:after="0" w:line="185" w:lineRule="exact"/>
        <w:rPr>
          <w:sz w:val="20"/>
          <w:szCs w:val="20"/>
          <w:color w:val="auto"/>
        </w:rPr>
      </w:pPr>
    </w:p>
    <w:p>
      <w:pPr>
        <w:ind w:right="60" w:firstLine="1406"/>
        <w:spacing w:after="0" w:line="252" w:lineRule="auto"/>
        <w:rPr>
          <w:sz w:val="20"/>
          <w:szCs w:val="20"/>
          <w:color w:val="auto"/>
        </w:rPr>
      </w:pPr>
      <w:r>
        <w:rPr>
          <w:rFonts w:ascii="Times New Roman" w:cs="Times New Roman" w:eastAsia="Times New Roman" w:hAnsi="Times New Roman"/>
          <w:sz w:val="18"/>
          <w:szCs w:val="18"/>
          <w:color w:val="auto"/>
        </w:rPr>
        <w:t>8.3.2  CG hereby grants Lepu a right of reference, subject to applicable Law, to all data and information contained or referenced in any submissions to Regulatory Authorities for Products outside the Territory that are reasonably necessary or useful for any regulatory filings Lepu decides to make with respect to Products in the Territory in the Field of Use. CG shall provide the applicable Regulatory Authority(ies) a letter confirming this right of reference at any time within [***] after Lepu’s request and shall take such other actions and execute such other documents as Lepu may reasonably request to further confirm and give effect to this right of reference.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80"/>
          </w:cols>
          <w:pgMar w:left="540" w:top="265" w:right="579" w:bottom="1440" w:gutter="0" w:footer="0" w:header="0"/>
        </w:sectPr>
      </w:pPr>
    </w:p>
    <w:bookmarkStart w:id="434" w:name="page435"/>
    <w:bookmarkEnd w:id="434"/>
    <w:p>
      <w:pPr>
        <w:ind w:firstLine="973"/>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8.4  </w:t>
      </w:r>
      <w:r>
        <w:rPr>
          <w:rFonts w:ascii="Times New Roman" w:cs="Times New Roman" w:eastAsia="Times New Roman" w:hAnsi="Times New Roman"/>
          <w:sz w:val="18"/>
          <w:szCs w:val="18"/>
          <w:u w:val="single" w:color="auto"/>
          <w:color w:val="auto"/>
        </w:rPr>
        <w:t>Drug Safety Information</w:t>
      </w:r>
      <w:r>
        <w:rPr>
          <w:rFonts w:ascii="Times New Roman" w:cs="Times New Roman" w:eastAsia="Times New Roman" w:hAnsi="Times New Roman"/>
          <w:sz w:val="18"/>
          <w:szCs w:val="18"/>
          <w:color w:val="auto"/>
        </w:rPr>
        <w:t>. Lepu shall comply fully with all applicable Adverse Event reporting recommendations and requirements in all countries in the Territory where Lepu intends to Commercialize the Product and the Parties agree to exchange with one another such information as may be necessary to achieve that end and to ensure that the Parties are completely informed regarding Adverse Events with respect to the Products. This includes single case reports, together with an appropriate medical evaluation, as well as aggregate data, such as Periodic Safety Update Reports (PSURs) required by applicable Regulatory Authorities. Within [***] after the Effective Date of this Agreement, the Parties shall commence good faith negotiations on a mutually acceptable pharmacovigilance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UPFRONT PAYMENTS; MILESTONE PAYMENTS; ROYALTY PAYMENTS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280" w:firstLine="432"/>
        <w:spacing w:after="0" w:line="274" w:lineRule="auto"/>
        <w:rPr>
          <w:sz w:val="20"/>
          <w:szCs w:val="20"/>
          <w:color w:val="auto"/>
        </w:rPr>
      </w:pPr>
      <w:r>
        <w:rPr>
          <w:rFonts w:ascii="Times New Roman" w:cs="Times New Roman" w:eastAsia="Times New Roman" w:hAnsi="Times New Roman"/>
          <w:sz w:val="18"/>
          <w:szCs w:val="18"/>
          <w:color w:val="auto"/>
        </w:rPr>
        <w:t>As partial consideration for the contributions and activities of CG under this Agreement and the rights granted by CG to Lepu hereunder, Lepu shall make the following payments to CG as set forth in this Article 9.</w:t>
      </w:r>
    </w:p>
    <w:p>
      <w:pPr>
        <w:spacing w:after="0" w:line="159" w:lineRule="exact"/>
        <w:rPr>
          <w:sz w:val="20"/>
          <w:szCs w:val="20"/>
          <w:color w:val="auto"/>
        </w:rPr>
      </w:pPr>
    </w:p>
    <w:p>
      <w:pPr>
        <w:ind w:right="200" w:firstLine="973"/>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Upfront Payment</w:t>
      </w:r>
      <w:r>
        <w:rPr>
          <w:rFonts w:ascii="Times New Roman" w:cs="Times New Roman" w:eastAsia="Times New Roman" w:hAnsi="Times New Roman"/>
          <w:sz w:val="18"/>
          <w:szCs w:val="18"/>
          <w:color w:val="auto"/>
        </w:rPr>
        <w:t>. Lepu shall pay CG four million five hundred thousand United States Dollars (USD$4,500,000) (the “</w:t>
      </w:r>
      <w:r>
        <w:rPr>
          <w:rFonts w:ascii="Times New Roman" w:cs="Times New Roman" w:eastAsia="Times New Roman" w:hAnsi="Times New Roman"/>
          <w:sz w:val="18"/>
          <w:szCs w:val="18"/>
          <w:b w:val="1"/>
          <w:bCs w:val="1"/>
          <w:i w:val="1"/>
          <w:iCs w:val="1"/>
          <w:color w:val="auto"/>
        </w:rPr>
        <w:t>Upfront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in accordance with the terms of this Section 9.1. Within [***] after the Effective Date, and with CG’s assistance at Lepu’s reasonable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Lepu shall seek approval from the China State Tax Administration (an “</w:t>
      </w:r>
      <w:r>
        <w:rPr>
          <w:rFonts w:ascii="Times New Roman" w:cs="Times New Roman" w:eastAsia="Times New Roman" w:hAnsi="Times New Roman"/>
          <w:sz w:val="18"/>
          <w:szCs w:val="18"/>
          <w:b w:val="1"/>
          <w:bCs w:val="1"/>
          <w:i w:val="1"/>
          <w:iCs w:val="1"/>
          <w:color w:val="auto"/>
        </w:rPr>
        <w:t>Approval Request</w:t>
      </w:r>
      <w:r>
        <w:rPr>
          <w:rFonts w:ascii="Times New Roman" w:cs="Times New Roman" w:eastAsia="Times New Roman" w:hAnsi="Times New Roman"/>
          <w:sz w:val="18"/>
          <w:szCs w:val="18"/>
          <w:color w:val="auto"/>
        </w:rPr>
        <w:t>”) and shall provide CG with written verification of such Approval Request. Lepu shall pay CG the Upfront Payment within [***] after the Approval Request is granted, which grant Lepu expects will occur approximately [***] after submission of the Approval Request.</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1406"/>
        <w:spacing w:after="0" w:line="271" w:lineRule="auto"/>
        <w:rPr>
          <w:sz w:val="20"/>
          <w:szCs w:val="20"/>
          <w:color w:val="auto"/>
        </w:rPr>
      </w:pPr>
      <w:r>
        <w:rPr>
          <w:rFonts w:ascii="Times New Roman" w:cs="Times New Roman" w:eastAsia="Times New Roman" w:hAnsi="Times New Roman"/>
          <w:sz w:val="17"/>
          <w:szCs w:val="17"/>
          <w:color w:val="auto"/>
        </w:rPr>
        <w:t>9.2.1  In the event CG or Lepu achieves a regulatory or commercial milestone specified below with respect to any Product (including achievement of any milestone by any Affiliate or Sublicensee of Lepu), then CG or Lepu, as applicable, shall promptly notify the other Party in writing of such achievement. Within [***] after such achievement, and with CG’s assistance at Lepu’s reasonable request, Lepu shall file an Approval Request to pay to CG the corresponding non-refundable, non-creditable milestone payments specified in the table below, and shall provide CG with written verification of such Approval Request. Lepu shall pay CG the applicable milestone payment within [***] after the Approval Request is granted.</w:t>
      </w:r>
    </w:p>
    <w:p>
      <w:pPr>
        <w:spacing w:after="0" w:line="189" w:lineRule="exact"/>
        <w:rPr>
          <w:sz w:val="20"/>
          <w:szCs w:val="20"/>
          <w:color w:val="auto"/>
        </w:rPr>
      </w:pPr>
    </w:p>
    <w:tbl>
      <w:tblPr>
        <w:tblLayout w:type="fixed"/>
        <w:tblInd w:w="1740" w:type="dxa"/>
        <w:tblCellMar>
          <w:top w:w="0" w:type="dxa"/>
          <w:left w:w="0" w:type="dxa"/>
          <w:bottom w:w="0" w:type="dxa"/>
          <w:right w:w="0" w:type="dxa"/>
        </w:tblCellMar>
      </w:tblPr>
      <w:tr>
        <w:trPr>
          <w:trHeight w:val="190"/>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Milestone Event</w:t>
            </w:r>
          </w:p>
        </w:tc>
        <w:tc>
          <w:tcPr>
            <w:tcW w:w="4820" w:type="dxa"/>
            <w:vAlign w:val="bottom"/>
          </w:tcPr>
          <w:p>
            <w:pPr>
              <w:spacing w:after="0"/>
              <w:rPr>
                <w:sz w:val="16"/>
                <w:szCs w:val="16"/>
                <w:color w:val="auto"/>
              </w:rPr>
            </w:pPr>
          </w:p>
        </w:tc>
        <w:tc>
          <w:tcPr>
            <w:tcW w:w="154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Milestone Payment</w:t>
            </w:r>
          </w:p>
        </w:tc>
      </w:tr>
      <w:tr>
        <w:trPr>
          <w:trHeight w:val="198"/>
        </w:trPr>
        <w:tc>
          <w:tcPr>
            <w:tcW w:w="980" w:type="dxa"/>
            <w:vAlign w:val="bottom"/>
            <w:tcBorders>
              <w:top w:val="single" w:sz="8" w:color="CCEEFF"/>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w w:val="76"/>
              </w:rPr>
              <w:t>[***]</w:t>
            </w:r>
          </w:p>
        </w:tc>
      </w:tr>
      <w:tr>
        <w:trPr>
          <w:trHeight w:val="2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9"/>
        </w:trPr>
        <w:tc>
          <w:tcPr>
            <w:tcW w:w="980" w:type="dxa"/>
            <w:vAlign w:val="bottom"/>
          </w:tcPr>
          <w:p>
            <w:pPr>
              <w:spacing w:after="0"/>
              <w:rPr>
                <w:sz w:val="24"/>
                <w:szCs w:val="24"/>
                <w:color w:val="auto"/>
              </w:rPr>
            </w:pPr>
          </w:p>
        </w:tc>
        <w:tc>
          <w:tcPr>
            <w:tcW w:w="4820" w:type="dxa"/>
            <w:vAlign w:val="bottom"/>
          </w:tcPr>
          <w:p>
            <w:pPr>
              <w:jc w:val="right"/>
              <w:ind w:right="1952"/>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800"/>
          </w:cols>
          <w:pgMar w:left="540" w:top="267" w:right="559" w:bottom="1440" w:gutter="0" w:footer="0" w:header="0"/>
        </w:sectPr>
      </w:pPr>
    </w:p>
    <w:bookmarkStart w:id="435" w:name="page436"/>
    <w:bookmarkEnd w:id="4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tbl>
      <w:tblPr>
        <w:tblLayout w:type="fixed"/>
        <w:tblInd w:w="1740" w:type="dxa"/>
        <w:tblCellMar>
          <w:top w:w="0" w:type="dxa"/>
          <w:left w:w="0" w:type="dxa"/>
          <w:bottom w:w="0" w:type="dxa"/>
          <w:right w:w="0" w:type="dxa"/>
        </w:tblCellMar>
      </w:tblPr>
      <w:tr>
        <w:trPr>
          <w:trHeight w:val="212"/>
        </w:trPr>
        <w:tc>
          <w:tcPr>
            <w:tcW w:w="3660" w:type="dxa"/>
            <w:vAlign w:val="bottom"/>
            <w:shd w:val="clear" w:color="auto" w:fill="CCEEFF"/>
          </w:tcPr>
          <w:p>
            <w:pPr>
              <w:jc w:val="right"/>
              <w:ind w:right="3152"/>
              <w:spacing w:after="0"/>
              <w:rPr>
                <w:sz w:val="20"/>
                <w:szCs w:val="20"/>
                <w:color w:val="auto"/>
              </w:rPr>
            </w:pPr>
            <w:r>
              <w:rPr>
                <w:rFonts w:ascii="Times New Roman" w:cs="Times New Roman" w:eastAsia="Times New Roman" w:hAnsi="Times New Roman"/>
                <w:sz w:val="18"/>
                <w:szCs w:val="18"/>
                <w:color w:val="auto"/>
                <w:w w:val="91"/>
              </w:rPr>
              <w:t>[***].</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660" w:type="dxa"/>
            <w:vAlign w:val="bottom"/>
          </w:tcPr>
          <w:p>
            <w:pPr>
              <w:jc w:val="right"/>
              <w:ind w:right="3152"/>
              <w:spacing w:after="0"/>
              <w:rPr>
                <w:sz w:val="20"/>
                <w:szCs w:val="20"/>
                <w:color w:val="auto"/>
              </w:rPr>
            </w:pPr>
            <w:r>
              <w:rPr>
                <w:rFonts w:ascii="Times New Roman" w:cs="Times New Roman" w:eastAsia="Times New Roman" w:hAnsi="Times New Roman"/>
                <w:sz w:val="18"/>
                <w:szCs w:val="18"/>
                <w:color w:val="auto"/>
                <w:w w:val="91"/>
              </w:rPr>
              <w: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660" w:type="dxa"/>
            <w:vAlign w:val="bottom"/>
            <w:shd w:val="clear" w:color="auto" w:fill="CCEEFF"/>
          </w:tcPr>
          <w:p>
            <w:pPr>
              <w:jc w:val="right"/>
              <w:ind w:right="3152"/>
              <w:spacing w:after="0"/>
              <w:rPr>
                <w:sz w:val="20"/>
                <w:szCs w:val="20"/>
                <w:color w:val="auto"/>
              </w:rPr>
            </w:pPr>
            <w:r>
              <w:rPr>
                <w:rFonts w:ascii="Times New Roman" w:cs="Times New Roman" w:eastAsia="Times New Roman" w:hAnsi="Times New Roman"/>
                <w:sz w:val="18"/>
                <w:szCs w:val="18"/>
                <w:color w:val="auto"/>
                <w:w w:val="91"/>
              </w:rPr>
              <w:t>[***].</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right="60" w:firstLine="1406"/>
        <w:spacing w:after="0" w:line="282" w:lineRule="auto"/>
        <w:rPr>
          <w:sz w:val="20"/>
          <w:szCs w:val="20"/>
          <w:color w:val="auto"/>
        </w:rPr>
      </w:pPr>
      <w:r>
        <w:rPr>
          <w:rFonts w:ascii="Times New Roman" w:cs="Times New Roman" w:eastAsia="Times New Roman" w:hAnsi="Times New Roman"/>
          <w:sz w:val="17"/>
          <w:szCs w:val="17"/>
          <w:color w:val="auto"/>
        </w:rPr>
        <w:t>9.2.2  All milestones are intended to be cumulative, such that if a later milestone is achieved prior to the achievement of one or more earlier milestones, the earlier milestone(s) will be deemed to have been achieved at the time the later milestone is achieved, and the corresponding milestone payment(s) shall be due and payable in accordance with this Section 9.2. Each milestone payment shall be made by Lepu only once.</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20" w:firstLine="1406"/>
        <w:spacing w:after="0" w:line="259" w:lineRule="auto"/>
        <w:rPr>
          <w:sz w:val="20"/>
          <w:szCs w:val="20"/>
          <w:color w:val="auto"/>
        </w:rPr>
      </w:pPr>
      <w:r>
        <w:rPr>
          <w:rFonts w:ascii="Times New Roman" w:cs="Times New Roman" w:eastAsia="Times New Roman" w:hAnsi="Times New Roman"/>
          <w:sz w:val="18"/>
          <w:szCs w:val="18"/>
          <w:color w:val="auto"/>
        </w:rPr>
        <w:t xml:space="preserve">9.3.1  </w:t>
      </w:r>
      <w:r>
        <w:rPr>
          <w:rFonts w:ascii="Times New Roman" w:cs="Times New Roman" w:eastAsia="Times New Roman" w:hAnsi="Times New Roman"/>
          <w:sz w:val="18"/>
          <w:szCs w:val="18"/>
          <w:u w:val="single" w:color="auto"/>
          <w:color w:val="auto"/>
        </w:rPr>
        <w:t>Net Sales Royalties</w:t>
      </w:r>
      <w:r>
        <w:rPr>
          <w:rFonts w:ascii="Times New Roman" w:cs="Times New Roman" w:eastAsia="Times New Roman" w:hAnsi="Times New Roman"/>
          <w:sz w:val="18"/>
          <w:szCs w:val="18"/>
          <w:color w:val="auto"/>
        </w:rPr>
        <w:t>. From and after the date of the First Commercial Sale of a Product until termination of this Agreement for any reason, Lepu will pay royalties to CG in an amount equal to seven percent (7%) of annual Net Sales. Royalty payments shall be payable on a calendar quarterly basis.</w:t>
      </w:r>
    </w:p>
    <w:p>
      <w:pPr>
        <w:spacing w:after="0" w:line="178" w:lineRule="exact"/>
        <w:rPr>
          <w:sz w:val="20"/>
          <w:szCs w:val="20"/>
          <w:color w:val="auto"/>
        </w:rPr>
      </w:pPr>
    </w:p>
    <w:p>
      <w:pPr>
        <w:ind w:right="200" w:firstLine="1406"/>
        <w:spacing w:after="0" w:line="259" w:lineRule="auto"/>
        <w:rPr>
          <w:sz w:val="20"/>
          <w:szCs w:val="20"/>
          <w:color w:val="auto"/>
        </w:rPr>
      </w:pPr>
      <w:r>
        <w:rPr>
          <w:rFonts w:ascii="Times New Roman" w:cs="Times New Roman" w:eastAsia="Times New Roman" w:hAnsi="Times New Roman"/>
          <w:sz w:val="18"/>
          <w:szCs w:val="18"/>
          <w:color w:val="auto"/>
        </w:rPr>
        <w:t xml:space="preserve">9.3.2  </w:t>
      </w:r>
      <w:r>
        <w:rPr>
          <w:rFonts w:ascii="Times New Roman" w:cs="Times New Roman" w:eastAsia="Times New Roman" w:hAnsi="Times New Roman"/>
          <w:sz w:val="18"/>
          <w:szCs w:val="18"/>
          <w:u w:val="single" w:color="auto"/>
          <w:color w:val="auto"/>
        </w:rPr>
        <w:t>Timing of Royalty Payments</w:t>
      </w:r>
      <w:r>
        <w:rPr>
          <w:rFonts w:ascii="Times New Roman" w:cs="Times New Roman" w:eastAsia="Times New Roman" w:hAnsi="Times New Roman"/>
          <w:sz w:val="18"/>
          <w:szCs w:val="18"/>
          <w:color w:val="auto"/>
        </w:rPr>
        <w:t>. Within [***] after the end of each calendar quarter Lepu shall file an Approval Request to make the royalty payment to CG for Net Sales during such calendar quarter, and shall provide CG with written verification of such Approval Request. Lepu shall pay CG the applicable royalty payment within [***] after the Approval Request is granted.</w:t>
      </w:r>
    </w:p>
    <w:p>
      <w:pPr>
        <w:spacing w:after="0" w:line="178" w:lineRule="exact"/>
        <w:rPr>
          <w:sz w:val="20"/>
          <w:szCs w:val="20"/>
          <w:color w:val="auto"/>
        </w:rPr>
      </w:pPr>
    </w:p>
    <w:p>
      <w:pPr>
        <w:jc w:val="both"/>
        <w:ind w:right="200" w:firstLine="1406"/>
        <w:spacing w:after="0" w:line="282" w:lineRule="auto"/>
        <w:rPr>
          <w:sz w:val="20"/>
          <w:szCs w:val="20"/>
          <w:color w:val="auto"/>
        </w:rPr>
      </w:pPr>
      <w:r>
        <w:rPr>
          <w:rFonts w:ascii="Times New Roman" w:cs="Times New Roman" w:eastAsia="Times New Roman" w:hAnsi="Times New Roman"/>
          <w:sz w:val="17"/>
          <w:szCs w:val="17"/>
          <w:color w:val="auto"/>
        </w:rPr>
        <w:t xml:space="preserve">9.3.3  </w:t>
      </w:r>
      <w:r>
        <w:rPr>
          <w:rFonts w:ascii="Times New Roman" w:cs="Times New Roman" w:eastAsia="Times New Roman" w:hAnsi="Times New Roman"/>
          <w:sz w:val="17"/>
          <w:szCs w:val="17"/>
          <w:u w:val="single" w:color="auto"/>
          <w:color w:val="auto"/>
        </w:rPr>
        <w:t>Discounts</w:t>
      </w:r>
      <w:r>
        <w:rPr>
          <w:rFonts w:ascii="Times New Roman" w:cs="Times New Roman" w:eastAsia="Times New Roman" w:hAnsi="Times New Roman"/>
          <w:sz w:val="17"/>
          <w:szCs w:val="17"/>
          <w:color w:val="auto"/>
        </w:rPr>
        <w:t>. To the extent permitted by applicable Laws, Lepu shall not, and shall ensure that its Affiliates and Sublicensees do not, sell a Product to any Third Party at a discount greater than customary industry standards in the Territory with respect to products similar to the Product (and Lepu shall not be entitled to deduct the excess portion of such discount in the calculation of Net Sales in respect of such sale).</w:t>
      </w:r>
    </w:p>
    <w:p>
      <w:pPr>
        <w:spacing w:after="0" w:line="159" w:lineRule="exact"/>
        <w:rPr>
          <w:sz w:val="20"/>
          <w:szCs w:val="20"/>
          <w:color w:val="auto"/>
        </w:rPr>
      </w:pPr>
    </w:p>
    <w:p>
      <w:pPr>
        <w:ind w:firstLine="1406"/>
        <w:spacing w:after="0" w:line="248" w:lineRule="auto"/>
        <w:rPr>
          <w:sz w:val="20"/>
          <w:szCs w:val="20"/>
          <w:color w:val="auto"/>
        </w:rPr>
      </w:pPr>
      <w:r>
        <w:rPr>
          <w:rFonts w:ascii="Times New Roman" w:cs="Times New Roman" w:eastAsia="Times New Roman" w:hAnsi="Times New Roman"/>
          <w:sz w:val="18"/>
          <w:szCs w:val="18"/>
          <w:color w:val="auto"/>
        </w:rPr>
        <w:t xml:space="preserve">9.3.4  </w:t>
      </w:r>
      <w:r>
        <w:rPr>
          <w:rFonts w:ascii="Times New Roman" w:cs="Times New Roman" w:eastAsia="Times New Roman" w:hAnsi="Times New Roman"/>
          <w:sz w:val="18"/>
          <w:szCs w:val="18"/>
          <w:u w:val="single" w:color="auto"/>
          <w:color w:val="auto"/>
        </w:rPr>
        <w:t>Calculation of Net Sales for Combination Products</w:t>
      </w:r>
      <w:r>
        <w:rPr>
          <w:rFonts w:ascii="Times New Roman" w:cs="Times New Roman" w:eastAsia="Times New Roman" w:hAnsi="Times New Roman"/>
          <w:sz w:val="18"/>
          <w:szCs w:val="18"/>
          <w:color w:val="auto"/>
        </w:rPr>
        <w:t>. With respect to Combination Products, if Products are sold in the form of Combination Products containing one or more Other Products, Net Sales for the Combination Product will be calculated by multiplying actual Net Sales of such Combination Product by the fraction A/(A+B) where A is the invoice price of a Product as the only therapeutically active ingredient if sold separately, and B is the total invoice price of any Other Products in such Combination Product, if sold separately. If the Other Products in the combination are not sold separately, Net Sales for the purpose of determining royalties of the Combination Product shall be calculated by multiplying actual Net Sales of such Combination Product by the fraction A/C where A is the invoice price of the Product as the only therapeutically active ingredient, if sold separately, and C is the invoice price of the Other Product. If neither such Product nor the other active component or components of the Combination Product is sold separately, Net Sales for the purposes of determining royalties of the Combination Product shall be determined by the Parties in good faith based on the relative value of the Product and the additional active ingredients that are included in the Combination Product (an “</w:t>
      </w:r>
      <w:r>
        <w:rPr>
          <w:rFonts w:ascii="Times New Roman" w:cs="Times New Roman" w:eastAsia="Times New Roman" w:hAnsi="Times New Roman"/>
          <w:sz w:val="18"/>
          <w:szCs w:val="18"/>
          <w:b w:val="1"/>
          <w:bCs w:val="1"/>
          <w:i w:val="1"/>
          <w:iCs w:val="1"/>
          <w:color w:val="auto"/>
        </w:rPr>
        <w:t>Unprecedented Combination Product</w:t>
      </w:r>
      <w:r>
        <w:rPr>
          <w:rFonts w:ascii="Times New Roman" w:cs="Times New Roman" w:eastAsia="Times New Roman" w:hAnsi="Times New Roman"/>
          <w:sz w:val="18"/>
          <w:szCs w:val="18"/>
          <w:color w:val="auto"/>
        </w:rPr>
        <w:t>”). Neither Lepu, its Affiliates nor its Sublicensees shall sell any Unprecedented Combination Product until the Parties have made the determination required by the previous sentence.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00"/>
          </w:cols>
          <w:pgMar w:left="540" w:top="285" w:right="559" w:bottom="1440" w:gutter="0" w:footer="0" w:header="0"/>
        </w:sectPr>
      </w:pPr>
    </w:p>
    <w:bookmarkStart w:id="436" w:name="page437"/>
    <w:bookmarkEnd w:id="436"/>
    <w:p>
      <w:pPr>
        <w:ind w:right="100" w:firstLine="140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9.3.5  </w:t>
      </w:r>
      <w:r>
        <w:rPr>
          <w:rFonts w:ascii="Times New Roman" w:cs="Times New Roman" w:eastAsia="Times New Roman" w:hAnsi="Times New Roman"/>
          <w:sz w:val="18"/>
          <w:szCs w:val="18"/>
          <w:u w:val="single" w:color="auto"/>
          <w:color w:val="auto"/>
        </w:rPr>
        <w:t>Royalty Reduction Upon Loss of Patent Coverage</w:t>
      </w:r>
      <w:r>
        <w:rPr>
          <w:rFonts w:ascii="Times New Roman" w:cs="Times New Roman" w:eastAsia="Times New Roman" w:hAnsi="Times New Roman"/>
          <w:sz w:val="18"/>
          <w:szCs w:val="18"/>
          <w:color w:val="auto"/>
        </w:rPr>
        <w:t>. The royalty rate applicable to Net Sales of each Product shall be reduced to [***] when both (a) the sale of such Product is not Covered by at least one Valid Claim within the Licensed Patents; and (b) there is no Regulatory Exclusivity for such Product.</w:t>
      </w:r>
    </w:p>
    <w:p>
      <w:pPr>
        <w:spacing w:after="0" w:line="178" w:lineRule="exact"/>
        <w:rPr>
          <w:sz w:val="20"/>
          <w:szCs w:val="20"/>
          <w:color w:val="auto"/>
        </w:rPr>
      </w:pPr>
    </w:p>
    <w:p>
      <w:pPr>
        <w:jc w:val="both"/>
        <w:ind w:right="80" w:firstLine="973"/>
        <w:spacing w:after="0" w:line="259"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Within [***] following the end of each calendar quarter, Lepu shall submit to CG a written statement reporting Net Sales on a Product-by-Product basis during such calendar quarter, total royalty payments due CG in respect of such Net Sales, and information supporting the calculation of such Net Sales.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60" w:firstLine="1406"/>
        <w:spacing w:after="0" w:line="274" w:lineRule="auto"/>
        <w:rPr>
          <w:sz w:val="20"/>
          <w:szCs w:val="20"/>
          <w:color w:val="auto"/>
        </w:rPr>
      </w:pPr>
      <w:r>
        <w:rPr>
          <w:rFonts w:ascii="Times New Roman" w:cs="Times New Roman" w:eastAsia="Times New Roman" w:hAnsi="Times New Roman"/>
          <w:sz w:val="18"/>
          <w:szCs w:val="18"/>
          <w:color w:val="auto"/>
        </w:rPr>
        <w:t>9.6.1  All sums due to CG shall be payable in United States dollars by bank wire transfer in immediately available funds to such bank account(s) as CG shall designate. Lepu shall pay CG for Personnel Costs within [***] following receipt of CG’s invoice.</w:t>
      </w:r>
    </w:p>
    <w:p>
      <w:pPr>
        <w:spacing w:after="0" w:line="163" w:lineRule="exact"/>
        <w:rPr>
          <w:sz w:val="20"/>
          <w:szCs w:val="20"/>
          <w:color w:val="auto"/>
        </w:rPr>
      </w:pPr>
    </w:p>
    <w:p>
      <w:pPr>
        <w:ind w:firstLine="1406"/>
        <w:spacing w:after="0" w:line="282" w:lineRule="auto"/>
        <w:rPr>
          <w:sz w:val="20"/>
          <w:szCs w:val="20"/>
          <w:color w:val="auto"/>
        </w:rPr>
      </w:pPr>
      <w:r>
        <w:rPr>
          <w:rFonts w:ascii="Times New Roman" w:cs="Times New Roman" w:eastAsia="Times New Roman" w:hAnsi="Times New Roman"/>
          <w:sz w:val="17"/>
          <w:szCs w:val="17"/>
          <w:color w:val="auto"/>
        </w:rPr>
        <w:t>9.6.2  When Products are sold for monies other than United States dollars, the Net Sales of such Products will first be determined in the foreign currency of the country in which such Products were sold and then converted into equivalent United States funds. The exchange rate will be the applicable rate published by the Wall Street Journal on the last Business Day of the calendar quarter in which such royalties accrued.</w:t>
      </w:r>
    </w:p>
    <w:p>
      <w:pPr>
        <w:spacing w:after="0" w:line="159" w:lineRule="exact"/>
        <w:rPr>
          <w:sz w:val="20"/>
          <w:szCs w:val="20"/>
          <w:color w:val="auto"/>
        </w:rPr>
      </w:pPr>
    </w:p>
    <w:p>
      <w:pPr>
        <w:ind w:firstLine="1406"/>
        <w:spacing w:after="0" w:line="259" w:lineRule="auto"/>
        <w:rPr>
          <w:sz w:val="20"/>
          <w:szCs w:val="20"/>
          <w:color w:val="auto"/>
        </w:rPr>
      </w:pPr>
      <w:r>
        <w:rPr>
          <w:rFonts w:ascii="Times New Roman" w:cs="Times New Roman" w:eastAsia="Times New Roman" w:hAnsi="Times New Roman"/>
          <w:sz w:val="18"/>
          <w:szCs w:val="18"/>
          <w:color w:val="auto"/>
        </w:rPr>
        <w:t>9.6.3  Where royalties are due for Net Sales where by reason of currency regulations of any kind it is impossible to make royalty payments for that country’s Net Sales in accordance with Section 9.6.1, said royalties shall be deposited in whatever currency is allowable for the benefit or credit of CG in an account designated by CG in an accredited bank in that country.</w:t>
      </w:r>
    </w:p>
    <w:p>
      <w:pPr>
        <w:spacing w:after="0" w:line="178" w:lineRule="exact"/>
        <w:rPr>
          <w:sz w:val="20"/>
          <w:szCs w:val="20"/>
          <w:color w:val="auto"/>
        </w:rPr>
      </w:pPr>
    </w:p>
    <w:p>
      <w:pPr>
        <w:ind w:right="160" w:firstLine="1406"/>
        <w:spacing w:after="0" w:line="255" w:lineRule="auto"/>
        <w:rPr>
          <w:sz w:val="20"/>
          <w:szCs w:val="20"/>
          <w:color w:val="auto"/>
        </w:rPr>
      </w:pPr>
      <w:r>
        <w:rPr>
          <w:rFonts w:ascii="Times New Roman" w:cs="Times New Roman" w:eastAsia="Times New Roman" w:hAnsi="Times New Roman"/>
          <w:sz w:val="18"/>
          <w:szCs w:val="18"/>
          <w:color w:val="auto"/>
        </w:rPr>
        <w:t>9.6.4  In case of any delay in payment by Lepu to CG, interest on the overdue payment shall accrue at an annual interest rate, compounded monthly, equal to the prime rate as reported in [***], [***], as determined for each month on the last business day of that month plus [***], or if lower, the maximum rate allowed by applicable Laws, assessed from the day payment was initially due. The foregoing interest shall be due from Lepu without any special notice.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Tax Withholding, Financial Records and Audits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80" w:firstLine="1406"/>
        <w:spacing w:after="0" w:line="274" w:lineRule="auto"/>
        <w:rPr>
          <w:sz w:val="20"/>
          <w:szCs w:val="20"/>
          <w:color w:val="auto"/>
        </w:rPr>
      </w:pPr>
      <w:r>
        <w:rPr>
          <w:rFonts w:ascii="Times New Roman" w:cs="Times New Roman" w:eastAsia="Times New Roman" w:hAnsi="Times New Roman"/>
          <w:sz w:val="18"/>
          <w:szCs w:val="18"/>
          <w:color w:val="auto"/>
        </w:rPr>
        <w:t>9.7.1  Each Party shall be responsible for, and shall pay, any taxes imposed on it by applicable Law resulting or arising from the transactions contemplated herein.</w:t>
      </w:r>
    </w:p>
    <w:p>
      <w:pPr>
        <w:spacing w:after="0" w:line="163" w:lineRule="exact"/>
        <w:rPr>
          <w:sz w:val="20"/>
          <w:szCs w:val="20"/>
          <w:color w:val="auto"/>
        </w:rPr>
      </w:pPr>
    </w:p>
    <w:p>
      <w:pPr>
        <w:ind w:right="100" w:firstLine="1406"/>
        <w:spacing w:after="0" w:line="259" w:lineRule="auto"/>
        <w:rPr>
          <w:sz w:val="20"/>
          <w:szCs w:val="20"/>
          <w:color w:val="auto"/>
        </w:rPr>
      </w:pPr>
      <w:r>
        <w:rPr>
          <w:rFonts w:ascii="Times New Roman" w:cs="Times New Roman" w:eastAsia="Times New Roman" w:hAnsi="Times New Roman"/>
          <w:sz w:val="18"/>
          <w:szCs w:val="18"/>
          <w:color w:val="auto"/>
        </w:rPr>
        <w:t>9.7.2  If laws or regulations require Lepu to withhold any taxes from royalty or advance payments made to CG under this Agreement, then such taxes shall be deducted by Lepu as required by law from such remittable royalty, milestone or similar payments and shall be paid by Lepu to the proper tax authorities. Official receipts of payment of any withholding tax</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0"/>
          </w:cols>
          <w:pgMar w:left="540" w:top="267" w:right="559" w:bottom="1440" w:gutter="0" w:footer="0" w:header="0"/>
        </w:sectPr>
      </w:pPr>
    </w:p>
    <w:bookmarkStart w:id="437" w:name="page438"/>
    <w:bookmarkEnd w:id="437"/>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shall be secured and sent to CG as evidence of such payment. All amounts required to be withheld by Lepu and remitted to a taxing authority shall be treated as if they were paid to CG under this Agreement. Notwithstanding the foregoing, any payments by Lepu for Materials provided by CG or pursuant to Sections 5.2, 5.3, 7.2.2 and 13.1.2 shall be net of any withholding and any amounts remitted to a taxing authority in connection therewith shall not be treated as if they were paid to CG. For the avoidance of doubt, the foregoing sentence shall not apply to any other payments under this Agreement (including, without limitation, the Upfront Payment, any royalty payments or any milestone payments) to the extent tax withholding may be required with respect to such amounts.</w:t>
      </w:r>
    </w:p>
    <w:p>
      <w:pPr>
        <w:spacing w:after="0" w:line="18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9.7.3   [Intentionally omitted.]</w:t>
      </w:r>
    </w:p>
    <w:p>
      <w:pPr>
        <w:spacing w:after="0" w:line="217" w:lineRule="exact"/>
        <w:rPr>
          <w:sz w:val="20"/>
          <w:szCs w:val="20"/>
          <w:color w:val="auto"/>
        </w:rPr>
      </w:pPr>
    </w:p>
    <w:p>
      <w:pPr>
        <w:ind w:firstLine="1406"/>
        <w:spacing w:after="0" w:line="265" w:lineRule="auto"/>
        <w:rPr>
          <w:sz w:val="20"/>
          <w:szCs w:val="20"/>
          <w:color w:val="auto"/>
        </w:rPr>
      </w:pPr>
      <w:r>
        <w:rPr>
          <w:rFonts w:ascii="Times New Roman" w:cs="Times New Roman" w:eastAsia="Times New Roman" w:hAnsi="Times New Roman"/>
          <w:sz w:val="17"/>
          <w:szCs w:val="17"/>
          <w:color w:val="auto"/>
        </w:rPr>
        <w:t>9.7.4  CG shall have the right, at its own expense, to nominate an independent certified public accountant acceptable to and approved by Lepu, said approval not to be unreasonably withheld, who shall have access to Lepu’s records during reasonable business hours for the purpose of verifying the amounts payable by Lepu under this Agreement for any period within the preceding [***] period, but this right may not be exercised more than once in any [***] except for re-audits performed by CG following a deficiency of any payment to CG by [***] or more. The accountant shall disclose to CG only information relating solely to the accuracy of the amounts payable by Lepu under this Agreement. If any audit or examination shall reveal a deficiency of any payment due hereunder, Lepu shall make payment to CG of such deficiency plus interest at the prevailing prime rate reported in United States dollars in the money rate section of Wall Street Journal, New York edition on the date of communication to Lepu of such deficiency plus [***] for the period of such deficiency. Payment shall be made within [***] following notification of Lepu by CG of such deficiency. In addition, in the event that such an audit or examination shall reveal a deficiency of any royalty payment due in an amount equaling or exceeding [***] of Lepu’s accounting of the undisputed amounts due hereunder, Lepu shall also reimburse CG for the reasonable costs of such audit.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20" w:firstLine="973"/>
        <w:spacing w:after="0" w:line="249"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confidential or proprietary information, data or know-how, whether provided in written, oral, visual or other form, provided by one Party (the “</w:t>
      </w:r>
      <w:r>
        <w:rPr>
          <w:rFonts w:ascii="Times New Roman" w:cs="Times New Roman" w:eastAsia="Times New Roman" w:hAnsi="Times New Roman"/>
          <w:sz w:val="18"/>
          <w:szCs w:val="18"/>
          <w:b w:val="1"/>
          <w:bCs w:val="1"/>
          <w:i w:val="1"/>
          <w:iCs w:val="1"/>
          <w:color w:val="auto"/>
        </w:rPr>
        <w:t>Disclosing Party</w:t>
      </w:r>
      <w:r>
        <w:rPr>
          <w:rFonts w:ascii="Times New Roman" w:cs="Times New Roman" w:eastAsia="Times New Roman" w:hAnsi="Times New Roman"/>
          <w:sz w:val="18"/>
          <w:szCs w:val="18"/>
          <w:color w:val="auto"/>
        </w:rPr>
        <w:t>”) to the other Party (the “</w:t>
      </w:r>
      <w:r>
        <w:rPr>
          <w:rFonts w:ascii="Times New Roman" w:cs="Times New Roman" w:eastAsia="Times New Roman" w:hAnsi="Times New Roman"/>
          <w:sz w:val="18"/>
          <w:szCs w:val="18"/>
          <w:b w:val="1"/>
          <w:bCs w:val="1"/>
          <w:i w:val="1"/>
          <w:iCs w:val="1"/>
          <w:color w:val="auto"/>
        </w:rPr>
        <w:t>Receiving Party</w:t>
      </w:r>
      <w:r>
        <w:rPr>
          <w:rFonts w:ascii="Times New Roman" w:cs="Times New Roman" w:eastAsia="Times New Roman" w:hAnsi="Times New Roman"/>
          <w:sz w:val="18"/>
          <w:szCs w:val="18"/>
          <w:color w:val="auto"/>
        </w:rPr>
        <w:t>”) in connection with this Agreement, including, but not limited to, the terms of this Agreement and information relating to the Disclosing Party’s existing or proposed research, development efforts, patent applications, business or products, including, but not limited to Licensed Know-How. Confidential Information shall not include any such information that: (a) is already rightfully known to the Receiving Party or its Affiliates (other than under an obligation of confidentiality at least as stringent as required in this Agreement) at the time of disclosure (as evidenced by written records of the Receiving Party); (b) is or becomes generally available to the public other than through any act or omission of the Receiving Party or its Affiliates; (c) is disclosed to the Receiving Party or its Affiliates without an obligation of confidentiality by a Third Party who had no separate nondisclosure obligation in respect of such information; or (d) is independently discovered or developed by or on behalf of the Receiving Party or its Affiliates without the use of or reference to the Confidential Information of the Disclosing Party (as evidenced by written records of the Receiving Party). The Parties agree that with respect to the Licensed IP, CG shall be deemed the Disclosing Party.</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40"/>
          </w:cols>
          <w:pgMar w:left="540" w:top="267" w:right="619" w:bottom="1440" w:gutter="0" w:footer="0" w:header="0"/>
        </w:sectPr>
      </w:pPr>
    </w:p>
    <w:bookmarkStart w:id="438" w:name="page439"/>
    <w:bookmarkEnd w:id="438"/>
    <w:p>
      <w:pPr>
        <w:ind w:firstLine="973"/>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10.2 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The Receiving Party shall keep in confidence all Confidential Information of the Disclosing Party with the same degree of care it employs to maintain the confidentiality of its own Confidential Information, but no less than a reasonable degree of care. The Receiving Party shall not use such Confidential Information for any purpose other than in performance of this Agreement or disclose the same to any other Person other than to such of its Affiliates and Sublicensees and its and their employees, agents and subcontractors who have a need to know such Confidential Information to implement the terms of this Agreement. A Receiving Party shall advise any such Affiliate, employee, agent, and subcontractor who receives Confidential Information of such obligations, and the Receiving Party shall ensure (through enforcement of written agreements or otherwise) that all such Affiliates, employees, agents, and subcontractors comply with such obligations as if they had been a Party hereto. The Receiving Party will be liable for breach of confidentiality by any of its Affiliates or Sublicensees its or their employees, agents, or subcontractors.</w:t>
      </w:r>
    </w:p>
    <w:p>
      <w:pPr>
        <w:spacing w:after="0" w:line="175" w:lineRule="exact"/>
        <w:rPr>
          <w:sz w:val="20"/>
          <w:szCs w:val="20"/>
          <w:color w:val="auto"/>
        </w:rPr>
      </w:pPr>
    </w:p>
    <w:p>
      <w:pPr>
        <w:ind w:firstLine="973"/>
        <w:spacing w:after="0" w:line="24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Permitted Disclosure and Use</w:t>
      </w:r>
      <w:r>
        <w:rPr>
          <w:rFonts w:ascii="Times New Roman" w:cs="Times New Roman" w:eastAsia="Times New Roman" w:hAnsi="Times New Roman"/>
          <w:sz w:val="18"/>
          <w:szCs w:val="18"/>
          <w:color w:val="auto"/>
        </w:rPr>
        <w:t>. The Receiving Party shall have the right to disclose Confidential Information if, (a) in the reasonable opinion of the Receiving Party’s legal counsel, such disclosure is required by any applicable Laws (including, but not limited to, the rules of any stock exchange), provided that the Receiving Party gives adequate prior notice of such disclosure to the Disclosing Party and the Receiving Party seeks confidential treatment of such Confidential Information to the maximum extent permitted by the relevant Governmental Authority; or (b) a court, tribunal, administrative agency or other Governmental Authority orders such disclosure, provided that the Receiving Party gives adequate prior notice of such disclosure to the Disclosing Party to permit the Disclosing Party to intervene and to request protective orders or other confidential treatment. The Receiving Party will cooperate reasonably with any such efforts by the Disclosing Party. Without limiting Section 10.2, each Party may disclose Confidential Information of the other Party to Third Parties under appropriate terms and conditions, including, without limitation, confidentiality provisions substantially equivalent to these in this Agreement only (a) for sublicensing (if approved by CG), consulting, manufacturing permitted under this Agreement, development, external testing and marketing studies with respect to the Products covered by this Agreement or (b) to the extent such disclosure is reasonably necessary in filing or prosecuting patent, copyright and trademark applications, prosecuting or defending litigation, complying with applicable governmental regulations, conducting preclinical or Clinical studies, engaging in regulatory activities for the purpose of obtaining Marketing Authorization Approval, and developing and marketing Products pursuant to this Agreement. The disclosing Party shall be responsible for any breaches of confidentiality by such Third Parties to whom it has disclosed the other Party’s Confidential Information. Furthermore, notwithstanding any other provision of this Agreement, each Party may disclose: (i) the terms of this Agreement as necessary in connection with any proposed financing, merger or similar transaction, subject to confidentiality; or (ii) Confidential Information to the extent necessary to obtain legal or financial advice from its attorneys or accountants. The Parties shall also be permitted to make disclosures consistent with, and pursuant to, Sections 15.1 (Publications) and 14.2 (Public Announcements).</w:t>
      </w:r>
    </w:p>
    <w:p>
      <w:pPr>
        <w:spacing w:after="0" w:line="194" w:lineRule="exact"/>
        <w:rPr>
          <w:sz w:val="20"/>
          <w:szCs w:val="20"/>
          <w:color w:val="auto"/>
        </w:rPr>
      </w:pPr>
    </w:p>
    <w:p>
      <w:pPr>
        <w:ind w:right="240" w:firstLine="973"/>
        <w:spacing w:after="0" w:line="259"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Return</w:t>
      </w:r>
      <w:r>
        <w:rPr>
          <w:rFonts w:ascii="Times New Roman" w:cs="Times New Roman" w:eastAsia="Times New Roman" w:hAnsi="Times New Roman"/>
          <w:sz w:val="18"/>
          <w:szCs w:val="18"/>
          <w:color w:val="auto"/>
        </w:rPr>
        <w:t>. Upon termination of this Agreement, the Receiving Party shall return or destroy all documents or other media containing Confidential Information of the Disclosing Party with the exception of one (1) copy for the sole purpose of monitoring and documenting the confidentiality obligations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00"/>
          </w:cols>
          <w:pgMar w:left="540" w:top="267" w:right="559" w:bottom="1440" w:gutter="0" w:footer="0" w:header="0"/>
        </w:sectPr>
      </w:pPr>
    </w:p>
    <w:bookmarkStart w:id="439" w:name="page440"/>
    <w:bookmarkEnd w:id="439"/>
    <w:p>
      <w:pPr>
        <w:ind w:left="2" w:right="40" w:firstLine="973"/>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Money damages may not be an adequate remedy if this Article 9 is breached and, therefore, either Party may, in addition to any other legal or equitable remedies, seek an injunction or other equitable relief in any court of competent jurisdiction against such breach or threatened breach without the necessity of posting any bond or surety.</w:t>
      </w:r>
    </w:p>
    <w:p>
      <w:pPr>
        <w:spacing w:after="0" w:line="176"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Mutual Representations and Warranties</w:t>
      </w:r>
      <w:r>
        <w:rPr>
          <w:rFonts w:ascii="Times New Roman" w:cs="Times New Roman" w:eastAsia="Times New Roman" w:hAnsi="Times New Roman"/>
          <w:sz w:val="18"/>
          <w:szCs w:val="18"/>
          <w:color w:val="auto"/>
        </w:rPr>
        <w:t>. CG and Lepu each represents and warrants to the other as of the Effective Date:</w:t>
      </w:r>
    </w:p>
    <w:p>
      <w:pPr>
        <w:spacing w:after="0" w:line="217" w:lineRule="exact"/>
        <w:rPr>
          <w:sz w:val="20"/>
          <w:szCs w:val="20"/>
          <w:color w:val="auto"/>
        </w:rPr>
      </w:pPr>
    </w:p>
    <w:p>
      <w:pPr>
        <w:ind w:left="2" w:right="120" w:firstLine="1406"/>
        <w:spacing w:after="0" w:line="259" w:lineRule="auto"/>
        <w:rPr>
          <w:sz w:val="20"/>
          <w:szCs w:val="20"/>
          <w:color w:val="auto"/>
        </w:rPr>
      </w:pPr>
      <w:r>
        <w:rPr>
          <w:rFonts w:ascii="Times New Roman" w:cs="Times New Roman" w:eastAsia="Times New Roman" w:hAnsi="Times New Roman"/>
          <w:sz w:val="18"/>
          <w:szCs w:val="18"/>
          <w:color w:val="auto"/>
        </w:rPr>
        <w:t>11.1.1  Such Party: (a) is a company duly organized, validly existing and in good standing under the Laws of the jurisdiction of its organization; and (b) has the requisite corporate power and authority and the legal right to conduct its business as now conducted and hereafter contemplated to be conducted;</w:t>
      </w:r>
    </w:p>
    <w:p>
      <w:pPr>
        <w:spacing w:after="0" w:line="178"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7"/>
          <w:szCs w:val="17"/>
          <w:color w:val="auto"/>
        </w:rPr>
        <w:t>11.1.2   The execution, delivery and performance of this Agreement by such Party: (a) are within the corporate power of such Party;</w:t>
      </w:r>
    </w:p>
    <w:p>
      <w:pPr>
        <w:spacing w:after="0" w:line="36" w:lineRule="exact"/>
        <w:rPr>
          <w:sz w:val="20"/>
          <w:szCs w:val="20"/>
          <w:color w:val="auto"/>
        </w:rPr>
      </w:pPr>
    </w:p>
    <w:p>
      <w:pPr>
        <w:ind w:left="2" w:hanging="2"/>
        <w:spacing w:after="0" w:line="247" w:lineRule="auto"/>
        <w:tabs>
          <w:tab w:leader="none" w:pos="252"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duly authorized by all necessary or proper corporate action; (c) do not conflict with any provision of the organizational documents of such Party; (d) will not, to the Party’s knowledge, violate any Laws or any order or decree of any court or Governmental Authority applicable to such Party; and (e) will not violate or conflict with any terms of any indenture, mortgage, deed of trust, lease, agreement or other instrument to which such Party is a party, or by which such Party is bound;</w:t>
      </w:r>
    </w:p>
    <w:p>
      <w:pPr>
        <w:spacing w:after="0" w:line="189" w:lineRule="exact"/>
        <w:rPr>
          <w:sz w:val="20"/>
          <w:szCs w:val="20"/>
          <w:color w:val="auto"/>
        </w:rPr>
      </w:pPr>
    </w:p>
    <w:p>
      <w:pPr>
        <w:jc w:val="both"/>
        <w:ind w:left="2" w:right="60" w:firstLine="1406"/>
        <w:spacing w:after="0" w:line="259" w:lineRule="auto"/>
        <w:rPr>
          <w:sz w:val="20"/>
          <w:szCs w:val="20"/>
          <w:color w:val="auto"/>
        </w:rPr>
      </w:pPr>
      <w:r>
        <w:rPr>
          <w:rFonts w:ascii="Times New Roman" w:cs="Times New Roman" w:eastAsia="Times New Roman" w:hAnsi="Times New Roman"/>
          <w:sz w:val="18"/>
          <w:szCs w:val="18"/>
          <w:color w:val="auto"/>
        </w:rPr>
        <w:t>11.1.3  This Agreement has been duly executed and delivered by such Party and constitutes a legal, valid and binding obligation of such Party, enforceable against such Party in accordance with its terms, subject to bankruptcy, insolvency, reorganization, moratorium and other similar Laws of general application relating to or affecting creditors’ rights and to general equity principles;</w:t>
      </w:r>
    </w:p>
    <w:p>
      <w:pPr>
        <w:spacing w:after="0" w:line="178" w:lineRule="exact"/>
        <w:rPr>
          <w:sz w:val="20"/>
          <w:szCs w:val="20"/>
          <w:color w:val="auto"/>
        </w:rPr>
      </w:pPr>
    </w:p>
    <w:p>
      <w:pPr>
        <w:jc w:val="both"/>
        <w:ind w:left="2" w:right="100" w:firstLine="1406"/>
        <w:spacing w:after="0" w:line="282" w:lineRule="auto"/>
        <w:rPr>
          <w:sz w:val="20"/>
          <w:szCs w:val="20"/>
          <w:color w:val="auto"/>
        </w:rPr>
      </w:pPr>
      <w:r>
        <w:rPr>
          <w:rFonts w:ascii="Times New Roman" w:cs="Times New Roman" w:eastAsia="Times New Roman" w:hAnsi="Times New Roman"/>
          <w:sz w:val="17"/>
          <w:szCs w:val="17"/>
          <w:color w:val="auto"/>
        </w:rPr>
        <w:t>11.1.4  No governmental authorization, consent, approval (except Marketing Authorization Approvals), license, registration, filing or exemption therefrom with any court or other Governmental Authority applicable to such Party is or will be necessary for, or in connection with, the performance of the transaction contemplated by this Agreement or any other agreement or instrument executed in connection therewith; and</w:t>
      </w:r>
    </w:p>
    <w:p>
      <w:pPr>
        <w:spacing w:after="0" w:line="159" w:lineRule="exact"/>
        <w:rPr>
          <w:sz w:val="20"/>
          <w:szCs w:val="20"/>
          <w:color w:val="auto"/>
        </w:rPr>
      </w:pPr>
    </w:p>
    <w:p>
      <w:pPr>
        <w:ind w:left="2" w:right="180" w:firstLine="1406"/>
        <w:spacing w:after="0" w:line="259" w:lineRule="auto"/>
        <w:rPr>
          <w:sz w:val="20"/>
          <w:szCs w:val="20"/>
          <w:color w:val="auto"/>
        </w:rPr>
      </w:pPr>
      <w:r>
        <w:rPr>
          <w:rFonts w:ascii="Times New Roman" w:cs="Times New Roman" w:eastAsia="Times New Roman" w:hAnsi="Times New Roman"/>
          <w:sz w:val="18"/>
          <w:szCs w:val="18"/>
          <w:color w:val="auto"/>
        </w:rPr>
        <w:t>11.1.5  Neither such Party nor, to either Party’s knowledge, any of its employees has been debarred by the FDA (or similar action by any other Regulatory Authority), or subject to an FDA debarment investigation or proceeding (or similar investigation or proceeding by any other Regulatory Authority) for any reason.</w:t>
      </w:r>
    </w:p>
    <w:p>
      <w:pPr>
        <w:spacing w:after="0" w:line="178"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CG Representations and Warranties</w:t>
      </w:r>
      <w:r>
        <w:rPr>
          <w:rFonts w:ascii="Times New Roman" w:cs="Times New Roman" w:eastAsia="Times New Roman" w:hAnsi="Times New Roman"/>
          <w:sz w:val="18"/>
          <w:szCs w:val="18"/>
          <w:color w:val="auto"/>
        </w:rPr>
        <w:t>. CG represents and warrants to Lepu as of the Effective Date:</w:t>
      </w:r>
    </w:p>
    <w:p>
      <w:pPr>
        <w:spacing w:after="0" w:line="15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02"/>
          </w:cols>
          <w:pgMar w:left="538" w:top="267" w:right="559" w:bottom="1440" w:gutter="0" w:footer="0" w:header="0"/>
        </w:sectPr>
      </w:pPr>
    </w:p>
    <w:bookmarkStart w:id="440" w:name="page441"/>
    <w:bookmarkEnd w:id="440"/>
    <w:p>
      <w:pPr>
        <w:ind w:left="2" w:right="240" w:firstLine="1406"/>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11.2.1  CG is the sole and exclusive owner of the entire right, title and interest in and to the CG0070 Patents, and is not aware of any dispute or challenge to inventorship or ownership of the CG0070 Patents.</w:t>
      </w:r>
    </w:p>
    <w:p>
      <w:pPr>
        <w:spacing w:after="0" w:line="163"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8"/>
          <w:szCs w:val="18"/>
          <w:color w:val="auto"/>
        </w:rPr>
        <w:t>11.2.2   CG has not granted any licenses under the CG0070 Patents in the Field of Use in the Territory.</w:t>
      </w:r>
    </w:p>
    <w:p>
      <w:pPr>
        <w:spacing w:after="0" w:line="217" w:lineRule="exact"/>
        <w:rPr>
          <w:sz w:val="20"/>
          <w:szCs w:val="20"/>
          <w:color w:val="auto"/>
        </w:rPr>
      </w:pPr>
    </w:p>
    <w:p>
      <w:pPr>
        <w:ind w:left="2" w:right="260" w:firstLine="1406"/>
        <w:spacing w:after="0" w:line="274" w:lineRule="auto"/>
        <w:rPr>
          <w:sz w:val="20"/>
          <w:szCs w:val="20"/>
          <w:color w:val="auto"/>
        </w:rPr>
      </w:pPr>
      <w:r>
        <w:rPr>
          <w:rFonts w:ascii="Times New Roman" w:cs="Times New Roman" w:eastAsia="Times New Roman" w:hAnsi="Times New Roman"/>
          <w:sz w:val="18"/>
          <w:szCs w:val="18"/>
          <w:color w:val="auto"/>
        </w:rPr>
        <w:t>11.2.3  Aside from statements by patent examiners in the course of prosecution of the CG0070 Patents, CG has not received any express written claim that a CG0070 Patent is invalid or unenforceable.</w:t>
      </w:r>
    </w:p>
    <w:p>
      <w:pPr>
        <w:spacing w:after="0" w:line="163" w:lineRule="exact"/>
        <w:rPr>
          <w:sz w:val="20"/>
          <w:szCs w:val="20"/>
          <w:color w:val="auto"/>
        </w:rPr>
      </w:pPr>
    </w:p>
    <w:p>
      <w:pPr>
        <w:ind w:left="2" w:firstLine="1406"/>
        <w:spacing w:after="0" w:line="274" w:lineRule="auto"/>
        <w:rPr>
          <w:sz w:val="20"/>
          <w:szCs w:val="20"/>
          <w:color w:val="auto"/>
        </w:rPr>
      </w:pPr>
      <w:r>
        <w:rPr>
          <w:rFonts w:ascii="Times New Roman" w:cs="Times New Roman" w:eastAsia="Times New Roman" w:hAnsi="Times New Roman"/>
          <w:sz w:val="18"/>
          <w:szCs w:val="18"/>
          <w:color w:val="auto"/>
        </w:rPr>
        <w:t>11.2.4  CG has not received any express written notice of any substantial and continuing infringement by a Third Party of any Valid Claim of a CG0070 Patent in the Field of Use.</w:t>
      </w:r>
    </w:p>
    <w:p>
      <w:pPr>
        <w:spacing w:after="0" w:line="163" w:lineRule="exact"/>
        <w:rPr>
          <w:sz w:val="20"/>
          <w:szCs w:val="20"/>
          <w:color w:val="auto"/>
        </w:rPr>
      </w:pPr>
    </w:p>
    <w:p>
      <w:pPr>
        <w:ind w:left="2" w:right="800" w:firstLine="1406"/>
        <w:spacing w:after="0" w:line="274" w:lineRule="auto"/>
        <w:rPr>
          <w:sz w:val="20"/>
          <w:szCs w:val="20"/>
          <w:color w:val="auto"/>
        </w:rPr>
      </w:pPr>
      <w:r>
        <w:rPr>
          <w:rFonts w:ascii="Times New Roman" w:cs="Times New Roman" w:eastAsia="Times New Roman" w:hAnsi="Times New Roman"/>
          <w:sz w:val="18"/>
          <w:szCs w:val="18"/>
          <w:color w:val="auto"/>
        </w:rPr>
        <w:t>11.2.5  To CG’s actual knowledge (without any search or special investigation) as of the Effective Date, neither CG0070 recombinant adenovirus nor DDM infringe Third Party intellectual property rights in the Territory.</w:t>
      </w:r>
    </w:p>
    <w:p>
      <w:pPr>
        <w:spacing w:after="0" w:line="163" w:lineRule="exact"/>
        <w:rPr>
          <w:sz w:val="20"/>
          <w:szCs w:val="20"/>
          <w:color w:val="auto"/>
        </w:rPr>
      </w:pPr>
    </w:p>
    <w:p>
      <w:pPr>
        <w:ind w:left="2" w:right="280" w:firstLine="973"/>
        <w:spacing w:after="0" w:line="269" w:lineRule="auto"/>
        <w:rPr>
          <w:sz w:val="20"/>
          <w:szCs w:val="20"/>
          <w:color w:val="auto"/>
        </w:rPr>
      </w:pPr>
      <w:r>
        <w:rPr>
          <w:rFonts w:ascii="Times New Roman" w:cs="Times New Roman" w:eastAsia="Times New Roman" w:hAnsi="Times New Roman"/>
          <w:sz w:val="17"/>
          <w:szCs w:val="17"/>
          <w:color w:val="auto"/>
        </w:rPr>
        <w:t xml:space="preserve">11.3  </w:t>
      </w:r>
      <w:r>
        <w:rPr>
          <w:rFonts w:ascii="Times New Roman" w:cs="Times New Roman" w:eastAsia="Times New Roman" w:hAnsi="Times New Roman"/>
          <w:sz w:val="17"/>
          <w:szCs w:val="17"/>
          <w:u w:val="single" w:color="auto"/>
          <w:color w:val="auto"/>
        </w:rPr>
        <w:t>Disclaimer of Warranty</w:t>
      </w:r>
      <w:r>
        <w:rPr>
          <w:rFonts w:ascii="Times New Roman" w:cs="Times New Roman" w:eastAsia="Times New Roman" w:hAnsi="Times New Roman"/>
          <w:sz w:val="17"/>
          <w:szCs w:val="17"/>
          <w:color w:val="auto"/>
        </w:rPr>
        <w:t>. EXCEPT AS OTHERWISE EXPRESSLY SET FORTH IN SECTION 11, NEITHER PARTY MAKES ANY REPRESENTATION OR EXTENDS ANY WARRANTIES OF ANY KIND, EITHER EXPRESS OR IMPLIED, TO THE OTHER PARTY, AND EACH PARTY HEREBY DISCLAIMS ALL IMPLIED WARRANTIES OF MERCHANTABILITY, FITNESS FOR A PARTICULAR PURPOSE AND NON-INFRINGEMENT. EACH PARTY HEREBY DISCLAIMS ANY REPRESENTATION OR WARRANTY THAT THE DEVELOPMENT, MANUFACTURE AND COMMERCIALIZATION OF THE PRODUCTS PURSUANT TO THIS AGREEMENT WILL BE SUCCESSFUL OR THAT ANY PARTICULAR SALES LEVEL WITH RESPECT TO THE PRODUCTS WILL BE ACHIEVED.</w:t>
      </w:r>
    </w:p>
    <w:p>
      <w:pPr>
        <w:spacing w:after="0" w:line="16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2" w:firstLine="973"/>
        <w:spacing w:after="0" w:line="269"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Indemnification by Lepu</w:t>
      </w:r>
      <w:r>
        <w:rPr>
          <w:rFonts w:ascii="Times New Roman" w:cs="Times New Roman" w:eastAsia="Times New Roman" w:hAnsi="Times New Roman"/>
          <w:sz w:val="17"/>
          <w:szCs w:val="17"/>
          <w:color w:val="auto"/>
        </w:rPr>
        <w:t>. Subject to Section 12.3, Lepu shall indemnify and defend CG and its Affiliates and each of their officers, directors, employees, successors and assigns from and against all Claims of Third Parties to the extent arising out of (a) Lepu’s negligence or willful misconduct in performing any of its obligations under this Agreement, (b) breach by Lepu of any of its representations or warranties under this Agreement, or (c) the Development, Commercialization, use, handling, storage, marketing, sale, distribution or other disposition of Products by Lepu, its Affiliates, agents or subcontractors, except to the extent arising from CG’s negligence or willful misconduct or breach of CG’s representations or warranties in Section 11 and except as to infringement of Third Party intellectual property by Lepu based on Lepu’s use of the Licensed IP.</w:t>
      </w:r>
    </w:p>
    <w:p>
      <w:pPr>
        <w:spacing w:after="0" w:line="169" w:lineRule="exact"/>
        <w:rPr>
          <w:sz w:val="20"/>
          <w:szCs w:val="20"/>
          <w:color w:val="auto"/>
        </w:rPr>
      </w:pPr>
    </w:p>
    <w:p>
      <w:pPr>
        <w:ind w:left="2" w:right="200" w:firstLine="973"/>
        <w:spacing w:after="0" w:line="268"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u w:val="single" w:color="auto"/>
          <w:color w:val="auto"/>
        </w:rPr>
        <w:t>Indemnification by CG</w:t>
      </w:r>
      <w:r>
        <w:rPr>
          <w:rFonts w:ascii="Times New Roman" w:cs="Times New Roman" w:eastAsia="Times New Roman" w:hAnsi="Times New Roman"/>
          <w:sz w:val="17"/>
          <w:szCs w:val="17"/>
          <w:color w:val="auto"/>
        </w:rPr>
        <w:t>. Subject to Section 12.3, CG shall indemnify and defend Lepu and its Affiliates and each of their officers, directors, employees, successors and assigns from and against all Claims of Third Parties to the extent arising out of (a) CG’s negligence or willful misconduct in performing any of its obligations under this Agreement; (b) breach by CG of any of its representations or warranties in Section 11; or</w:t>
      </w:r>
    </w:p>
    <w:p>
      <w:pPr>
        <w:spacing w:after="0" w:line="1" w:lineRule="exact"/>
        <w:rPr>
          <w:sz w:val="20"/>
          <w:szCs w:val="20"/>
          <w:color w:val="auto"/>
        </w:rPr>
      </w:pPr>
    </w:p>
    <w:p>
      <w:pPr>
        <w:ind w:left="5322" w:right="3680" w:hanging="5322"/>
        <w:spacing w:after="0" w:line="420" w:lineRule="auto"/>
        <w:tabs>
          <w:tab w:leader="none" w:pos="24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of Third Party intellectual property by Lepu based on Lepu’s use of the Licensed IP. 18</w:t>
      </w:r>
    </w:p>
    <w:p>
      <w:pPr>
        <w:sectPr>
          <w:pgSz w:w="11900" w:h="16838" w:orient="portrait"/>
          <w:cols w:equalWidth="0" w:num="1">
            <w:col w:w="10802"/>
          </w:cols>
          <w:pgMar w:left="538" w:top="267" w:right="559" w:bottom="1440" w:gutter="0" w:footer="0" w:header="0"/>
        </w:sectPr>
      </w:pPr>
    </w:p>
    <w:bookmarkStart w:id="441" w:name="page442"/>
    <w:bookmarkEnd w:id="44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12.3   </w:t>
      </w:r>
      <w:r>
        <w:rPr>
          <w:rFonts w:ascii="Times New Roman" w:cs="Times New Roman" w:eastAsia="Times New Roman" w:hAnsi="Times New Roman"/>
          <w:sz w:val="18"/>
          <w:szCs w:val="18"/>
          <w:u w:val="single" w:color="auto"/>
          <w:color w:val="auto"/>
        </w:rPr>
        <w:t>Procedure for Indemnification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00" w:firstLine="1406"/>
        <w:spacing w:after="0" w:line="256" w:lineRule="auto"/>
        <w:rPr>
          <w:sz w:val="20"/>
          <w:szCs w:val="20"/>
          <w:color w:val="auto"/>
        </w:rPr>
      </w:pPr>
      <w:r>
        <w:rPr>
          <w:rFonts w:ascii="Times New Roman" w:cs="Times New Roman" w:eastAsia="Times New Roman" w:hAnsi="Times New Roman"/>
          <w:sz w:val="18"/>
          <w:szCs w:val="18"/>
          <w:color w:val="auto"/>
        </w:rPr>
        <w:t xml:space="preserve">12.3.1 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Each Party (the “</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will notify promptly the other Party (the “</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in writing if it becomes aware of a Claim (actual or potential) by any Third Party or any proceeding (including, but not limited to, any investigation by a Governmental Authority) for which indemnification may be sought and will give such related information as the Indemnifying Party shall reasonably request.</w:t>
      </w:r>
    </w:p>
    <w:p>
      <w:pPr>
        <w:spacing w:after="0" w:line="181" w:lineRule="exact"/>
        <w:rPr>
          <w:sz w:val="20"/>
          <w:szCs w:val="20"/>
          <w:color w:val="auto"/>
        </w:rPr>
      </w:pPr>
    </w:p>
    <w:p>
      <w:pPr>
        <w:ind w:firstLine="1406"/>
        <w:spacing w:after="0" w:line="248" w:lineRule="auto"/>
        <w:rPr>
          <w:sz w:val="20"/>
          <w:szCs w:val="20"/>
          <w:color w:val="auto"/>
        </w:rPr>
      </w:pPr>
      <w:r>
        <w:rPr>
          <w:rFonts w:ascii="Times New Roman" w:cs="Times New Roman" w:eastAsia="Times New Roman" w:hAnsi="Times New Roman"/>
          <w:sz w:val="18"/>
          <w:szCs w:val="18"/>
          <w:color w:val="auto"/>
        </w:rPr>
        <w:t xml:space="preserve">12.3.2  </w:t>
      </w:r>
      <w:r>
        <w:rPr>
          <w:rFonts w:ascii="Times New Roman" w:cs="Times New Roman" w:eastAsia="Times New Roman" w:hAnsi="Times New Roman"/>
          <w:sz w:val="18"/>
          <w:szCs w:val="18"/>
          <w:u w:val="single" w:color="auto"/>
          <w:color w:val="auto"/>
        </w:rPr>
        <w:t>Defense of Claim</w:t>
      </w:r>
      <w:r>
        <w:rPr>
          <w:rFonts w:ascii="Times New Roman" w:cs="Times New Roman" w:eastAsia="Times New Roman" w:hAnsi="Times New Roman"/>
          <w:sz w:val="18"/>
          <w:szCs w:val="18"/>
          <w:color w:val="auto"/>
        </w:rPr>
        <w:t>. The Indemnifying Party shall have sole control over the defense and/or settlement of any such Claims and shall be responsible for satisfying and discharging any award made to or settlement reached with the Third Party pursuant to the terms of this Agreement; provided that the Indemnified Party may assume control over the defense and settlement of such Claims to the extent the Indemnifying Party fails to assume such control. The Indemnifying Party shall retain counsel to represent the Indemnified Party and shall pay the reasonable fees and expenses of such counsel related to such proceeding. In any such proceeding, the Indemnified Party, at its sole expense, shall have the right to retain its own counsel at its own expense, provided that the Indemnifying Party shall reimburse such reasonable expenses to the extent that a conflict of interest arises between the Indemnified Party and the Indemnifying Party. The Indemnifying Party shall not, without the written consent of the Indemnified Party (which consent shall not be unreasonably withheld, refused, conditioned or delayed), effect any settlement of any such Third Party Claim, unless such settlement (a) provides only for recovery of monetary damages that are paid in full by the Indemnifying Party and (b) includes an unconditional release of the Indemnified Party from all liability on such Claims.</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PROSECUTION; LITIGATION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Prosecution and Maintenance of Patents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0" w:firstLine="1406"/>
        <w:spacing w:after="0" w:line="250" w:lineRule="auto"/>
        <w:rPr>
          <w:sz w:val="20"/>
          <w:szCs w:val="20"/>
          <w:color w:val="auto"/>
        </w:rPr>
      </w:pPr>
      <w:r>
        <w:rPr>
          <w:rFonts w:ascii="Times New Roman" w:cs="Times New Roman" w:eastAsia="Times New Roman" w:hAnsi="Times New Roman"/>
          <w:sz w:val="18"/>
          <w:szCs w:val="18"/>
          <w:color w:val="auto"/>
        </w:rPr>
        <w:t>13.1.1  Subject to Section 13.1.3, CG shall have the sole right (but not the obligation) to prepare, file, prosecute and maintain the Licensed Patents. In connection therewith, CG shall have the authority to select patent counsel, to determine the form and content of such filing, prosecution and maintenance documents and to make all decisions regarding whether to file, prosecute and maintain such Licensed Patents, and in which countries to do so. CG shall provide Lepu with copies of all official correspondence (including, without limitation, applications, office actions and responses) relating to filing, prosecution and/or maintenance of Licensed Patents in the Territory. Lepu may provide comments on such correspondence, and CG will give good faith consideration thereto. In order to facilitate Lepu’s rights to comment, CG shall provide to Lepu copies of all such official correspondence and any proposed responses by CG at least [***] prior to any filing or response deadlines.</w:t>
      </w:r>
    </w:p>
    <w:p>
      <w:pPr>
        <w:spacing w:after="0" w:line="187" w:lineRule="exact"/>
        <w:rPr>
          <w:sz w:val="20"/>
          <w:szCs w:val="20"/>
          <w:color w:val="auto"/>
        </w:rPr>
      </w:pPr>
    </w:p>
    <w:p>
      <w:pPr>
        <w:ind w:right="180" w:firstLine="1406"/>
        <w:spacing w:after="0" w:line="259" w:lineRule="auto"/>
        <w:rPr>
          <w:sz w:val="20"/>
          <w:szCs w:val="20"/>
          <w:color w:val="auto"/>
        </w:rPr>
      </w:pPr>
      <w:r>
        <w:rPr>
          <w:rFonts w:ascii="Times New Roman" w:cs="Times New Roman" w:eastAsia="Times New Roman" w:hAnsi="Times New Roman"/>
          <w:sz w:val="18"/>
          <w:szCs w:val="18"/>
          <w:color w:val="auto"/>
        </w:rPr>
        <w:t>13.1.2  Lepu shall be responsible for [***] of all costs incurred by CG after the Effective Date in connection with the filing, prosecution or maintenance of the Licensed Patents, including, but not limited to, (a) filing fees, (b) attorneys’ fees and other expenses associated with application preparation, prosecution, and maintenance, (c) all costs associated with</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20"/>
          </w:cols>
          <w:pgMar w:left="540" w:top="267" w:right="539" w:bottom="1440" w:gutter="0" w:footer="0" w:header="0"/>
        </w:sectPr>
      </w:pPr>
    </w:p>
    <w:bookmarkStart w:id="442" w:name="page443"/>
    <w:bookmarkEnd w:id="442"/>
    <w:p>
      <w:pPr>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reexamination, oppositions and interference proceedings, (d) maintenance fees and annuities, including, without limitation, any service fees paid to an annuity payment service provider and (e) attorneys’ fees and filing fees associated with protest or appeal proceedings (collectively, “</w:t>
      </w:r>
      <w:r>
        <w:rPr>
          <w:rFonts w:ascii="Times New Roman" w:cs="Times New Roman" w:eastAsia="Times New Roman" w:hAnsi="Times New Roman"/>
          <w:sz w:val="18"/>
          <w:szCs w:val="18"/>
          <w:b w:val="1"/>
          <w:bCs w:val="1"/>
          <w:i w:val="1"/>
          <w:iCs w:val="1"/>
          <w:color w:val="auto"/>
        </w:rPr>
        <w:t>Patent Costs</w:t>
      </w:r>
      <w:r>
        <w:rPr>
          <w:rFonts w:ascii="Times New Roman" w:cs="Times New Roman" w:eastAsia="Times New Roman" w:hAnsi="Times New Roman"/>
          <w:sz w:val="18"/>
          <w:szCs w:val="18"/>
          <w:color w:val="auto"/>
        </w:rPr>
        <w:t>”). Lepu shall pay CG Lepu’s share of Patent Costs within [***] after receipt of an invoice from CG for such amounts that are supported with reasonable documentation for the amounts charged in such invoice.</w:t>
      </w:r>
    </w:p>
    <w:p>
      <w:pPr>
        <w:spacing w:after="0" w:line="180" w:lineRule="exact"/>
        <w:rPr>
          <w:sz w:val="20"/>
          <w:szCs w:val="20"/>
          <w:color w:val="auto"/>
        </w:rPr>
      </w:pPr>
    </w:p>
    <w:p>
      <w:pPr>
        <w:ind w:right="140" w:firstLine="1406"/>
        <w:spacing w:after="0" w:line="250" w:lineRule="auto"/>
        <w:rPr>
          <w:sz w:val="20"/>
          <w:szCs w:val="20"/>
          <w:color w:val="auto"/>
        </w:rPr>
      </w:pPr>
      <w:r>
        <w:rPr>
          <w:rFonts w:ascii="Times New Roman" w:cs="Times New Roman" w:eastAsia="Times New Roman" w:hAnsi="Times New Roman"/>
          <w:sz w:val="18"/>
          <w:szCs w:val="18"/>
          <w:color w:val="auto"/>
        </w:rPr>
        <w:t>13.1.3  CG shall not abandon prosecution or maintenance of any Licensed Patents without notifying Lepu in a timely manner of CG’s intention and reason therefor and providing Lepu with reasonable opportunity to comment upon such abandonment and to assume responsibility for prosecution or maintenance of such Licensed Patents as set forth below. In the event that CG abandons prosecution or maintenance of Licensed Patents in the Territory at any time during the Term, Lepu may assume prosecution responsibility therefor in the name of CG, and the costs associated with such prosecution shall be paid by Lepu at its sole discretion. No such action by Lepu will change the ownership or license provisions with respect to the applicable Licensed Patent unless agreed by the Parties in writing. CG will execute all documents that Lepu may reasonably request for such purposes.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Patent Infringement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0" w:firstLine="1406"/>
        <w:spacing w:after="0" w:line="252" w:lineRule="auto"/>
        <w:rPr>
          <w:sz w:val="20"/>
          <w:szCs w:val="20"/>
          <w:color w:val="auto"/>
        </w:rPr>
      </w:pPr>
      <w:r>
        <w:rPr>
          <w:rFonts w:ascii="Times New Roman" w:cs="Times New Roman" w:eastAsia="Times New Roman" w:hAnsi="Times New Roman"/>
          <w:sz w:val="18"/>
          <w:szCs w:val="18"/>
          <w:color w:val="auto"/>
        </w:rPr>
        <w:t xml:space="preserve">13.2.1  </w:t>
      </w:r>
      <w:r>
        <w:rPr>
          <w:rFonts w:ascii="Times New Roman" w:cs="Times New Roman" w:eastAsia="Times New Roman" w:hAnsi="Times New Roman"/>
          <w:sz w:val="18"/>
          <w:szCs w:val="18"/>
          <w:u w:val="single" w:color="auto"/>
          <w:color w:val="auto"/>
        </w:rPr>
        <w:t>Notice of Infringement</w:t>
      </w:r>
      <w:r>
        <w:rPr>
          <w:rFonts w:ascii="Times New Roman" w:cs="Times New Roman" w:eastAsia="Times New Roman" w:hAnsi="Times New Roman"/>
          <w:sz w:val="18"/>
          <w:szCs w:val="18"/>
          <w:color w:val="auto"/>
        </w:rPr>
        <w:t>. Each Party shall promptly notify the other in writing (a) of any actual or suspected infringement of any Licensed Patents in the Territory (including, without limitation, unauthorized importation into the Territory for sale in the Territory), of which it becomes aware or (b) upon receiving notification that a Licensed Patent is subject to a declaratory judgment action alleging non-infringement, invalidity or unenforceability in the Territory, which notification shall specify in reasonable detail the nature of such actual or suspected infringement or judicial action.</w:t>
      </w:r>
    </w:p>
    <w:p>
      <w:pPr>
        <w:spacing w:after="0" w:line="185" w:lineRule="exact"/>
        <w:rPr>
          <w:sz w:val="20"/>
          <w:szCs w:val="20"/>
          <w:color w:val="auto"/>
        </w:rPr>
      </w:pPr>
    </w:p>
    <w:p>
      <w:pPr>
        <w:ind w:firstLine="1406"/>
        <w:spacing w:after="0" w:line="248" w:lineRule="auto"/>
        <w:rPr>
          <w:sz w:val="20"/>
          <w:szCs w:val="20"/>
          <w:color w:val="auto"/>
        </w:rPr>
      </w:pPr>
      <w:r>
        <w:rPr>
          <w:rFonts w:ascii="Times New Roman" w:cs="Times New Roman" w:eastAsia="Times New Roman" w:hAnsi="Times New Roman"/>
          <w:sz w:val="18"/>
          <w:szCs w:val="18"/>
          <w:color w:val="auto"/>
        </w:rPr>
        <w:t xml:space="preserve">13.2.2  </w:t>
      </w:r>
      <w:r>
        <w:rPr>
          <w:rFonts w:ascii="Times New Roman" w:cs="Times New Roman" w:eastAsia="Times New Roman" w:hAnsi="Times New Roman"/>
          <w:sz w:val="18"/>
          <w:szCs w:val="18"/>
          <w:u w:val="single" w:color="auto"/>
          <w:color w:val="auto"/>
        </w:rPr>
        <w:t>Right to Enforce</w:t>
      </w:r>
      <w:r>
        <w:rPr>
          <w:rFonts w:ascii="Times New Roman" w:cs="Times New Roman" w:eastAsia="Times New Roman" w:hAnsi="Times New Roman"/>
          <w:sz w:val="18"/>
          <w:szCs w:val="18"/>
          <w:color w:val="auto"/>
        </w:rPr>
        <w:t>. Lepu shall have the initial right, using counsel of its choice, to enforce the applicable Licensed Patent(s) in the Territory with respect to infringement in the Field of Use, at its expense, and CG shall give reasonable assistance (excluding financial assistance) to Lepu in such action, at Lepu’s expense. Lepu shall provide CG with an opportunity to make suggestions and comments regarding such enforcement or defense, and Lepu shall consider all such suggestions and comments in good faith. Lepu shall keep CG reasonably informed of the status and progress of the litigation. Prior to initiating any action to enforce or defend any Licensed Patent(s) under this Section 13.2.2, Lepu and CG shall confer to determine a reasonable course of action which fairly balances the interests of both Parties to minimize risks of validity challenges to the applicable Licensed Patent(s), inside and outside the Field of Use, to minimize risks of lost sales of Products due to infringement and to minimize any potential adverse consequences to CG’s other licensees of the Licensed Patent(s). Without limiting the foregoing, if Lepu is authorized hereunder to initiate an action against a Third Party under this Section 13.2.2, but Lepu is not recognized by the applicable court or other relevant body as having the requisite standing to pursue such action, then at Lepu’s request, CG shall join in as party-plaintiff or commence such action in its own name and, in either event, cooperate with Lepu, at Lepu’s expense.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00"/>
          </w:cols>
          <w:pgMar w:left="540" w:top="267" w:right="559" w:bottom="1440" w:gutter="0" w:footer="0" w:header="0"/>
        </w:sectPr>
      </w:pPr>
    </w:p>
    <w:bookmarkStart w:id="443" w:name="page444"/>
    <w:bookmarkEnd w:id="443"/>
    <w:p>
      <w:pPr>
        <w:ind w:firstLine="140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13.2.3  </w:t>
      </w:r>
      <w:r>
        <w:rPr>
          <w:rFonts w:ascii="Times New Roman" w:cs="Times New Roman" w:eastAsia="Times New Roman" w:hAnsi="Times New Roman"/>
          <w:sz w:val="18"/>
          <w:szCs w:val="18"/>
          <w:u w:val="single" w:color="auto"/>
          <w:color w:val="auto"/>
        </w:rPr>
        <w:t>Distribution of Remedies</w:t>
      </w:r>
      <w:r>
        <w:rPr>
          <w:rFonts w:ascii="Times New Roman" w:cs="Times New Roman" w:eastAsia="Times New Roman" w:hAnsi="Times New Roman"/>
          <w:sz w:val="18"/>
          <w:szCs w:val="18"/>
          <w:color w:val="auto"/>
        </w:rPr>
        <w:t>. Any damages, royalties, settlement fees or other consideration for infringement resulting from such suit shall be distributed as follows: (a) first, each Party shall be reimbursed for its reasonable out-of-pocket costs paid in connection with the proceeding; and (b) thereafter, shall be paid [***] and [***]; provided, however, that, if the nature of the infringement by a Third Party of the Licensed Patent(s) extends to any Other Products, and the amounts recovered by the Party prosecuting the infringement includes damages, royalties, fees or other consideration associated with such Other Products, then Lepu shall only be entitled to receive (or, if it is the prosecuting Party, to retain) the pro-rata portion of any such recovery which is associated with the infringement of the Product.</w:t>
      </w:r>
    </w:p>
    <w:p>
      <w:pPr>
        <w:spacing w:after="0" w:line="185" w:lineRule="exact"/>
        <w:rPr>
          <w:sz w:val="20"/>
          <w:szCs w:val="20"/>
          <w:color w:val="auto"/>
        </w:rPr>
      </w:pPr>
    </w:p>
    <w:p>
      <w:pPr>
        <w:ind w:firstLine="1406"/>
        <w:spacing w:after="0" w:line="249" w:lineRule="auto"/>
        <w:rPr>
          <w:sz w:val="20"/>
          <w:szCs w:val="20"/>
          <w:color w:val="auto"/>
        </w:rPr>
      </w:pPr>
      <w:r>
        <w:rPr>
          <w:rFonts w:ascii="Times New Roman" w:cs="Times New Roman" w:eastAsia="Times New Roman" w:hAnsi="Times New Roman"/>
          <w:sz w:val="18"/>
          <w:szCs w:val="18"/>
          <w:color w:val="auto"/>
        </w:rPr>
        <w:t xml:space="preserve">13.2.4 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In no case may Lepu enter into any settlement or consent judgment or other voluntary final disposition with respect to any infringement action referenced in this Section that: (a) extends, or purports to exercise, Lepu’s rights under the Licensed IP beyond the rights granted pursuant to this Agreement; (b) makes any admission regarding wrongdoing by CG or the invalidity, unenforceability or absence of infringement of any Licensed Patents; (c) subjects CG to an injunction or other equitable relief; or (d) obligates CG to make a monetary payment; in all cases without the prior written consent of CG, which consent will not be unreasonably withheld or delayed. Similarly, in no case may CG enter into any settlement or consent judgment or other voluntary final disposition with respect to any infringement action referenced in this Section that: (i) limits Lepu’s rights under the Licensed IP or under this Agreement other than as expressly stated herein; (ii) subjects Lepu to an injunction or other equitable relief; or (iii) obligates Lepu to make a monetary payment; in all cases without the prior written consent of Lepu, which consent shall not be unreasonably withheld or delayed.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TERM AND TERMINATION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100" w:firstLine="973"/>
        <w:spacing w:after="0" w:line="274"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commence on the Effective Date and shall remain in effect until the termination of this Agreement as provided in this Article 14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180" w:firstLine="973"/>
        <w:spacing w:after="0" w:line="282" w:lineRule="auto"/>
        <w:rPr>
          <w:sz w:val="20"/>
          <w:szCs w:val="20"/>
          <w:color w:val="auto"/>
        </w:rPr>
      </w:pPr>
      <w:r>
        <w:rPr>
          <w:rFonts w:ascii="Times New Roman" w:cs="Times New Roman" w:eastAsia="Times New Roman" w:hAnsi="Times New Roman"/>
          <w:sz w:val="17"/>
          <w:szCs w:val="17"/>
          <w:color w:val="auto"/>
        </w:rPr>
        <w:t xml:space="preserve">14.2  </w:t>
      </w:r>
      <w:r>
        <w:rPr>
          <w:rFonts w:ascii="Times New Roman" w:cs="Times New Roman" w:eastAsia="Times New Roman" w:hAnsi="Times New Roman"/>
          <w:sz w:val="17"/>
          <w:szCs w:val="17"/>
          <w:u w:val="single" w:color="auto"/>
          <w:color w:val="auto"/>
        </w:rPr>
        <w:t>Termination of this Agreement by Lepu for Convenience</w:t>
      </w:r>
      <w:r>
        <w:rPr>
          <w:rFonts w:ascii="Times New Roman" w:cs="Times New Roman" w:eastAsia="Times New Roman" w:hAnsi="Times New Roman"/>
          <w:sz w:val="17"/>
          <w:szCs w:val="17"/>
          <w:color w:val="auto"/>
        </w:rPr>
        <w:t>. Lepu may terminate this Agreement on a Product-by-Product basis for any reason upon [***] prior written notice to CG. For clarity, Lepu is not licensed to use any Confidential Information (and Section 10 restricts Lepu from using Confidential Information) to manufacture, Develop or Commercialize any Product for which Lepu terminates this Agreement.</w:t>
      </w:r>
    </w:p>
    <w:p>
      <w:pPr>
        <w:spacing w:after="0" w:line="159" w:lineRule="exact"/>
        <w:rPr>
          <w:sz w:val="20"/>
          <w:szCs w:val="20"/>
          <w:color w:val="auto"/>
        </w:rPr>
      </w:pPr>
    </w:p>
    <w:p>
      <w:pPr>
        <w:ind w:firstLine="973"/>
        <w:spacing w:after="0" w:line="249"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Termination for Breach</w:t>
      </w:r>
      <w:r>
        <w:rPr>
          <w:rFonts w:ascii="Times New Roman" w:cs="Times New Roman" w:eastAsia="Times New Roman" w:hAnsi="Times New Roman"/>
          <w:sz w:val="18"/>
          <w:szCs w:val="18"/>
          <w:color w:val="auto"/>
        </w:rPr>
        <w:t>. The failure by a Party to comply with any of the material obligations contained in this Agreement shall entitle the other Party to give notice to have the default cured. If such default is not cured within (a) [***] after the receipt of such notice for all defaults other than payment or (b) [***] after the receipt of such notice for defaults on payment, the notifying Party shall be entitled, without prejudice to any of its other rights conferred on it by this Agreement, and in addition to any other remedies that may be available to it, to terminate this Agreement; provided, however, to the extent a Party disputes the grounds for termination hereunder in good faith, this Agreement may not be terminated until a determination has been made by an arbitrator pursuant to Section 15.5 that grounds for such termination exist hereunder. The proviso in the foregoing sentence shall not apply to any failure to pay the amount set forth in Section 9.1. In addition, CG shall have the right to terminate this Agreement in its entirety, immediately upon the issuance of written notice to Lepu, if at any time Lepu or any of its Affiliates</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20"/>
          </w:cols>
          <w:pgMar w:left="540" w:top="267" w:right="639" w:bottom="1440" w:gutter="0" w:footer="0" w:header="0"/>
        </w:sectPr>
      </w:pPr>
    </w:p>
    <w:bookmarkStart w:id="444" w:name="page445"/>
    <w:bookmarkEnd w:id="444"/>
    <w:p>
      <w:pPr>
        <w:ind w:right="1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or Sublicensees challenges, or causes to be challenged, in any way, the validity, enforceability or scope of the Licensed Patents in any court or before any Governmental Authority with authority to determine the validity, enforceability or scope of such Licensed Patents, or cause or request, without the prior written approval of CG, a review by any such court or Governmental Authority of the same.</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Effects of Termination</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40" w:firstLine="1406"/>
        <w:spacing w:after="0" w:line="249" w:lineRule="auto"/>
        <w:rPr>
          <w:sz w:val="20"/>
          <w:szCs w:val="20"/>
          <w:color w:val="auto"/>
        </w:rPr>
      </w:pPr>
      <w:r>
        <w:rPr>
          <w:rFonts w:ascii="Times New Roman" w:cs="Times New Roman" w:eastAsia="Times New Roman" w:hAnsi="Times New Roman"/>
          <w:sz w:val="18"/>
          <w:szCs w:val="18"/>
          <w:color w:val="auto"/>
        </w:rPr>
        <w:t>14.5.1  On a Product-by-Product basis, in the event of termination of this Agreement, (a) all rights and licenses on a Product-by-Product basis granted to Lepu herein shall terminate and revert to CG on termination, if any; (b) in the event that Lepu has any on-going Clinical studies with respect to the applicable Product as of the effective date of termination, Lepu agrees, at CG’s request, to either promptly transition such Clinical studies to CG or continue to conduct and complete such Clinical studies, at CG’s expense; (c) Lepu shall, at its own expense, promptly provide CG with all data and results pertaining, on a Product-by-Product basis, to the applicable Products; (d) Lepu will, at its own expense, promptly assign or transfer, or cause to be assigned and transferred to CG (or if not so assignable, Lepu shall take all reasonable actions to make available to CG the benefits of), all Regulatory Filings, Manufacturing Documentation and Marketing Authorization Approvals concerning the applicable Products; and (e) all rights granted by Lepu to CG under this Agreement will survive.</w:t>
      </w:r>
    </w:p>
    <w:p>
      <w:pPr>
        <w:spacing w:after="0" w:line="190" w:lineRule="exact"/>
        <w:rPr>
          <w:sz w:val="20"/>
          <w:szCs w:val="20"/>
          <w:color w:val="auto"/>
        </w:rPr>
      </w:pPr>
    </w:p>
    <w:p>
      <w:pPr>
        <w:ind w:right="140" w:firstLine="1406"/>
        <w:spacing w:after="0" w:line="255" w:lineRule="auto"/>
        <w:rPr>
          <w:sz w:val="20"/>
          <w:szCs w:val="20"/>
          <w:color w:val="auto"/>
        </w:rPr>
      </w:pPr>
      <w:r>
        <w:rPr>
          <w:rFonts w:ascii="Times New Roman" w:cs="Times New Roman" w:eastAsia="Times New Roman" w:hAnsi="Times New Roman"/>
          <w:sz w:val="18"/>
          <w:szCs w:val="18"/>
          <w:color w:val="auto"/>
        </w:rPr>
        <w:t>14.5.2  Except as otherwise provided herein, upon termination of this Agreement, all remaining records and materials in a Party’s possession or control containing the other Party’s Confidential Information and to which the former Party does not retain rights hereunder, shall promptly be returned or destroyed at the request of the disclosing Party. Notwithstanding the foregoing, one copy of such records may be retained by legal counsel for the former Party solely for archival purposes.</w:t>
      </w:r>
    </w:p>
    <w:p>
      <w:pPr>
        <w:spacing w:after="0" w:line="180" w:lineRule="exact"/>
        <w:rPr>
          <w:sz w:val="20"/>
          <w:szCs w:val="20"/>
          <w:color w:val="auto"/>
        </w:rPr>
      </w:pPr>
    </w:p>
    <w:p>
      <w:pPr>
        <w:ind w:right="300" w:firstLine="973"/>
        <w:spacing w:after="0" w:line="255"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Survival of Obligations</w:t>
      </w:r>
      <w:r>
        <w:rPr>
          <w:rFonts w:ascii="Times New Roman" w:cs="Times New Roman" w:eastAsia="Times New Roman" w:hAnsi="Times New Roman"/>
          <w:sz w:val="18"/>
          <w:szCs w:val="18"/>
          <w:color w:val="auto"/>
        </w:rPr>
        <w:t>. The termination or expiration of this Agreement shall not relieve the Parties of any liability (including, without limitation, any payment obligations) accruing prior to such termination, and any such termination shall be without prejudice to the rights of either Party against the other. The provisions of Sections 3.3, 8.3.1, 9.6, 9.7, 10, 12, 14 and 15 shall survive any termination or expiration of this Agreement.</w:t>
      </w:r>
    </w:p>
    <w:p>
      <w:pPr>
        <w:spacing w:after="0" w:line="180" w:lineRule="exact"/>
        <w:rPr>
          <w:sz w:val="20"/>
          <w:szCs w:val="20"/>
          <w:color w:val="auto"/>
        </w:rPr>
      </w:pPr>
    </w:p>
    <w:p>
      <w:pPr>
        <w:ind w:right="600" w:firstLine="973"/>
        <w:spacing w:after="0" w:line="274"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Termination Not Sole Remedy</w:t>
      </w:r>
      <w:r>
        <w:rPr>
          <w:rFonts w:ascii="Times New Roman" w:cs="Times New Roman" w:eastAsia="Times New Roman" w:hAnsi="Times New Roman"/>
          <w:sz w:val="18"/>
          <w:szCs w:val="18"/>
          <w:color w:val="auto"/>
        </w:rPr>
        <w:t>. Termination is not the sole remedy under this Agreement and, whether or not termination is effected, all other remedies will remain available except as expressly agreed to otherwise herein.</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firstLine="973"/>
        <w:spacing w:after="0" w:line="255"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Publications</w:t>
      </w:r>
      <w:r>
        <w:rPr>
          <w:rFonts w:ascii="Times New Roman" w:cs="Times New Roman" w:eastAsia="Times New Roman" w:hAnsi="Times New Roman"/>
          <w:sz w:val="18"/>
          <w:szCs w:val="18"/>
          <w:color w:val="auto"/>
        </w:rPr>
        <w:t>. Lepu will notify CG of any planned abstracts, oral presentations and manuscripts relating to the publication of clinical data and other scientific data generated in the course of Development of the relevant Product by Lepu. The Parties shall discuss whether a planned submission might contain information which compromises the patentability or confidentiality of the Licensed IP. Lepu shall provide a draft of the planned submission or presentation at least [***] prior to publication or presentation (as the case may be) to allow for the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60"/>
          </w:cols>
          <w:pgMar w:left="540" w:top="267" w:right="599" w:bottom="1440" w:gutter="0" w:footer="0" w:header="0"/>
        </w:sectPr>
      </w:pPr>
    </w:p>
    <w:bookmarkStart w:id="445" w:name="page446"/>
    <w:bookmarkEnd w:id="445"/>
    <w:p>
      <w:pPr>
        <w:ind w:right="10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filing of patent applications and shall take such measures as necessary to preserve proprietary rights in and the confidentiality of the information in the material being submitted for publication or presentation (including, but not limited to, withholding such publication). The review period may be extended for an additional [***] if CG can demonstrate a reasonable need for such extension, including, but not limited to, the preparation and filing of patent applications. By mutual agreement of the Parties, this period may be further extended. The Parties will each comply with standard academic practice regarding authorship of scientific publications and recognition of contribution of other parties in any such publications or presentations.</w:t>
      </w:r>
    </w:p>
    <w:p>
      <w:pPr>
        <w:spacing w:after="0" w:line="168" w:lineRule="exact"/>
        <w:rPr>
          <w:sz w:val="20"/>
          <w:szCs w:val="20"/>
          <w:color w:val="auto"/>
        </w:rPr>
      </w:pPr>
    </w:p>
    <w:p>
      <w:pPr>
        <w:ind w:right="40" w:firstLine="973"/>
        <w:spacing w:after="0" w:line="255"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Except as may be expressly permitted under this Section 15.2 or mandated by applicable Laws or the rules of any stock exchange, neither Party will make any public announcement of any information regarding this Agreement without the prior written consent of the other Party. Once any statement is approved for disclosure by the Parties, either Party may make a subsequent public disclosure containing the same information disclosed in such prior public announcement without further approval of the other Party.</w:t>
      </w:r>
    </w:p>
    <w:p>
      <w:pPr>
        <w:spacing w:after="0" w:line="180" w:lineRule="exact"/>
        <w:rPr>
          <w:sz w:val="20"/>
          <w:szCs w:val="20"/>
          <w:color w:val="auto"/>
        </w:rPr>
      </w:pPr>
    </w:p>
    <w:p>
      <w:pPr>
        <w:ind w:right="360" w:firstLine="973"/>
        <w:spacing w:after="0" w:line="274"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This Agreement is not a partnership agreement and nothing in this Agreement shall be construed to establish a relationship of partners or joint venturers between the Parties.</w:t>
      </w:r>
    </w:p>
    <w:p>
      <w:pPr>
        <w:spacing w:after="0" w:line="163" w:lineRule="exact"/>
        <w:rPr>
          <w:sz w:val="20"/>
          <w:szCs w:val="20"/>
          <w:color w:val="auto"/>
        </w:rPr>
      </w:pPr>
    </w:p>
    <w:p>
      <w:pPr>
        <w:ind w:firstLine="973"/>
        <w:spacing w:after="0" w:line="248"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The occurrence of an event which materially interferes with the ability of a Party to perform its obligations or duties hereunder which is not within the reasonable control of the Party affected, and which could not with the exercise of Commercially Reasonable Efforts have been avoided (“</w:t>
      </w:r>
      <w:r>
        <w:rPr>
          <w:rFonts w:ascii="Times New Roman" w:cs="Times New Roman" w:eastAsia="Times New Roman" w:hAnsi="Times New Roman"/>
          <w:sz w:val="18"/>
          <w:szCs w:val="18"/>
          <w:b w:val="1"/>
          <w:bCs w:val="1"/>
          <w:i w:val="1"/>
          <w:iCs w:val="1"/>
          <w:color w:val="auto"/>
        </w:rPr>
        <w:t>Force Majeure Event</w:t>
      </w:r>
      <w:r>
        <w:rPr>
          <w:rFonts w:ascii="Times New Roman" w:cs="Times New Roman" w:eastAsia="Times New Roman" w:hAnsi="Times New Roman"/>
          <w:sz w:val="18"/>
          <w:szCs w:val="18"/>
          <w:color w:val="auto"/>
        </w:rPr>
        <w:t>”), including, but not limited to, war, rebellion, earthquake, fire, accident, strike, riot, civil commotion, act of God, inability to obtain raw materials, delay or errors by shipping companies or change in Law, shall not excuse such Party from the performance of its obligations or duties under this Agreement, but shall merely suspend such performance (other than performance of payment obligations) during the Force Majeure Event. The Party subject to a Force Majeure Event shall promptly notify the other Party of the occurrence and particulars of such Force Majeure Event and shall provide the other Party, from time to time, with its best estimate of the duration of such Force Majeure Event and with notice of the termination thereof. The Party so affected shall use Commercially Reasonable Efforts to avoid or remove such causes of non-performance as soon as is reasonably practicable. Upon termination of the Force Majeure Event, the performance of any suspended obligation or duty shall without delay recommence. The Party subject to the Force Majeure Event shall not be liable to the other Party for any damages arising out of or relating to the suspension or termination of any of its obligations or duties under this Agreement by reason of the occurrence of a Force Majeure Event, provided such Party complies in all material respects with its obligations under this Section 15.4.</w:t>
      </w:r>
    </w:p>
    <w:p>
      <w:pPr>
        <w:spacing w:after="0" w:line="189" w:lineRule="exact"/>
        <w:rPr>
          <w:sz w:val="20"/>
          <w:szCs w:val="20"/>
          <w:color w:val="auto"/>
        </w:rPr>
      </w:pPr>
    </w:p>
    <w:p>
      <w:pPr>
        <w:ind w:firstLine="973"/>
        <w:spacing w:after="0" w:line="251"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prevailing Party may enforce any arbitration decision or award, and either Party may seek injunctive, equitable or similar relief (without the requirement of arbitration), in any court having competent jurisdiction. Any and all disputes arising out of or in connection with this Agreement, including its interpretation, shall be finally settled in the English language and under the Rules of Arbitration of the International Chamber of Commerce (“</w:t>
      </w:r>
      <w:r>
        <w:rPr>
          <w:rFonts w:ascii="Times New Roman" w:cs="Times New Roman" w:eastAsia="Times New Roman" w:hAnsi="Times New Roman"/>
          <w:sz w:val="18"/>
          <w:szCs w:val="18"/>
          <w:b w:val="1"/>
          <w:bCs w:val="1"/>
          <w:i w:val="1"/>
          <w:iCs w:val="1"/>
          <w:color w:val="auto"/>
        </w:rPr>
        <w:t>ICC</w:t>
      </w:r>
      <w:r>
        <w:rPr>
          <w:rFonts w:ascii="Times New Roman" w:cs="Times New Roman" w:eastAsia="Times New Roman" w:hAnsi="Times New Roman"/>
          <w:sz w:val="18"/>
          <w:szCs w:val="18"/>
          <w:color w:val="auto"/>
        </w:rPr>
        <w:t>”), in effect at the time of filing a notice of arbitration. The arbitration is to take place in the City and State of New York and is to be decided by a tribunal comprised of three arbitrators. Each Party shall select an arbitrator, to be confirmed by the ICC according to its Rules,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80"/>
          </w:cols>
          <w:pgMar w:left="540" w:top="267" w:right="579" w:bottom="1440" w:gutter="0" w:footer="0" w:header="0"/>
        </w:sectPr>
      </w:pPr>
    </w:p>
    <w:bookmarkStart w:id="446" w:name="page447"/>
    <w:bookmarkEnd w:id="446"/>
    <w:p>
      <w:pPr>
        <w:ind w:right="2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and the two arbitrators shall then agree on a third arbitrator who shall be the president of the tribunal; the president shall also be subject to confirmation by the ICC in accordance with its Rules. A final decision by the majority of the tribunal shall be final and non-appealable. After the filing of the notice of arbitration, the ICC and/or the tribunal designated for this dispute, shall decide all matters pertaining to this Agreement. The issue of “arbitrability” of any and all disputes between the Parties, shall be decided solely by the ICC and/or the tribunal designated for this dispute. Notwithstanding any of the foregoing, any Party may seek injunctive, equitable or similar relief (without the requirement of arbitration), in any court having competent jurisdiction.</w:t>
      </w:r>
    </w:p>
    <w:p>
      <w:pPr>
        <w:spacing w:after="0" w:line="168" w:lineRule="exact"/>
        <w:rPr>
          <w:sz w:val="20"/>
          <w:szCs w:val="20"/>
          <w:color w:val="auto"/>
        </w:rPr>
      </w:pPr>
    </w:p>
    <w:p>
      <w:pPr>
        <w:ind w:firstLine="973"/>
        <w:spacing w:after="0" w:line="255"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the respective rights of the Parties determined, according to the substantive law of the State of New York without regard to the provisions governing conflict of laws, except matters of intellectual property law, which shall be determined in accordance with the intellectual property laws relevant to the intellectual property in question. The United Nations Convention on the International Sale of Goods shall not apply to this Agreement.</w:t>
      </w:r>
    </w:p>
    <w:p>
      <w:pPr>
        <w:spacing w:after="0" w:line="180" w:lineRule="exact"/>
        <w:rPr>
          <w:sz w:val="20"/>
          <w:szCs w:val="20"/>
          <w:color w:val="auto"/>
        </w:rPr>
      </w:pPr>
    </w:p>
    <w:p>
      <w:pPr>
        <w:ind w:right="260" w:firstLine="973"/>
        <w:spacing w:after="0" w:line="274"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Attorneys’ Fees and Related Costs</w:t>
      </w:r>
      <w:r>
        <w:rPr>
          <w:rFonts w:ascii="Times New Roman" w:cs="Times New Roman" w:eastAsia="Times New Roman" w:hAnsi="Times New Roman"/>
          <w:sz w:val="18"/>
          <w:szCs w:val="18"/>
          <w:color w:val="auto"/>
        </w:rPr>
        <w:t>. If there should occur any legal proceeding related to this Agreement, then the non-prevailing Party shall pay all reasonable costs and fees (including reasonable attorneys’ fees and expenses) of the prevailing Party.</w:t>
      </w:r>
    </w:p>
    <w:p>
      <w:pPr>
        <w:spacing w:after="0" w:line="163" w:lineRule="exact"/>
        <w:rPr>
          <w:sz w:val="20"/>
          <w:szCs w:val="20"/>
          <w:color w:val="auto"/>
        </w:rPr>
      </w:pPr>
    </w:p>
    <w:p>
      <w:pPr>
        <w:ind w:right="40" w:firstLine="973"/>
        <w:spacing w:after="0" w:line="249"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may not be assigned by either Party, in whole or in part, whether voluntarily or by operation of law, without the prior written consent of the other Party; provided that, without prior written consent, either Party may assign this Agreement, in whole or in part, to (a) any of its Affiliates if such Party guarantees the performance of this Agreement by such Affiliate, or (b) to a successor to all or substantially all of the assets of such Party to which this Agreement relates; provided that prior to or contemporaneously with a transaction under sub-section (b), any such successor of CG delivers to Lepu an instrument by which such successor assumes CG’s obligations under this Agreement. For the avoidance of doubt, a Change in Control, by itself, is not an assignment of this Agreement subject to this Section, and the Parties hereby agree that this Agreement shall continue in full force and effect in accordance with its terms following any Change in Control. Any assignment in violation of this provision is void and without effect. This Agreement shall be binding upon and inure to the benefit of the Parties hereto, their permitted successors, legal representatives and assigns.</w:t>
      </w:r>
    </w:p>
    <w:p>
      <w:pPr>
        <w:spacing w:after="0" w:line="187" w:lineRule="exact"/>
        <w:rPr>
          <w:sz w:val="20"/>
          <w:szCs w:val="20"/>
          <w:color w:val="auto"/>
        </w:rPr>
      </w:pPr>
    </w:p>
    <w:p>
      <w:pPr>
        <w:ind w:right="80" w:firstLine="973"/>
        <w:spacing w:after="0" w:line="259"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demands, notices, consents, approvals, reports, requests and other communications hereunder must be in writing, in English, and will be deemed to have been duly given only if delivered personally, by mail (first class, postage prepaid), or by overnight delivery using a globally-recognized carrier, to the Parties at the following addresses:</w:t>
      </w:r>
    </w:p>
    <w:p>
      <w:pPr>
        <w:sectPr>
          <w:pgSz w:w="11900" w:h="16838" w:orient="portrait"/>
          <w:cols w:equalWidth="0" w:num="1">
            <w:col w:w="10800"/>
          </w:cols>
          <w:pgMar w:left="540" w:top="267" w:right="559" w:bottom="1440" w:gutter="0" w:footer="0" w:header="0"/>
        </w:sectPr>
      </w:pP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CG</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Lepu</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5160" w:space="720"/>
            <w:col w:w="4920"/>
          </w:cols>
          <w:pgMar w:left="540" w:top="267" w:right="559" w:bottom="1440" w:gutter="0" w:footer="0" w:header="0"/>
          <w:type w:val="continuous"/>
        </w:sectPr>
      </w:pP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Cold Genesys, Inc.</w:t>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6 Hutton Centre Drive, Suite 1220</w:t>
      </w:r>
    </w:p>
    <w:p>
      <w:pPr>
        <w:spacing w:after="0" w:line="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Santa Ana, CA 92707</w:t>
      </w:r>
    </w:p>
    <w:p>
      <w:pPr>
        <w:spacing w:after="0" w:line="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Attn: Arthur Kuan, CEO</w:t>
      </w:r>
    </w:p>
    <w:p>
      <w:pPr>
        <w:spacing w:after="0" w:line="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Lepu Biotech Co.,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1-C280, No. 1628 Suzhao Road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Minhang, Shanghai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CEO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131" w:lineRule="exact"/>
        <w:rPr>
          <w:sz w:val="20"/>
          <w:szCs w:val="20"/>
          <w:color w:val="auto"/>
        </w:rPr>
      </w:pPr>
    </w:p>
    <w:p>
      <w:pPr>
        <w:sectPr>
          <w:pgSz w:w="11900" w:h="16838" w:orient="portrait"/>
          <w:cols w:equalWidth="0" w:num="2">
            <w:col w:w="5160" w:space="720"/>
            <w:col w:w="4920"/>
          </w:cols>
          <w:pgMar w:left="540" w:top="267" w:right="5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00"/>
          </w:cols>
          <w:pgMar w:left="540" w:top="267" w:right="559" w:bottom="1440" w:gutter="0" w:footer="0" w:header="0"/>
          <w:type w:val="continuous"/>
        </w:sectPr>
      </w:pPr>
    </w:p>
    <w:bookmarkStart w:id="447" w:name="page448"/>
    <w:bookmarkEnd w:id="447"/>
    <w:p>
      <w:pPr>
        <w:ind w:left="540"/>
        <w:spacing w:after="0"/>
        <w:rPr>
          <w:sz w:val="20"/>
          <w:szCs w:val="20"/>
          <w:color w:val="auto"/>
        </w:rPr>
      </w:pPr>
      <w:r>
        <w:rPr>
          <w:rFonts w:ascii="Times New Roman" w:cs="Times New Roman" w:eastAsia="Times New Roman" w:hAnsi="Times New Roman"/>
          <w:sz w:val="17"/>
          <w:szCs w:val="17"/>
          <w:color w:val="auto"/>
        </w:rPr>
        <w:t>Gunderson Dettmer Stough, Villeneuve,</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Franklin and Hachigian, LLP</w:t>
      </w:r>
    </w:p>
    <w:p>
      <w:pPr>
        <w:spacing w:after="0" w:line="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3570 Carmel Mountain Rd Suite 200</w:t>
      </w:r>
    </w:p>
    <w:p>
      <w:pPr>
        <w:spacing w:after="0" w:line="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Attn: Brendan C. McCarthy, Esq.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Akerman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-211455</wp:posOffset>
            </wp:positionV>
            <wp:extent cx="7176770"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350 East Las Olas Blvd., Suite 1600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 33301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Mary V. Carroll, Esq.</w:t>
      </w:r>
    </w:p>
    <w:p>
      <w:pPr>
        <w:spacing w:after="0" w:line="410" w:lineRule="exact"/>
        <w:rPr>
          <w:sz w:val="20"/>
          <w:szCs w:val="20"/>
          <w:color w:val="auto"/>
        </w:rPr>
      </w:pPr>
    </w:p>
    <w:p>
      <w:pPr>
        <w:sectPr>
          <w:pgSz w:w="11900" w:h="16838" w:orient="portrait"/>
          <w:cols w:equalWidth="0" w:num="2">
            <w:col w:w="5160" w:space="720"/>
            <w:col w:w="4920"/>
          </w:cols>
          <w:pgMar w:left="540" w:top="267" w:right="559" w:bottom="1440" w:gutter="0" w:footer="0" w:header="0"/>
        </w:sect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or to such other address as the addressee shall have last furnished in writing in accord with this provision. All notices shall be deemed effective upon receipt by the addressee.</w:t>
      </w:r>
    </w:p>
    <w:p>
      <w:pPr>
        <w:spacing w:after="0" w:line="163" w:lineRule="exact"/>
        <w:rPr>
          <w:sz w:val="20"/>
          <w:szCs w:val="20"/>
          <w:color w:val="auto"/>
        </w:rPr>
      </w:pPr>
    </w:p>
    <w:p>
      <w:pPr>
        <w:ind w:right="200" w:firstLine="973"/>
        <w:spacing w:after="0" w:line="304" w:lineRule="auto"/>
        <w:rPr>
          <w:sz w:val="20"/>
          <w:szCs w:val="20"/>
          <w:color w:val="auto"/>
        </w:rPr>
      </w:pPr>
      <w:r>
        <w:rPr>
          <w:rFonts w:ascii="Times New Roman" w:cs="Times New Roman" w:eastAsia="Times New Roman" w:hAnsi="Times New Roman"/>
          <w:sz w:val="17"/>
          <w:szCs w:val="17"/>
          <w:color w:val="auto"/>
        </w:rPr>
        <w:t xml:space="preserve">15.10 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is held to be invalid, illegal or unenforceable in any respect, that provision shall be limited or eliminated to the minimum extent necessary so that this Agreement shall otherwise remain in full force and effect and enforceable.</w:t>
      </w:r>
    </w:p>
    <w:p>
      <w:pPr>
        <w:spacing w:after="0" w:line="141" w:lineRule="exact"/>
        <w:rPr>
          <w:sz w:val="20"/>
          <w:szCs w:val="20"/>
          <w:color w:val="auto"/>
        </w:rPr>
      </w:pPr>
    </w:p>
    <w:p>
      <w:pPr>
        <w:ind w:firstLine="973"/>
        <w:spacing w:after="0" w:line="274"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Agreement have been inserted for convenience of reference only and do not define or limit the provisions hereof.</w:t>
      </w:r>
    </w:p>
    <w:p>
      <w:pPr>
        <w:spacing w:after="0" w:line="163" w:lineRule="exact"/>
        <w:rPr>
          <w:sz w:val="20"/>
          <w:szCs w:val="20"/>
          <w:color w:val="auto"/>
        </w:rPr>
      </w:pPr>
    </w:p>
    <w:p>
      <w:pPr>
        <w:ind w:firstLine="973"/>
        <w:spacing w:after="0" w:line="252"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or condition of this Agreement shall be effective unless set forth in a written instrument duly executed by or on behalf of the waiving Party. No waiver by any Party of any term or condition of this Agreement, in any one or more instances, shall be deemed to be or construed as a waiver of the same or any other term or condition of this Agreement on any prior, concurrent or future occasion. Except as expressly set forth in this Agreement, all rights and remedies available to a Party, whether under this Agreement or afforded by Law or otherwise, will be cumulative and not in the alternative to any other rights or remedies that may be available to such Party.</w:t>
      </w:r>
    </w:p>
    <w:p>
      <w:pPr>
        <w:spacing w:after="0" w:line="185" w:lineRule="exact"/>
        <w:rPr>
          <w:sz w:val="20"/>
          <w:szCs w:val="20"/>
          <w:color w:val="auto"/>
        </w:rPr>
      </w:pPr>
    </w:p>
    <w:p>
      <w:pPr>
        <w:ind w:right="40" w:firstLine="973"/>
        <w:spacing w:after="0" w:line="255"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but not limited to, the exhibits and schedules hereto) constitutes the entire agreement between the Parties hereto with respect to the subject matter hereof and supersedes all previous agreements and understandings between the Parties, whether written or oral, including, but not limited, to all proposals, negotiations, conversations, letters of intent, memoranda of understanding or discussions, between Parties relating to the subject matter of this Agreement and all past dealing or industry custom.</w:t>
      </w:r>
    </w:p>
    <w:p>
      <w:pPr>
        <w:spacing w:after="0" w:line="180" w:lineRule="exact"/>
        <w:rPr>
          <w:sz w:val="20"/>
          <w:szCs w:val="20"/>
          <w:color w:val="auto"/>
        </w:rPr>
      </w:pPr>
    </w:p>
    <w:p>
      <w:pPr>
        <w:ind w:right="40" w:firstLine="973"/>
        <w:spacing w:after="0" w:line="274"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This Agreement may be altered, amended or changed only by a writing making specific reference to this Agreement and the clause to be modified, which amendment is signed by duly authorized representatives of CG and Lepu.</w:t>
      </w:r>
    </w:p>
    <w:p>
      <w:pPr>
        <w:spacing w:after="0" w:line="163" w:lineRule="exact"/>
        <w:rPr>
          <w:sz w:val="20"/>
          <w:szCs w:val="20"/>
          <w:color w:val="auto"/>
        </w:rPr>
      </w:pPr>
    </w:p>
    <w:p>
      <w:pPr>
        <w:ind w:right="360" w:firstLine="973"/>
        <w:spacing w:after="0" w:line="274"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None of the provisions of this Agreement shall be for the benefit of or enforceable by any Third Party, including, but not limited to, any creditor of either Party hereto.</w:t>
      </w:r>
    </w:p>
    <w:p>
      <w:pPr>
        <w:spacing w:after="0" w:line="163" w:lineRule="exact"/>
        <w:rPr>
          <w:sz w:val="20"/>
          <w:szCs w:val="20"/>
          <w:color w:val="auto"/>
        </w:rPr>
      </w:pPr>
    </w:p>
    <w:p>
      <w:pPr>
        <w:ind w:right="280" w:firstLine="973"/>
        <w:spacing w:after="0" w:line="274"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u w:val="single" w:color="auto"/>
          <w:color w:val="auto"/>
        </w:rPr>
        <w:t>Ambiguities</w:t>
      </w:r>
      <w:r>
        <w:rPr>
          <w:rFonts w:ascii="Times New Roman" w:cs="Times New Roman" w:eastAsia="Times New Roman" w:hAnsi="Times New Roman"/>
          <w:sz w:val="18"/>
          <w:szCs w:val="18"/>
          <w:color w:val="auto"/>
        </w:rPr>
        <w:t>. This Agreement shall be deemed to have been drafted jointly by both Parties; and ambiguities, if any, shall not be construed against either Party, irrespective of which Party may have actually drafted the ambiguous provision.</w:t>
      </w:r>
    </w:p>
    <w:p>
      <w:pPr>
        <w:spacing w:after="0" w:line="163" w:lineRule="exact"/>
        <w:rPr>
          <w:sz w:val="20"/>
          <w:szCs w:val="20"/>
          <w:color w:val="auto"/>
        </w:rPr>
      </w:pPr>
    </w:p>
    <w:p>
      <w:pPr>
        <w:ind w:right="140" w:firstLine="973"/>
        <w:spacing w:after="0" w:line="274" w:lineRule="auto"/>
        <w:rPr>
          <w:sz w:val="20"/>
          <w:szCs w:val="20"/>
          <w:color w:val="auto"/>
        </w:rPr>
      </w:pPr>
      <w:r>
        <w:rPr>
          <w:rFonts w:ascii="Times New Roman" w:cs="Times New Roman" w:eastAsia="Times New Roman" w:hAnsi="Times New Roman"/>
          <w:sz w:val="18"/>
          <w:szCs w:val="18"/>
          <w:color w:val="auto"/>
        </w:rPr>
        <w:t xml:space="preserve">15.17 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when executed, shall be deemed to be an original and all of which together shall constitute one and the same document.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00"/>
          </w:cols>
          <w:pgMar w:left="540" w:top="267" w:right="559" w:bottom="1440" w:gutter="0" w:footer="0" w:header="0"/>
          <w:type w:val="continuous"/>
        </w:sectPr>
      </w:pPr>
    </w:p>
    <w:bookmarkStart w:id="448" w:name="page449"/>
    <w:bookmarkEnd w:id="44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[Signature Page Follows]</w:t>
      </w:r>
    </w:p>
    <w:p>
      <w:pPr>
        <w:sectPr>
          <w:pgSz w:w="11900" w:h="16838" w:orient="portrait"/>
          <w:cols w:equalWidth="0" w:num="1">
            <w:col w:w="9019"/>
          </w:cols>
          <w:pgMar w:left="1440" w:top="265"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019"/>
          </w:cols>
          <w:pgMar w:left="1440" w:top="265" w:right="1440" w:bottom="1440" w:gutter="0" w:footer="0" w:header="0"/>
          <w:type w:val="continuous"/>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CG and Lepu, by their duly authorized officers, have executed this Agreement as of the Effective Date.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COLD GENESYS, INC.</w:t>
            </w:r>
          </w:p>
        </w:tc>
        <w:tc>
          <w:tcPr>
            <w:tcW w:w="574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LEPU BIOTECH CO., LTD.</w:t>
            </w:r>
          </w:p>
        </w:tc>
      </w:tr>
      <w:tr>
        <w:trPr>
          <w:trHeight w:val="4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Kuan</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Zhongjie Pu</w:t>
            </w:r>
          </w:p>
        </w:tc>
      </w:tr>
      <w:tr>
        <w:trPr>
          <w:trHeight w:val="43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Arthur Kuan</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Zhongjie Pu</w:t>
            </w:r>
          </w:p>
        </w:tc>
      </w:tr>
      <w:tr>
        <w:trPr>
          <w:trHeight w:val="43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CEO</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24"/>
                <w:szCs w:val="24"/>
                <w:color w:val="auto"/>
              </w:rPr>
            </w:pPr>
          </w:p>
        </w:tc>
        <w:tc>
          <w:tcPr>
            <w:tcW w:w="4420" w:type="dxa"/>
            <w:vAlign w:val="bottom"/>
            <w:tcBorders>
              <w:top w:val="single" w:sz="8" w:color="auto"/>
              <w:bottom w:val="single" w:sz="8" w:color="auto"/>
            </w:tcBorders>
          </w:tcPr>
          <w:p>
            <w:pPr>
              <w:spacing w:after="0"/>
              <w:rPr>
                <w:sz w:val="24"/>
                <w:szCs w:val="24"/>
                <w:color w:val="auto"/>
              </w:rPr>
            </w:pPr>
          </w:p>
        </w:tc>
      </w:tr>
      <w:tr>
        <w:trPr>
          <w:trHeight w:val="365"/>
        </w:trPr>
        <w:tc>
          <w:tcPr>
            <w:tcW w:w="6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4420" w:type="dxa"/>
            <w:vAlign w:val="bottom"/>
          </w:tcPr>
          <w:p>
            <w:pPr>
              <w:spacing w:after="0"/>
              <w:rPr>
                <w:sz w:val="24"/>
                <w:szCs w:val="24"/>
                <w:color w:val="auto"/>
              </w:rPr>
            </w:pPr>
          </w:p>
        </w:tc>
      </w:tr>
    </w:tbl>
    <w:p>
      <w:pPr>
        <w:sectPr>
          <w:pgSz w:w="11900" w:h="16838" w:orient="portrait"/>
          <w:cols w:equalWidth="0" w:num="1">
            <w:col w:w="10800"/>
          </w:cols>
          <w:pgMar w:left="540" w:top="267" w:right="559" w:bottom="1440" w:gutter="0" w:footer="0" w:header="0"/>
        </w:sectPr>
      </w:pPr>
    </w:p>
    <w:bookmarkStart w:id="450" w:name="page451"/>
    <w:bookmarkEnd w:id="45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1</w:t>
      </w:r>
    </w:p>
    <w:p>
      <w:pPr>
        <w:sectPr>
          <w:pgSz w:w="11900" w:h="16838" w:orient="portrait"/>
          <w:cols w:equalWidth="0" w:num="1">
            <w:col w:w="9019"/>
          </w:cols>
          <w:pgMar w:left="1440" w:top="265" w:right="1440" w:bottom="1440" w:gutter="0" w:footer="0" w:header="0"/>
        </w:sectPr>
      </w:pPr>
    </w:p>
    <w:p>
      <w:pPr>
        <w:spacing w:after="0" w:line="2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E-2-1</w:t>
      </w:r>
    </w:p>
    <w:p>
      <w:pPr>
        <w:sectPr>
          <w:pgSz w:w="11900" w:h="16838" w:orient="portrait"/>
          <w:cols w:equalWidth="0" w:num="1">
            <w:col w:w="9019"/>
          </w:cols>
          <w:pgMar w:left="1440" w:top="265" w:right="1440" w:bottom="1440" w:gutter="0" w:footer="0" w:header="0"/>
          <w:type w:val="continuous"/>
        </w:sectPr>
      </w:pPr>
    </w:p>
    <w:bookmarkStart w:id="451" w:name="page452"/>
    <w:bookmarkEnd w:id="451"/>
    <w:p>
      <w:pPr>
        <w:ind w:left="990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CERTAIN CONFIDENTIAL INFORMATION CONTAINED IN THIS DOCUMENT, MARKED BY [***], HAS BEEN OMITTED BECAUSE CG ONCOLOGY, INC. HAS DETERMINED THE INFORMATION (I) IS NOT MATERIAL AND (II) WOULD LIKELY CAUSE COMPETITIVE HARM TO CG ONCOLOGY, INC.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KISSEI PHARMACEUTICAL CO., LTD.</w:t>
      </w:r>
    </w:p>
    <w:p>
      <w:pPr>
        <w:sectPr>
          <w:pgSz w:w="11900" w:h="16838" w:orient="portrait"/>
          <w:cols w:equalWidth="0" w:num="1">
            <w:col w:w="10820"/>
          </w:cols>
          <w:pgMar w:left="540" w:top="119" w:right="539" w:bottom="1440" w:gutter="0" w:footer="0" w:header="0"/>
        </w:sectPr>
      </w:pPr>
    </w:p>
    <w:bookmarkStart w:id="452" w:name="page453"/>
    <w:bookmarkEnd w:id="452"/>
    <w:tbl>
      <w:tblPr>
        <w:tblLayout w:type="fixed"/>
        <w:tblInd w:w="0" w:type="dxa"/>
        <w:tblCellMar>
          <w:top w:w="0" w:type="dxa"/>
          <w:left w:w="0" w:type="dxa"/>
          <w:bottom w:w="0" w:type="dxa"/>
          <w:right w:w="0" w:type="dxa"/>
        </w:tblCellMar>
      </w:tblPr>
      <w:tr>
        <w:trPr>
          <w:trHeight w:val="233"/>
        </w:trPr>
        <w:tc>
          <w:tcPr>
            <w:tcW w:w="880" w:type="dxa"/>
            <w:vAlign w:val="bottom"/>
          </w:tcPr>
          <w:p>
            <w:pPr>
              <w:spacing w:after="0"/>
              <w:rPr>
                <w:sz w:val="20"/>
                <w:szCs w:val="20"/>
                <w:color w:val="auto"/>
              </w:rPr>
            </w:pPr>
          </w:p>
        </w:tc>
        <w:tc>
          <w:tcPr>
            <w:tcW w:w="958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0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5"/>
        </w:trPr>
        <w:tc>
          <w:tcPr>
            <w:tcW w:w="104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Standard”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“Affiliate”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Laws”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“Applicable Law”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1.5</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“Biosimilar”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1.6</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“Biosimilar Application”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1.7</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Day”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1.8</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 Collaboration IP”</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1.9</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 Collaboration Know-How”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1.10</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 Collaboration Patents”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1.11</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 IP”</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1.12</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 Know-How”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1.13</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 Patents”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1.14</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 Territory”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1.15</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 Territory Activities”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1.16</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 Trademark”</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1.17</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of Control”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1.18</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“Clinical Trial”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1.19</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“CMC” or “Chemistry Manufacturing and Controls”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1.20</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“CMO” or “Contract Manufacturing Organization”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1.21</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“Collaboration Compound”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1.22</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“Collaboration IP”</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1.23</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“Collaboration Know-How”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1.24</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“Collaboration Patents”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1.25</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“Commercially Reasonable Efforts”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1.26</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“Companion Diagnostic”</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1.27</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“Competing Product”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1.28</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“Compulsory Competing Product”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1.29</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“Compulsory Sublicense”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1.30</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1.31</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 or “Controlled by”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1.32</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1.33</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“CRO” or “Contract Research Organization”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1.34</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Program”</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1.35</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“Encumbrance”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1.36</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In-License”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1.37</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“Export Control Laws”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1.38</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“FDA”</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1.39</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“Field”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1.40</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 Commercial Sale”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1.41</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1"/>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1.42</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“GMP”</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760"/>
          </w:cols>
          <w:pgMar w:left="540" w:top="265" w:right="599" w:bottom="1440" w:gutter="0" w:footer="0" w:header="0"/>
        </w:sectPr>
      </w:pPr>
    </w:p>
    <w:bookmarkStart w:id="453" w:name="page454"/>
    <w:bookmarkEnd w:id="453"/>
    <w:tbl>
      <w:tblPr>
        <w:tblLayout w:type="fixed"/>
        <w:tblInd w:w="0" w:type="dxa"/>
        <w:tblCellMar>
          <w:top w:w="0" w:type="dxa"/>
          <w:left w:w="0" w:type="dxa"/>
          <w:bottom w:w="0" w:type="dxa"/>
          <w:right w:w="0" w:type="dxa"/>
        </w:tblCellMar>
      </w:tblP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1.43</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1.44</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“Indication”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1.45</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“Initial Indication”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1.46</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“Inventor”</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1.47</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“Joint Collaboration IP”</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1.48</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“Joint Collaboration Know-How”</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1.49</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“Joint Collaboration Patents”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1.50</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“Kissei Collaboration IP”</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1.51</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“Kissei Collaboration Know-How”</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1.52</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“Kissei Collaboration Patents”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1.53</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“Kissei IP”</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1.54</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“Kissei Know-How”</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1.55</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“Kissei Patents”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1.56</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“Know-How”</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1.57</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“Lepu Territory”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1.58</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“Licensed Intellectual Property”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1.59</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“Marketing Approval”</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1.60</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“Marketing Approval Application”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1.61</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“MHLW”</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1.62</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1.63</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Indication”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1.64</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“P3 Trial”</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1.65</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“Patent(s)”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1.66</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“Peer Pharmaceutical Company”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1.67</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1.68</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“Pharmacology Study(s)”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1.69</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“Phase I Clinical Trial”</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1.70</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“Phase II Clinical Trial”</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1.71</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“Phase III Clinical Trial”</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1.72</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“PHSA”</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1.73</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“PMDA”</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1.74</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“Pre-Approved Subcontractor”</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1.75</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1.76</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“Prosecution and Maintenance” or “Prosecute and Maintain”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1.77</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 Official or Entity”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1.78</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Authority”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1.79</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Materials”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1.80</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“Residuals”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1.81</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“Series D Preferred Stock”</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1.82</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“Territory”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1.83</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 Party”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1.84</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36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1.85</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“Valid Claim”</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1"/>
        </w:trPr>
        <w:tc>
          <w:tcPr>
            <w:tcW w:w="36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1.86</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99"/>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2 DEVELOPMENT PROGRAM</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1"/>
        </w:trPr>
        <w:tc>
          <w:tcPr>
            <w:tcW w:w="36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7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760"/>
          </w:cols>
          <w:pgMar w:left="540" w:top="265" w:right="599" w:bottom="1440" w:gutter="0" w:footer="0" w:header="0"/>
        </w:sectPr>
      </w:pPr>
    </w:p>
    <w:bookmarkStart w:id="454" w:name="page455"/>
    <w:bookmarkEnd w:id="454"/>
    <w:tbl>
      <w:tblPr>
        <w:tblLayout w:type="fixed"/>
        <w:tblInd w:w="0" w:type="dxa"/>
        <w:tblCellMar>
          <w:top w:w="0" w:type="dxa"/>
          <w:left w:w="0" w:type="dxa"/>
          <w:bottom w:w="0" w:type="dxa"/>
          <w:right w:w="0" w:type="dxa"/>
        </w:tblCellMar>
      </w:tblPr>
      <w:tr>
        <w:trPr>
          <w:trHeight w:val="21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Activities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Subcontractors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Development Term</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Reports; Records; and Inspections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Development Efforts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Development Costs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Cooperation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Dispatch</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99"/>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ARTICLE</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GOVERNANCE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 Development Committee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 Patent Working Group</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 Manufacturing Working Group</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Working Groups; Other Committees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Meetings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JDC Decision-Making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Limits on Authority; Dissolution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Alliance Managers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of Control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99"/>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ARTICLE</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LICENSES AND RIGHTS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 Grants to Kissei</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 Grants to CG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Exclusivity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Other Rights, Retained Rights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Interpretation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9"/>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ARTICLE</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MANUFACTURING AND SUPPLY; REGULATORY MATTERS; DELIVERABLES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Manufacturing and Supply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Matters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Deliverables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9"/>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ARTICLE</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 DILIGENCE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Development and Commercialization of Products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Progress Reports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9"/>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ARTICLE</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 FINANCIAL TERMS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Initial License Fees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Investment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Development and Commercial Milestone Payments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Royalty Payments for Products by Kissei</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Royalty Payments for Products by CG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9"/>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ARTICLE</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 PAYMENT TERMS; REPORTS; AUDITS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Timing of Royalty Payment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Royalty Report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760"/>
          </w:cols>
          <w:pgMar w:left="540" w:top="265" w:right="599" w:bottom="1440" w:gutter="0" w:footer="0" w:header="0"/>
        </w:sectPr>
      </w:pPr>
    </w:p>
    <w:bookmarkStart w:id="455" w:name="page456"/>
    <w:bookmarkEnd w:id="455"/>
    <w:tbl>
      <w:tblPr>
        <w:tblLayout w:type="fixed"/>
        <w:tblInd w:w="0" w:type="dxa"/>
        <w:tblCellMar>
          <w:top w:w="0" w:type="dxa"/>
          <w:left w:w="0" w:type="dxa"/>
          <w:bottom w:w="0" w:type="dxa"/>
          <w:right w:w="0" w:type="dxa"/>
        </w:tblCellMar>
      </w:tblP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Mode of Payment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8.4</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Currency of Payments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8.5</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Blocked Currency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8.6</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Late Payment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8.7</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8.8</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Records; Inspection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1"/>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8.9</w:t>
            </w:r>
          </w:p>
        </w:tc>
        <w:tc>
          <w:tcPr>
            <w:tcW w:w="120" w:type="dxa"/>
            <w:vAlign w:val="bottom"/>
          </w:tcPr>
          <w:p>
            <w:pPr>
              <w:spacing w:after="0"/>
              <w:rPr>
                <w:sz w:val="20"/>
                <w:szCs w:val="20"/>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9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7"/>
              </w:rPr>
              <w:t>ARTICLE</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 INTELLECTUAL PROPERTY; OWNERSHIP</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9.1</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9.2</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Kissei</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9.3</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Inventorship; CREATE Act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9.4</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Ownership; Collaboration IP; Rights of Joint Owners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9.5</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of Joint Owners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9.6</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Patent Filing, Prosecution, Maintenance and Strategy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9.7</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Enforcement and Defense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9.8</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 Party Infringement Claims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2"/>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9.9</w:t>
            </w:r>
          </w:p>
        </w:tc>
        <w:tc>
          <w:tcPr>
            <w:tcW w:w="120" w:type="dxa"/>
            <w:vAlign w:val="bottom"/>
          </w:tcPr>
          <w:p>
            <w:pPr>
              <w:spacing w:after="0"/>
              <w:rPr>
                <w:sz w:val="18"/>
                <w:szCs w:val="18"/>
                <w:color w:val="auto"/>
              </w:rPr>
            </w:pP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Patent Extensions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9.10</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Patent Listings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9.11</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Interest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9.12</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Trademarks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1"/>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9.13</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 Party Technologies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9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7"/>
              </w:rPr>
              <w:t>ARTICLE</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CONFIDENTIALITY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10.1</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Non-use and Non-disclosure of Confidential Information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10.2</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Exclusions Regarding Confidential Information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10.3</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Uses and Disclosures of Confidential Information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10.4</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Terms of this Agreement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10.5</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Prior Agreements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1"/>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10.6</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License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9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7"/>
              </w:rPr>
              <w:t>ARTICLE</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 PUBLICITY; PUBLICATIONS; USE OF NAME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11.1</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Initial Press Release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11.2</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Releases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1"/>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11.3</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Right to Use Names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9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7"/>
              </w:rPr>
              <w:t>ARTICLE</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 REPRESENTATIONS AND WARRANTIES; DISCLAIMERS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12.1</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Representations and Warranties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12.2</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12.3</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 Covenants and Additional Representations and Warranties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1"/>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12.4</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Disclaimers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9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7"/>
              </w:rPr>
              <w:t>ARTICLE</w:t>
            </w: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 INDEMNIFICATION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13.1</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13.2</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2"/>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13.3</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1"/>
        </w:trPr>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13.4</w:t>
            </w:r>
          </w:p>
        </w:tc>
        <w:tc>
          <w:tcPr>
            <w:tcW w:w="7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 of Damages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760"/>
          </w:cols>
          <w:pgMar w:left="540" w:top="265" w:right="599" w:bottom="1440" w:gutter="0" w:footer="0" w:header="0"/>
        </w:sectPr>
      </w:pPr>
    </w:p>
    <w:bookmarkStart w:id="456" w:name="page457"/>
    <w:bookmarkEnd w:id="456"/>
    <w:tbl>
      <w:tblPr>
        <w:tblLayout w:type="fixed"/>
        <w:tblInd w:w="0" w:type="dxa"/>
        <w:tblCellMar>
          <w:top w:w="0" w:type="dxa"/>
          <w:left w:w="0" w:type="dxa"/>
          <w:bottom w:w="0" w:type="dxa"/>
          <w:right w:w="0" w:type="dxa"/>
        </w:tblCellMar>
      </w:tblPr>
      <w:tr>
        <w:trPr>
          <w:trHeight w:val="210"/>
        </w:trPr>
        <w:tc>
          <w:tcPr>
            <w:tcW w:w="7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ARTICLE 14 TERM; TERMINATION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14.1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3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14.2</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Termination by Either Party for Material Breach</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14.3</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Termination by Either Party for Insolvency or Bankruptcy</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14.4</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Termination for Patent Challenge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14.5</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Termination at Will</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14.6</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Termination for Catastrophic Breach</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1"/>
        </w:trPr>
        <w:tc>
          <w:tcPr>
            <w:tcW w:w="360" w:type="dxa"/>
            <w:vAlign w:val="bottom"/>
          </w:tcPr>
          <w:p>
            <w:pPr>
              <w:spacing w:after="0"/>
              <w:rPr>
                <w:sz w:val="20"/>
                <w:szCs w:val="20"/>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14.7</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Effects of Termination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99"/>
        </w:trPr>
        <w:tc>
          <w:tcPr>
            <w:tcW w:w="7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ARTICLE 15 DISPUTE RESOLUTION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15.1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Disputes</w:t>
            </w:r>
          </w:p>
        </w:tc>
        <w:tc>
          <w:tcPr>
            <w:tcW w:w="594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15.2</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Arbitration</w:t>
            </w:r>
          </w:p>
        </w:tc>
        <w:tc>
          <w:tcPr>
            <w:tcW w:w="594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15.3</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Subject Matter Exclusions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1"/>
        </w:trPr>
        <w:tc>
          <w:tcPr>
            <w:tcW w:w="360" w:type="dxa"/>
            <w:vAlign w:val="bottom"/>
          </w:tcPr>
          <w:p>
            <w:pPr>
              <w:spacing w:after="0"/>
              <w:rPr>
                <w:sz w:val="20"/>
                <w:szCs w:val="20"/>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15.4</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Continued Performance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99"/>
        </w:trPr>
        <w:tc>
          <w:tcPr>
            <w:tcW w:w="7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ARTICLE 16 MISCELLANEOUS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16.1</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Applicable Law</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16.2</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16.3</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Assignment</w:t>
            </w:r>
          </w:p>
        </w:tc>
        <w:tc>
          <w:tcPr>
            <w:tcW w:w="594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16.4</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Independent Contractors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16.5</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Integration</w:t>
            </w:r>
          </w:p>
        </w:tc>
        <w:tc>
          <w:tcPr>
            <w:tcW w:w="594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16.6</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Amendment; Waiver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16.7</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Further Assurance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16.8</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Severability</w:t>
            </w:r>
          </w:p>
        </w:tc>
        <w:tc>
          <w:tcPr>
            <w:tcW w:w="594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16.9</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 Third Party Rights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16.10</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16.11</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Original Text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3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16.12</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Interpretation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1"/>
        </w:trPr>
        <w:tc>
          <w:tcPr>
            <w:tcW w:w="360" w:type="dxa"/>
            <w:vAlign w:val="bottom"/>
          </w:tcPr>
          <w:p>
            <w:pPr>
              <w:spacing w:after="0"/>
              <w:rPr>
                <w:sz w:val="20"/>
                <w:szCs w:val="20"/>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16.13</w:t>
            </w: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50"/>
        </w:trPr>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Schedules</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93"/>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Schedule 1.13</w:t>
            </w:r>
          </w:p>
        </w:tc>
        <w:tc>
          <w:tcPr>
            <w:tcW w:w="6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CG Patents</w:t>
            </w:r>
          </w:p>
        </w:tc>
        <w:tc>
          <w:tcPr>
            <w:tcW w:w="2900" w:type="dxa"/>
            <w:vAlign w:val="bottom"/>
          </w:tcPr>
          <w:p>
            <w:pPr>
              <w:spacing w:after="0"/>
              <w:rPr>
                <w:sz w:val="24"/>
                <w:szCs w:val="24"/>
                <w:color w:val="auto"/>
              </w:rPr>
            </w:pPr>
          </w:p>
        </w:tc>
      </w:tr>
      <w:tr>
        <w:trPr>
          <w:trHeight w:val="21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Schedule 1.35</w:t>
            </w:r>
          </w:p>
        </w:tc>
        <w:tc>
          <w:tcPr>
            <w:tcW w:w="6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Encumbrance Exceptions</w:t>
            </w:r>
          </w:p>
        </w:tc>
        <w:tc>
          <w:tcPr>
            <w:tcW w:w="2900" w:type="dxa"/>
            <w:vAlign w:val="bottom"/>
          </w:tcPr>
          <w:p>
            <w:pPr>
              <w:spacing w:after="0"/>
              <w:rPr>
                <w:sz w:val="18"/>
                <w:szCs w:val="18"/>
                <w:color w:val="auto"/>
              </w:rPr>
            </w:pPr>
          </w:p>
        </w:tc>
      </w:tr>
      <w:tr>
        <w:trPr>
          <w:trHeight w:val="21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Schedule 1.36</w:t>
            </w:r>
          </w:p>
        </w:tc>
        <w:tc>
          <w:tcPr>
            <w:tcW w:w="6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In-License</w:t>
            </w:r>
          </w:p>
        </w:tc>
        <w:tc>
          <w:tcPr>
            <w:tcW w:w="2900" w:type="dxa"/>
            <w:vAlign w:val="bottom"/>
          </w:tcPr>
          <w:p>
            <w:pPr>
              <w:spacing w:after="0"/>
              <w:rPr>
                <w:sz w:val="18"/>
                <w:szCs w:val="18"/>
                <w:color w:val="auto"/>
              </w:rPr>
            </w:pPr>
          </w:p>
        </w:tc>
      </w:tr>
      <w:tr>
        <w:trPr>
          <w:trHeight w:val="21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Schedule 1.74</w:t>
            </w:r>
          </w:p>
        </w:tc>
        <w:tc>
          <w:tcPr>
            <w:tcW w:w="6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Pre-Approved Subcontractor</w:t>
            </w:r>
          </w:p>
        </w:tc>
        <w:tc>
          <w:tcPr>
            <w:tcW w:w="2900" w:type="dxa"/>
            <w:vAlign w:val="bottom"/>
          </w:tcPr>
          <w:p>
            <w:pPr>
              <w:spacing w:after="0"/>
              <w:rPr>
                <w:sz w:val="18"/>
                <w:szCs w:val="18"/>
                <w:color w:val="auto"/>
              </w:rPr>
            </w:pPr>
          </w:p>
        </w:tc>
      </w:tr>
      <w:tr>
        <w:trPr>
          <w:trHeight w:val="21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2.1</w:t>
            </w:r>
          </w:p>
        </w:tc>
        <w:tc>
          <w:tcPr>
            <w:tcW w:w="6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Development Plan</w:t>
            </w:r>
          </w:p>
        </w:tc>
        <w:tc>
          <w:tcPr>
            <w:tcW w:w="2900" w:type="dxa"/>
            <w:vAlign w:val="bottom"/>
          </w:tcPr>
          <w:p>
            <w:pPr>
              <w:spacing w:after="0"/>
              <w:rPr>
                <w:sz w:val="18"/>
                <w:szCs w:val="18"/>
                <w:color w:val="auto"/>
              </w:rPr>
            </w:pPr>
          </w:p>
        </w:tc>
      </w:tr>
      <w:tr>
        <w:trPr>
          <w:trHeight w:val="212"/>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7.4.3(c)</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Floor</w:t>
            </w:r>
          </w:p>
        </w:tc>
        <w:tc>
          <w:tcPr>
            <w:tcW w:w="2900" w:type="dxa"/>
            <w:vAlign w:val="bottom"/>
          </w:tcPr>
          <w:p>
            <w:pPr>
              <w:spacing w:after="0"/>
              <w:rPr>
                <w:sz w:val="18"/>
                <w:szCs w:val="18"/>
                <w:color w:val="auto"/>
              </w:rPr>
            </w:pPr>
          </w:p>
        </w:tc>
      </w:tr>
      <w:tr>
        <w:trPr>
          <w:trHeight w:val="231"/>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12.3(g)</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Schedule of Exceptions</w:t>
            </w:r>
          </w:p>
        </w:tc>
        <w:tc>
          <w:tcPr>
            <w:tcW w:w="2900" w:type="dxa"/>
            <w:vAlign w:val="bottom"/>
          </w:tcPr>
          <w:p>
            <w:pPr>
              <w:spacing w:after="0"/>
              <w:rPr>
                <w:sz w:val="20"/>
                <w:szCs w:val="20"/>
                <w:color w:val="auto"/>
              </w:rPr>
            </w:pP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760"/>
          </w:cols>
          <w:pgMar w:left="540" w:top="267" w:right="599" w:bottom="1440" w:gutter="0" w:footer="0" w:header="0"/>
        </w:sectPr>
      </w:pPr>
    </w:p>
    <w:bookmarkStart w:id="457" w:name="page458"/>
    <w:bookmarkEnd w:id="45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LICENSE AND COLLABORATION AGREEMENT</w:t>
      </w:r>
    </w:p>
    <w:p>
      <w:pPr>
        <w:spacing w:after="0" w:line="217" w:lineRule="exact"/>
        <w:rPr>
          <w:sz w:val="20"/>
          <w:szCs w:val="20"/>
          <w:color w:val="auto"/>
        </w:rPr>
      </w:pPr>
    </w:p>
    <w:p>
      <w:pPr>
        <w:ind w:right="12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THIS LICENSE AND COLLABORATION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March 26, 2020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Kissei Pharmaceutical Co., Ltd., a corporation duly organized and existing under the laws of Japan and having its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at 19-48, Yoshino, Matsumoto, Nagano Prefecture, Japan (“</w:t>
      </w:r>
      <w:r>
        <w:rPr>
          <w:rFonts w:ascii="Times New Roman" w:cs="Times New Roman" w:eastAsia="Times New Roman" w:hAnsi="Times New Roman"/>
          <w:sz w:val="18"/>
          <w:szCs w:val="18"/>
          <w:b w:val="1"/>
          <w:bCs w:val="1"/>
          <w:color w:val="auto"/>
        </w:rPr>
        <w:t>Kissei</w:t>
      </w:r>
      <w:r>
        <w:rPr>
          <w:rFonts w:ascii="Times New Roman" w:cs="Times New Roman" w:eastAsia="Times New Roman" w:hAnsi="Times New Roman"/>
          <w:sz w:val="18"/>
          <w:szCs w:val="18"/>
          <w:color w:val="auto"/>
        </w:rPr>
        <w:t>”) and CG Oncology, Inc. (formerly known as Cold Genesys, Inc.), a company organized and existing under the laws of the state of Delaware, United States, located at 400 Spectrum Center Drive, Suite #2040 Irvine, CA 92618 (“</w:t>
      </w:r>
      <w:r>
        <w:rPr>
          <w:rFonts w:ascii="Times New Roman" w:cs="Times New Roman" w:eastAsia="Times New Roman" w:hAnsi="Times New Roman"/>
          <w:sz w:val="18"/>
          <w:szCs w:val="18"/>
          <w:b w:val="1"/>
          <w:bCs w:val="1"/>
          <w:color w:val="auto"/>
        </w:rPr>
        <w:t>CG</w:t>
      </w:r>
      <w:r>
        <w:rPr>
          <w:rFonts w:ascii="Times New Roman" w:cs="Times New Roman" w:eastAsia="Times New Roman" w:hAnsi="Times New Roman"/>
          <w:sz w:val="18"/>
          <w:szCs w:val="18"/>
          <w:color w:val="auto"/>
        </w:rPr>
        <w:t>”). Kissei and CG are each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CG owns or controls the CG Patents and CG Know-How (each as defined below) relating to the Products (each as defined below);</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Kissei wishes to obtain, and CG wishes to grant, rights to the Products in the Field in the Territory (each as defined below);</w:t>
      </w:r>
    </w:p>
    <w:p>
      <w:pPr>
        <w:spacing w:after="0" w:line="217"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Kissei will have the right, among other things, to develop and commercialize Products in the Territory in the Field, subject to paying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CG the royalty and milestone payments set out herein, all as set forth in more detail in the Agreement below; and</w:t>
      </w:r>
    </w:p>
    <w:p>
      <w:pPr>
        <w:spacing w:after="0" w:line="160" w:lineRule="exact"/>
        <w:rPr>
          <w:sz w:val="20"/>
          <w:szCs w:val="20"/>
          <w:color w:val="auto"/>
        </w:rPr>
      </w:pPr>
    </w:p>
    <w:p>
      <w:pPr>
        <w:ind w:right="220" w:firstLine="432"/>
        <w:spacing w:after="0" w:line="306"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contemporaneously with the execution of this Agreement, the Parties have executed a separate Series D Preferred Stock Purchase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of even date herewith (“</w:t>
      </w:r>
      <w:r>
        <w:rPr>
          <w:rFonts w:ascii="Times New Roman" w:cs="Times New Roman" w:eastAsia="Times New Roman" w:hAnsi="Times New Roman"/>
          <w:sz w:val="17"/>
          <w:szCs w:val="17"/>
          <w:b w:val="1"/>
          <w:bCs w:val="1"/>
          <w:color w:val="auto"/>
        </w:rPr>
        <w:t>Stock Purchase Agreement</w:t>
      </w:r>
      <w:r>
        <w:rPr>
          <w:rFonts w:ascii="Times New Roman" w:cs="Times New Roman" w:eastAsia="Times New Roman" w:hAnsi="Times New Roman"/>
          <w:sz w:val="17"/>
          <w:szCs w:val="17"/>
          <w:color w:val="auto"/>
        </w:rPr>
        <w:t>”) pursuant to which Kissei shall purchase share of Series D Preferred Stock of CG.</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 contained below, the Parties agree as follows: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19" w:lineRule="exact"/>
        <w:rPr>
          <w:sz w:val="20"/>
          <w:szCs w:val="20"/>
          <w:color w:val="auto"/>
        </w:rPr>
      </w:pPr>
    </w:p>
    <w:p>
      <w:pPr>
        <w:ind w:right="600" w:firstLine="432"/>
        <w:spacing w:after="0" w:line="274" w:lineRule="auto"/>
        <w:rPr>
          <w:sz w:val="20"/>
          <w:szCs w:val="20"/>
          <w:color w:val="auto"/>
        </w:rPr>
      </w:pPr>
      <w:r>
        <w:rPr>
          <w:rFonts w:ascii="Times New Roman" w:cs="Times New Roman" w:eastAsia="Times New Roman" w:hAnsi="Times New Roman"/>
          <w:sz w:val="18"/>
          <w:szCs w:val="18"/>
          <w:color w:val="auto"/>
        </w:rPr>
        <w:t>Capitalized terms used in this Agreement, whether used in the singular or plural, shall have the meanings set forth below, unless otherwise specifically indicated herein.</w:t>
      </w:r>
    </w:p>
    <w:p>
      <w:pPr>
        <w:spacing w:after="0" w:line="16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“Accounting Standard” </w:t>
      </w:r>
      <w:r>
        <w:rPr>
          <w:rFonts w:ascii="Times New Roman" w:cs="Times New Roman" w:eastAsia="Times New Roman" w:hAnsi="Times New Roman"/>
          <w:sz w:val="18"/>
          <w:szCs w:val="18"/>
          <w:color w:val="auto"/>
        </w:rPr>
        <w:t>means either (a)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(b) United States generally accepted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or (c) Japan generally accepted accounting principles, in each case, which standards or principles (as applicable) are currently used at the applicable time, and as consistently applied.</w:t>
      </w:r>
    </w:p>
    <w:p>
      <w:pPr>
        <w:spacing w:after="0" w:line="173" w:lineRule="exact"/>
        <w:rPr>
          <w:sz w:val="20"/>
          <w:szCs w:val="20"/>
          <w:color w:val="auto"/>
        </w:rPr>
      </w:pPr>
    </w:p>
    <w:p>
      <w:pPr>
        <w:jc w:val="both"/>
        <w:ind w:right="62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“Affiliate” </w:t>
      </w:r>
      <w:r>
        <w:rPr>
          <w:rFonts w:ascii="Times New Roman" w:cs="Times New Roman" w:eastAsia="Times New Roman" w:hAnsi="Times New Roman"/>
          <w:sz w:val="18"/>
          <w:szCs w:val="18"/>
          <w:color w:val="auto"/>
        </w:rPr>
        <w:t>means, with respect to a Person, any Person that, directly or indirectly (through one or more intermediaries) controls,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or is under common control with such first Person. For purposes of this definition only,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(a) the direct or indirect ownership of more than fifty percent (50%) of the voting stock or other voting interests or interest in the profits of the Party; or (b) the ability to otherwise control or direct the decisions of the board of directors or equivalent governing body thereof.</w:t>
      </w:r>
    </w:p>
    <w:p>
      <w:pPr>
        <w:sectPr>
          <w:pgSz w:w="11900" w:h="16838" w:orient="portrait"/>
          <w:cols w:equalWidth="0" w:num="1">
            <w:col w:w="10800"/>
          </w:cols>
          <w:pgMar w:left="540" w:top="265" w:right="559" w:bottom="1440" w:gutter="0" w:footer="0" w:header="0"/>
        </w:sectPr>
      </w:pPr>
    </w:p>
    <w:bookmarkStart w:id="458" w:name="page459"/>
    <w:bookmarkEnd w:id="458"/>
    <w:p>
      <w:pPr>
        <w:ind w:right="60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“Anti-Corruption Laws” </w:t>
      </w:r>
      <w:r>
        <w:rPr>
          <w:rFonts w:ascii="Times New Roman" w:cs="Times New Roman" w:eastAsia="Times New Roman" w:hAnsi="Times New Roman"/>
          <w:sz w:val="18"/>
          <w:szCs w:val="18"/>
          <w:color w:val="auto"/>
        </w:rPr>
        <w:t>means the United States Foreign Corrupt Practices Act, the United Kingdom Bribery Act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anti-corruption or anti-bribery laws, in each case as amended.</w:t>
      </w:r>
    </w:p>
    <w:p>
      <w:pPr>
        <w:spacing w:after="0" w:line="160" w:lineRule="exact"/>
        <w:rPr>
          <w:sz w:val="20"/>
          <w:szCs w:val="20"/>
          <w:color w:val="auto"/>
        </w:rPr>
      </w:pPr>
    </w:p>
    <w:p>
      <w:pPr>
        <w:ind w:right="280" w:firstLine="432"/>
        <w:spacing w:after="0" w:line="306" w:lineRule="auto"/>
        <w:rPr>
          <w:sz w:val="20"/>
          <w:szCs w:val="20"/>
          <w:color w:val="auto"/>
        </w:rPr>
      </w:pPr>
      <w:r>
        <w:rPr>
          <w:rFonts w:ascii="Times New Roman" w:cs="Times New Roman" w:eastAsia="Times New Roman" w:hAnsi="Times New Roman"/>
          <w:sz w:val="17"/>
          <w:szCs w:val="17"/>
          <w:b w:val="1"/>
          <w:bCs w:val="1"/>
          <w:color w:val="auto"/>
        </w:rPr>
        <w:t>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“Applicable Law” </w:t>
      </w:r>
      <w:r>
        <w:rPr>
          <w:rFonts w:ascii="Times New Roman" w:cs="Times New Roman" w:eastAsia="Times New Roman" w:hAnsi="Times New Roman"/>
          <w:sz w:val="17"/>
          <w:szCs w:val="17"/>
          <w:color w:val="auto"/>
        </w:rPr>
        <w:t>means any and all laws, ordinances, orders, rules, rulings, directives and regulations of any kind whatsoever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Regulatory Authority or other governmental authority within the applicable jurisdiction applicable to a Party’s activities under this Agreement.</w:t>
      </w:r>
    </w:p>
    <w:p>
      <w:pPr>
        <w:spacing w:after="0" w:line="138"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“Biosimilar” </w:t>
      </w:r>
      <w:r>
        <w:rPr>
          <w:rFonts w:ascii="Times New Roman" w:cs="Times New Roman" w:eastAsia="Times New Roman" w:hAnsi="Times New Roman"/>
          <w:sz w:val="18"/>
          <w:szCs w:val="18"/>
          <w:color w:val="auto"/>
        </w:rPr>
        <w:t>means, with respect to a Product, any drug or biological product that is subject to review under an abbreviated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pathway as a biosimilar, follow-on biologic or generic biological product, as those terms are commonly understood under the U.S. Federal Food, Drug and Cosmetics Act (as amended from time to time) or the PHSA and related rules and regulations, or the corresponding or similar laws, rules and regulations of any other jurisdiction, including, without limitation, those promulgated by the MHLW and PMDA in Japan, which drug or biological product is sold by a Third Party that is not a sublicensee of Kissei (or any of its Affiliates) and that has not otherwise been authorized, directly or indirectly, by Kissei (or any of its Affiliates) to market and sell such product.</w:t>
      </w:r>
    </w:p>
    <w:p>
      <w:pPr>
        <w:spacing w:after="0" w:line="18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“Biosimilar Application” </w:t>
      </w:r>
      <w:r>
        <w:rPr>
          <w:rFonts w:ascii="Times New Roman" w:cs="Times New Roman" w:eastAsia="Times New Roman" w:hAnsi="Times New Roman"/>
          <w:sz w:val="18"/>
          <w:szCs w:val="18"/>
          <w:color w:val="auto"/>
        </w:rPr>
        <w:t>means an application submitted to the FDA under subsection (k) of Section 351 of the PHSA, or any analogous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submitted to a Regulatory Authority in the United States or in another country in the world, including, without limitation, the MHLW and PMDA in Japan.</w:t>
      </w:r>
    </w:p>
    <w:p>
      <w:pPr>
        <w:spacing w:after="0" w:line="173" w:lineRule="exact"/>
        <w:rPr>
          <w:sz w:val="20"/>
          <w:szCs w:val="20"/>
          <w:color w:val="auto"/>
        </w:rPr>
      </w:pPr>
    </w:p>
    <w:p>
      <w:pPr>
        <w:ind w:right="26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“Business Day” </w:t>
      </w:r>
      <w:r>
        <w:rPr>
          <w:rFonts w:ascii="Times New Roman" w:cs="Times New Roman" w:eastAsia="Times New Roman" w:hAnsi="Times New Roman"/>
          <w:sz w:val="18"/>
          <w:szCs w:val="18"/>
          <w:color w:val="auto"/>
        </w:rPr>
        <w:t>means any day that is not a Saturday, Sunday or other days on which commercial banks in New York and/or Japan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or required to be closed.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Collaboration IP” </w:t>
      </w:r>
      <w:r>
        <w:rPr>
          <w:rFonts w:ascii="Times New Roman" w:cs="Times New Roman" w:eastAsia="Times New Roman" w:hAnsi="Times New Roman"/>
          <w:sz w:val="18"/>
          <w:szCs w:val="18"/>
          <w:color w:val="auto"/>
        </w:rPr>
        <w:t>means CG Collaboration Know-How and CG Collaboration Patents.</w:t>
      </w:r>
    </w:p>
    <w:p>
      <w:pPr>
        <w:spacing w:after="0" w:line="21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Collaboration Know-How” </w:t>
      </w:r>
      <w:r>
        <w:rPr>
          <w:rFonts w:ascii="Times New Roman" w:cs="Times New Roman" w:eastAsia="Times New Roman" w:hAnsi="Times New Roman"/>
          <w:sz w:val="18"/>
          <w:szCs w:val="18"/>
          <w:color w:val="auto"/>
        </w:rPr>
        <w:t>means Collaboration Know-How that is generated, discovered or obtained during the Term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by or on behalf of CG and its Affiliates as of the Effective Date, without the inventive contribution of any employee, consultant or agent of Kissei.</w:t>
      </w:r>
    </w:p>
    <w:p>
      <w:pPr>
        <w:spacing w:after="0" w:line="173" w:lineRule="exact"/>
        <w:rPr>
          <w:sz w:val="20"/>
          <w:szCs w:val="20"/>
          <w:color w:val="auto"/>
        </w:rPr>
      </w:pPr>
    </w:p>
    <w:p>
      <w:pPr>
        <w:ind w:right="82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Collaboration Patents” </w:t>
      </w:r>
      <w:r>
        <w:rPr>
          <w:rFonts w:ascii="Times New Roman" w:cs="Times New Roman" w:eastAsia="Times New Roman" w:hAnsi="Times New Roman"/>
          <w:sz w:val="18"/>
          <w:szCs w:val="18"/>
          <w:color w:val="auto"/>
        </w:rPr>
        <w:t>means Patents claiming CG Collaboration Know-How. CG Collaboration Patents exclude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Patents.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IP” </w:t>
      </w:r>
      <w:r>
        <w:rPr>
          <w:rFonts w:ascii="Times New Roman" w:cs="Times New Roman" w:eastAsia="Times New Roman" w:hAnsi="Times New Roman"/>
          <w:sz w:val="18"/>
          <w:szCs w:val="18"/>
          <w:color w:val="auto"/>
        </w:rPr>
        <w:t>means the CG Know-How, the CG Patents and the CG Trademarks.</w:t>
      </w:r>
    </w:p>
    <w:p>
      <w:pPr>
        <w:spacing w:after="0" w:line="217" w:lineRule="exact"/>
        <w:rPr>
          <w:sz w:val="20"/>
          <w:szCs w:val="20"/>
          <w:color w:val="auto"/>
        </w:rPr>
      </w:pPr>
    </w:p>
    <w:p>
      <w:pPr>
        <w:ind w:right="30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Know-How” </w:t>
      </w:r>
      <w:r>
        <w:rPr>
          <w:rFonts w:ascii="Times New Roman" w:cs="Times New Roman" w:eastAsia="Times New Roman" w:hAnsi="Times New Roman"/>
          <w:sz w:val="18"/>
          <w:szCs w:val="18"/>
          <w:color w:val="auto"/>
        </w:rPr>
        <w:t>means all Know-How Controlled by CG or any of its Affiliates as of the Effective Date or during the Term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clarity, CG Know-How (a) includes CG Collaboration Know-How and (b) excludes Joint Collaboration Know-How.</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40"/>
          </w:cols>
          <w:pgMar w:left="540" w:top="264" w:right="719" w:bottom="1440" w:gutter="0" w:footer="0" w:header="0"/>
        </w:sectPr>
      </w:pPr>
    </w:p>
    <w:bookmarkStart w:id="459" w:name="page460"/>
    <w:bookmarkEnd w:id="459"/>
    <w:p>
      <w:pPr>
        <w:jc w:val="both"/>
        <w:ind w:right="16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Patents” </w:t>
      </w:r>
      <w:r>
        <w:rPr>
          <w:rFonts w:ascii="Times New Roman" w:cs="Times New Roman" w:eastAsia="Times New Roman" w:hAnsi="Times New Roman"/>
          <w:sz w:val="18"/>
          <w:szCs w:val="18"/>
          <w:color w:val="auto"/>
        </w:rPr>
        <w:t>means all Patents Controlled by CG or any of its Affiliates as of the Effective Date or during the Term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Patents claiming CG Collaboration Know-How. CG Patents exclude Joint Collaboration Patents. The CG Patents existing as of the Effective Date are identified on </w:t>
      </w:r>
      <w:r>
        <w:rPr>
          <w:rFonts w:ascii="Times New Roman" w:cs="Times New Roman" w:eastAsia="Times New Roman" w:hAnsi="Times New Roman"/>
          <w:sz w:val="18"/>
          <w:szCs w:val="18"/>
          <w:b w:val="1"/>
          <w:bCs w:val="1"/>
          <w:color w:val="auto"/>
        </w:rPr>
        <w:t>Schedule 1.13</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Territory” </w:t>
      </w:r>
      <w:r>
        <w:rPr>
          <w:rFonts w:ascii="Times New Roman" w:cs="Times New Roman" w:eastAsia="Times New Roman" w:hAnsi="Times New Roman"/>
          <w:sz w:val="18"/>
          <w:szCs w:val="18"/>
          <w:color w:val="auto"/>
        </w:rPr>
        <w:t>means all territories other than (i) the Territory, and (ii) the Lepu Territory.</w:t>
      </w:r>
    </w:p>
    <w:p>
      <w:pPr>
        <w:spacing w:after="0" w:line="217"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Territory Activities” </w:t>
      </w:r>
      <w:r>
        <w:rPr>
          <w:rFonts w:ascii="Times New Roman" w:cs="Times New Roman" w:eastAsia="Times New Roman" w:hAnsi="Times New Roman"/>
          <w:sz w:val="18"/>
          <w:szCs w:val="18"/>
          <w:color w:val="auto"/>
        </w:rPr>
        <w:t>means certain material activities conducted by or on behalf of CG in the CG Territory for the CG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Clinical Trials, CMC activities, and pre-clinical and non-clinical studies, in each case that are agreed to be included in the Initial development Plan by the Parties prior to formation of the JDC and by the JDC thereafter. The material activities which are required or reasonably necessary to develop and commercialize Products in the Territory will be included in the CG Territory Activities by the JDC.</w:t>
      </w:r>
    </w:p>
    <w:p>
      <w:pPr>
        <w:spacing w:after="0" w:line="17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Trademark” </w:t>
      </w:r>
      <w:r>
        <w:rPr>
          <w:rFonts w:ascii="Times New Roman" w:cs="Times New Roman" w:eastAsia="Times New Roman" w:hAnsi="Times New Roman"/>
          <w:sz w:val="18"/>
          <w:szCs w:val="18"/>
          <w:color w:val="auto"/>
        </w:rPr>
        <w:t>means any and all trademark or service mark rights that are Controlled by CG or any of its Affiliates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or during the Term. CG Trademark includes trademarks that are specific to the Product but excludes (i) CG’s and its Affiliates’ corporate names and logos, together with any derivative marks of any such name or logo, and (ii) any trademarks used by CG where such trademarks are specific to CG products for indications other than Indications selected by the JDC under this Agreement.</w:t>
      </w:r>
    </w:p>
    <w:p>
      <w:pPr>
        <w:spacing w:after="0" w:line="177"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18"/>
          <w:szCs w:val="18"/>
          <w:b w:val="1"/>
          <w:bCs w:val="1"/>
          <w:color w:val="auto"/>
        </w:rPr>
        <w:t>1.17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“Change of Control” </w:t>
      </w:r>
      <w:r>
        <w:rPr>
          <w:rFonts w:ascii="Times New Roman" w:cs="Times New Roman" w:eastAsia="Times New Roman" w:hAnsi="Times New Roman"/>
          <w:sz w:val="18"/>
          <w:szCs w:val="18"/>
          <w:color w:val="auto"/>
        </w:rPr>
        <w:t>means any of the following events: (a) any Third Party (or group of Third Parties acting in concert) becomes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owner, directly or indirectly, of more than fifty percent (50%) of the total voting power of the equity securities then outstanding of a Party normally entitled to vote in elections of directors; (b) a Party consolidates with or merges into another corporation or entity, or any corporation or entity consolidates with or merges into a Party, in either event pursuant to a transaction in which more than fifty percent (50%) of the total voting power of the equity securities outstanding of the surviving entity normally entitled to vote in elections of directors is not held by the Persons holding at least fifty percent (50%) of the outstanding shares of a Party preceding such consolidation or merger; or (c) a Party conveys, transfers or sells all or substantially all of its assets to any Third Party, except in each case (a) – (c), (i) in connection with the issuance of equity securities for financing purposes that does not result in a non-financial investor (e.g., a pharmaceutical company or biotechnology company) becoming (as a result of such issuance of equity securities) the beneficial owner, directly or indirectly, of more than fifty percent (50%) of the total voting power of the equity securities then outstanding of a Party normally entitled to vote in election of directors, or (ii) to change the domicile of a Party.</w:t>
      </w:r>
    </w:p>
    <w:p>
      <w:pPr>
        <w:spacing w:after="0" w:line="185" w:lineRule="exact"/>
        <w:rPr>
          <w:sz w:val="20"/>
          <w:szCs w:val="20"/>
          <w:color w:val="auto"/>
        </w:rPr>
      </w:pPr>
    </w:p>
    <w:p>
      <w:pPr>
        <w:ind w:right="36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“Clinical Trial” </w:t>
      </w:r>
      <w:r>
        <w:rPr>
          <w:rFonts w:ascii="Times New Roman" w:cs="Times New Roman" w:eastAsia="Times New Roman" w:hAnsi="Times New Roman"/>
          <w:sz w:val="18"/>
          <w:szCs w:val="18"/>
          <w:color w:val="auto"/>
        </w:rPr>
        <w:t>means a Phase I Clinical Trial, Phase II Clinical Trial or Phase III Clinical Trial, or any post-approval or other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trial, as applicable.</w:t>
      </w:r>
    </w:p>
    <w:p>
      <w:pPr>
        <w:spacing w:after="0" w:line="160" w:lineRule="exact"/>
        <w:rPr>
          <w:sz w:val="20"/>
          <w:szCs w:val="20"/>
          <w:color w:val="auto"/>
        </w:rPr>
      </w:pPr>
    </w:p>
    <w:p>
      <w:pPr>
        <w:ind w:right="16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“CMC” or “Chemistry Manufacturing and Controls” </w:t>
      </w:r>
      <w:r>
        <w:rPr>
          <w:rFonts w:ascii="Times New Roman" w:cs="Times New Roman" w:eastAsia="Times New Roman" w:hAnsi="Times New Roman"/>
          <w:sz w:val="18"/>
          <w:szCs w:val="18"/>
          <w:color w:val="auto"/>
        </w:rPr>
        <w:t>means the chemistry, manufacturing and controls (or their biologic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Product, as specified by the FDA, or other applicable Regulatory Authorities.</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0"/>
          </w:cols>
          <w:pgMar w:left="540" w:top="265" w:right="579" w:bottom="1440" w:gutter="0" w:footer="0" w:header="0"/>
        </w:sectPr>
      </w:pPr>
    </w:p>
    <w:bookmarkStart w:id="460" w:name="page461"/>
    <w:bookmarkEnd w:id="460"/>
    <w:p>
      <w:pPr>
        <w:jc w:val="both"/>
        <w:ind w:right="16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“CMO” or “Contract Manufacturing Organization” </w:t>
      </w:r>
      <w:r>
        <w:rPr>
          <w:rFonts w:ascii="Times New Roman" w:cs="Times New Roman" w:eastAsia="Times New Roman" w:hAnsi="Times New Roman"/>
          <w:sz w:val="18"/>
          <w:szCs w:val="18"/>
          <w:color w:val="auto"/>
        </w:rPr>
        <w:t>means a Third Party with which a Party has contracted to conduct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process development and scale-up) of one or more Products, Collaboration Compound and DDM on behalf of such Party, other than a bona fide collaborator of such Party (e.g., a Third Party with whom such Party can jointly develop any other product).</w:t>
      </w:r>
    </w:p>
    <w:p>
      <w:pPr>
        <w:spacing w:after="0" w:line="173" w:lineRule="exact"/>
        <w:rPr>
          <w:sz w:val="20"/>
          <w:szCs w:val="20"/>
          <w:color w:val="auto"/>
        </w:rPr>
      </w:pPr>
    </w:p>
    <w:p>
      <w:pPr>
        <w:ind w:right="24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“Collaboration Compound” </w:t>
      </w:r>
      <w:r>
        <w:rPr>
          <w:rFonts w:ascii="Times New Roman" w:cs="Times New Roman" w:eastAsia="Times New Roman" w:hAnsi="Times New Roman"/>
          <w:sz w:val="18"/>
          <w:szCs w:val="18"/>
          <w:color w:val="auto"/>
        </w:rPr>
        <w:t>means CG0070 recombinant oncolytic adenovirus, which contains an oncolytic-specific E2F transcription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 promoter and a granulocyte-macrophage colony stimulating factor (GM-CSF) transgene.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“Collaboration IP” </w:t>
      </w:r>
      <w:r>
        <w:rPr>
          <w:rFonts w:ascii="Times New Roman" w:cs="Times New Roman" w:eastAsia="Times New Roman" w:hAnsi="Times New Roman"/>
          <w:sz w:val="18"/>
          <w:szCs w:val="18"/>
          <w:color w:val="auto"/>
        </w:rPr>
        <w:t>means the Collaboration Know-How and the Collaboration Patents.</w:t>
      </w:r>
    </w:p>
    <w:p>
      <w:pPr>
        <w:spacing w:after="0" w:line="217" w:lineRule="exact"/>
        <w:rPr>
          <w:sz w:val="20"/>
          <w:szCs w:val="20"/>
          <w:color w:val="auto"/>
        </w:rPr>
      </w:pPr>
    </w:p>
    <w:p>
      <w:pPr>
        <w:ind w:right="28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“Collaboration Know-How” </w:t>
      </w:r>
      <w:r>
        <w:rPr>
          <w:rFonts w:ascii="Times New Roman" w:cs="Times New Roman" w:eastAsia="Times New Roman" w:hAnsi="Times New Roman"/>
          <w:sz w:val="18"/>
          <w:szCs w:val="18"/>
          <w:color w:val="auto"/>
        </w:rPr>
        <w:t>means Know-How that is generated, discovered or obtained by or on behalf of a Party or its Affiliates,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jointly by or on behalf of both Parties or their respective Affiliates in the conduct of activities, under the Development Program.</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“Collaboration Patents” </w:t>
      </w:r>
      <w:r>
        <w:rPr>
          <w:rFonts w:ascii="Times New Roman" w:cs="Times New Roman" w:eastAsia="Times New Roman" w:hAnsi="Times New Roman"/>
          <w:sz w:val="18"/>
          <w:szCs w:val="18"/>
          <w:color w:val="auto"/>
        </w:rPr>
        <w:t>means Patents claiming Collaboration Know-How.</w:t>
      </w:r>
    </w:p>
    <w:p>
      <w:pPr>
        <w:spacing w:after="0" w:line="217" w:lineRule="exact"/>
        <w:rPr>
          <w:sz w:val="20"/>
          <w:szCs w:val="20"/>
          <w:color w:val="auto"/>
        </w:rPr>
      </w:pPr>
    </w:p>
    <w:p>
      <w:pPr>
        <w:ind w:firstLine="432"/>
        <w:spacing w:after="0" w:line="269" w:lineRule="auto"/>
        <w:rPr>
          <w:sz w:val="20"/>
          <w:szCs w:val="20"/>
          <w:color w:val="auto"/>
        </w:rPr>
      </w:pPr>
      <w:r>
        <w:rPr>
          <w:rFonts w:ascii="Times New Roman" w:cs="Times New Roman" w:eastAsia="Times New Roman" w:hAnsi="Times New Roman"/>
          <w:sz w:val="17"/>
          <w:szCs w:val="17"/>
          <w:b w:val="1"/>
          <w:bCs w:val="1"/>
          <w:color w:val="auto"/>
        </w:rPr>
        <w:t>1.25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“Commercially Reasonable Efforts” </w:t>
      </w:r>
      <w:r>
        <w:rPr>
          <w:rFonts w:ascii="Times New Roman" w:cs="Times New Roman" w:eastAsia="Times New Roman" w:hAnsi="Times New Roman"/>
          <w:sz w:val="17"/>
          <w:szCs w:val="17"/>
          <w:color w:val="auto"/>
        </w:rPr>
        <w:t>shall mean that level of efforts and resources consistent with the usual practice followed by Kissei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Peer Pharmaceutical Company or CG or a similarly sized and situated biopharmaceutical company in the exercise of reasonable business discretion relating to other pharmaceutical products owned by it or to which it has exclusive rights, which is of similar market potential and at a similar stage in development or product life, taking into account issues of patent coverage, safety and efficacy, product profile, the competitiveness of the marketplace, the proprietary position of the compound or product, the regulatory structure involved, the profitability of the products (including, without limitation, pricing and reimbursement status achieved), and other relevant factors, including without limitation technical, legal, scientific, and/or medical factors.</w:t>
      </w:r>
    </w:p>
    <w:p>
      <w:pPr>
        <w:spacing w:after="0" w:line="169" w:lineRule="exact"/>
        <w:rPr>
          <w:sz w:val="20"/>
          <w:szCs w:val="20"/>
          <w:color w:val="auto"/>
        </w:rPr>
      </w:pPr>
    </w:p>
    <w:p>
      <w:pPr>
        <w:ind w:right="48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“Companion Diagnostic” </w:t>
      </w:r>
      <w:r>
        <w:rPr>
          <w:rFonts w:ascii="Times New Roman" w:cs="Times New Roman" w:eastAsia="Times New Roman" w:hAnsi="Times New Roman"/>
          <w:sz w:val="18"/>
          <w:szCs w:val="18"/>
          <w:color w:val="auto"/>
        </w:rPr>
        <w:t>means any product or service, the development of which is initiated or continued as part of the conduct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under the Development Program, that:</w:t>
      </w:r>
    </w:p>
    <w:p>
      <w:pPr>
        <w:spacing w:after="0" w:line="160" w:lineRule="exact"/>
        <w:rPr>
          <w:sz w:val="20"/>
          <w:szCs w:val="20"/>
          <w:color w:val="auto"/>
        </w:rPr>
      </w:pPr>
    </w:p>
    <w:p>
      <w:pPr>
        <w:ind w:right="46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identified a person having a disease or condition, or a molecular genotype or phenotype that predisposes a person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 or condition, for which a Product could be used to treat and/or prevent such disease or condition;</w:t>
      </w:r>
    </w:p>
    <w:p>
      <w:pPr>
        <w:spacing w:after="0" w:line="160" w:lineRule="exact"/>
        <w:rPr>
          <w:sz w:val="20"/>
          <w:szCs w:val="20"/>
          <w:color w:val="auto"/>
        </w:rPr>
      </w:pPr>
    </w:p>
    <w:p>
      <w:pPr>
        <w:ind w:right="16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defines the prognosis or monitors the progress of a disease or condition in a person for which a Product could be used to treat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prevent such disease or condition;</w:t>
      </w:r>
    </w:p>
    <w:p>
      <w:pPr>
        <w:spacing w:after="0" w:line="160" w:lineRule="exact"/>
        <w:rPr>
          <w:sz w:val="20"/>
          <w:szCs w:val="20"/>
          <w:color w:val="auto"/>
        </w:rPr>
      </w:pPr>
    </w:p>
    <w:p>
      <w:pPr>
        <w:ind w:right="40" w:firstLine="1406"/>
        <w:spacing w:after="0" w:line="261"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is used to select a therapeutic or prophylactic regimen, wherein at least one (1) potential therapeutic or prophylactic regimen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involves a Product, and where the selected regimen is determined, based on the use of such product or service, to likely be effective and/or to be safe for a person; and/or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540" w:top="265" w:right="559" w:bottom="1440" w:gutter="0" w:footer="0" w:header="0"/>
        </w:sectPr>
      </w:pPr>
    </w:p>
    <w:bookmarkStart w:id="461" w:name="page462"/>
    <w:bookmarkEnd w:id="461"/>
    <w:p>
      <w:pPr>
        <w:ind w:left="1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(d)</w:t>
      </w:r>
      <w:r>
        <w:rPr>
          <w:rFonts w:ascii="Times New Roman" w:cs="Times New Roman" w:eastAsia="Times New Roman" w:hAnsi="Times New Roman"/>
          <w:sz w:val="18"/>
          <w:szCs w:val="18"/>
          <w:color w:val="auto"/>
        </w:rPr>
        <w:t xml:space="preserve">   is used to confirm a Product’s biological activity and/or to optimize dosing or the scheduled administration of a Product.</w:t>
      </w:r>
    </w:p>
    <w:p>
      <w:pPr>
        <w:spacing w:after="0" w:line="217" w:lineRule="exact"/>
        <w:rPr>
          <w:sz w:val="20"/>
          <w:szCs w:val="20"/>
          <w:color w:val="auto"/>
        </w:rPr>
      </w:pPr>
    </w:p>
    <w:p>
      <w:pPr>
        <w:ind w:right="48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“Competing Product” </w:t>
      </w:r>
      <w:r>
        <w:rPr>
          <w:rFonts w:ascii="Times New Roman" w:cs="Times New Roman" w:eastAsia="Times New Roman" w:hAnsi="Times New Roman"/>
          <w:sz w:val="18"/>
          <w:szCs w:val="18"/>
          <w:color w:val="auto"/>
        </w:rPr>
        <w:t>means any product comprising an adenovirus-backbone oncolytic virus with the E2F promoter and GM-CSF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transgene other than the Collaboration Compound and a Product developed, manufactured or commercialized under this Agreement.</w:t>
      </w:r>
    </w:p>
    <w:p>
      <w:pPr>
        <w:spacing w:after="0" w:line="160"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“Compulsory Competing Product” </w:t>
      </w:r>
      <w:r>
        <w:rPr>
          <w:rFonts w:ascii="Times New Roman" w:cs="Times New Roman" w:eastAsia="Times New Roman" w:hAnsi="Times New Roman"/>
          <w:sz w:val="18"/>
          <w:szCs w:val="18"/>
          <w:color w:val="auto"/>
        </w:rPr>
        <w:t>means a Competing Product sold under a license (or sublicense) granted (other than by Kissei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Affiliates or sublicensees) to a Third Party through (or, to implement) the order, decree or grant of a governmental authority having competent jurisdiction.</w:t>
      </w:r>
    </w:p>
    <w:p>
      <w:pPr>
        <w:spacing w:after="0" w:line="173"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“Compulsory Sublicense” </w:t>
      </w:r>
      <w:r>
        <w:rPr>
          <w:rFonts w:ascii="Times New Roman" w:cs="Times New Roman" w:eastAsia="Times New Roman" w:hAnsi="Times New Roman"/>
          <w:sz w:val="18"/>
          <w:szCs w:val="18"/>
          <w:color w:val="auto"/>
        </w:rPr>
        <w:t>means a sublicense granted to a Third Party through (or, to implement) the order, decree or grant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governmental authority having competent jurisdiction, authorizing such Third Party to manufacture, use, sale, offer for sale, import or export a Product in any country in the Territory or in the CG Territory with a royalty rate lower than the applicable royalty rates provided in </w:t>
      </w:r>
      <w:r>
        <w:rPr>
          <w:rFonts w:ascii="Times New Roman" w:cs="Times New Roman" w:eastAsia="Times New Roman" w:hAnsi="Times New Roman"/>
          <w:sz w:val="18"/>
          <w:szCs w:val="18"/>
          <w:b w:val="1"/>
          <w:bCs w:val="1"/>
          <w:color w:val="auto"/>
        </w:rPr>
        <w:t>Section 7.4 (Royalty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Payments for Products by Kissei) and Section 7.5 (Royalty Payments for Products by CG)</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b w:val="1"/>
          <w:bCs w:val="1"/>
          <w:color w:val="auto"/>
        </w:rPr>
        <w:t>1.30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“Confidential Information” </w:t>
      </w:r>
      <w:r>
        <w:rPr>
          <w:rFonts w:ascii="Times New Roman" w:cs="Times New Roman" w:eastAsia="Times New Roman" w:hAnsi="Times New Roman"/>
          <w:sz w:val="17"/>
          <w:szCs w:val="17"/>
          <w:color w:val="auto"/>
        </w:rPr>
        <w:t>means proprietary Know-How (of whatever kind and in whatever form or medium, including copies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tangible materials or other deliverables (a) disclosed by or on behalf of a Party in connection with this Agreement, whether prior to or during the Term and whether disclosed orally, electronically, by observation or in writing, or (b) created by, or on behalf of, either Party and provided to the other Party or its Affiliate, or created jointly by the Parties or their Affiliates, in the course of this Agreement. For the avoidance of doubt, “Confidential Information” of a Party includes (i) Know-How regarding such Party’s research, development plans, clinical trial designs, preclinical and clinical data, technology, products, business information or objectives and other information of the type that is customarily considered to be confidential information by entities engaged in activities that are substantially similar to the activities being engaged in by the Parties pursuant to this Agreement and (ii) any tangible materials or other deliverables provided by one Party to the other Party pursuant to </w:t>
      </w:r>
      <w:r>
        <w:rPr>
          <w:rFonts w:ascii="Times New Roman" w:cs="Times New Roman" w:eastAsia="Times New Roman" w:hAnsi="Times New Roman"/>
          <w:sz w:val="17"/>
          <w:szCs w:val="17"/>
          <w:b w:val="1"/>
          <w:bCs w:val="1"/>
          <w:color w:val="auto"/>
        </w:rPr>
        <w:t>Article 5 (Manufacturing and Supply; Regulatory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Matters; Deliverables)</w:t>
      </w:r>
      <w:r>
        <w:rPr>
          <w:rFonts w:ascii="Times New Roman" w:cs="Times New Roman" w:eastAsia="Times New Roman" w:hAnsi="Times New Roman"/>
          <w:sz w:val="17"/>
          <w:szCs w:val="17"/>
          <w:color w:val="auto"/>
        </w:rPr>
        <w:t>. Notwithstanding the foregoing, subject to the terms of</w:t>
      </w:r>
      <w:r>
        <w:rPr>
          <w:rFonts w:ascii="Times New Roman" w:cs="Times New Roman" w:eastAsia="Times New Roman" w:hAnsi="Times New Roman"/>
          <w:sz w:val="17"/>
          <w:szCs w:val="17"/>
          <w:b w:val="1"/>
          <w:bCs w:val="1"/>
          <w:color w:val="auto"/>
        </w:rPr>
        <w:t xml:space="preserve"> Section 9.5 (Rights of Joint Owners), </w:t>
      </w:r>
      <w:r>
        <w:rPr>
          <w:rFonts w:ascii="Times New Roman" w:cs="Times New Roman" w:eastAsia="Times New Roman" w:hAnsi="Times New Roman"/>
          <w:sz w:val="17"/>
          <w:szCs w:val="17"/>
          <w:color w:val="auto"/>
        </w:rPr>
        <w:t>the Joint Collaboration IP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the Confidential Information of both CG and Kissei, and both CG and Kissei shall be deemed to be the disclosing Party with respect thereto. For clarity, (a) the Kissei IP shall be the Confidential Information of Kissei, and Kissei shall be deemed to be the disclosing Party with respect thereto,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CG IP shall be the Confidential Information of CG, and CG shall be deemed to be the disclosing Party with respect thereto.</w:t>
      </w:r>
    </w:p>
    <w:p>
      <w:pPr>
        <w:spacing w:after="0" w:line="196"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“Control” or “Controlled by” </w:t>
      </w:r>
      <w:r>
        <w:rPr>
          <w:rFonts w:ascii="Times New Roman" w:cs="Times New Roman" w:eastAsia="Times New Roman" w:hAnsi="Times New Roman"/>
          <w:sz w:val="18"/>
          <w:szCs w:val="18"/>
          <w:color w:val="auto"/>
        </w:rPr>
        <w:t>means, when used in reference to intellectual property rights, other intangible property or materials,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rightful possession by a Party of the contractual, legal or regulatory right or ability, as of the Effective Date or during the Term, to grant access, title, a license, sublicense or other right to exploit such right, property or material without violating the terms of any agreement with any Third Party, court order or other legal obligation.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80"/>
          </w:cols>
          <w:pgMar w:left="540" w:top="265" w:right="579" w:bottom="1440" w:gutter="0" w:footer="0" w:header="0"/>
        </w:sectPr>
      </w:pPr>
    </w:p>
    <w:bookmarkStart w:id="462" w:name="page463"/>
    <w:bookmarkEnd w:id="462"/>
    <w:p>
      <w:pPr>
        <w:ind w:left="2"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“Covers” </w:t>
      </w:r>
      <w:r>
        <w:rPr>
          <w:rFonts w:ascii="Times New Roman" w:cs="Times New Roman" w:eastAsia="Times New Roman" w:hAnsi="Times New Roman"/>
          <w:sz w:val="18"/>
          <w:szCs w:val="18"/>
          <w:color w:val="auto"/>
        </w:rPr>
        <w:t>(including variations such as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and the like) means, with respect to a particular Patent in a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 and in reference to a particular compound or product (whether alone or in combination with one or more other ingredients) that the manufacture, use, sale, offer for sale or importation of such compound or product in a country would infringe (including direct infringement, contributory infringement or any inducement to infringe) a Valid Claim of such Patent in that country.</w:t>
      </w:r>
    </w:p>
    <w:p>
      <w:pPr>
        <w:spacing w:after="0" w:line="177" w:lineRule="exact"/>
        <w:rPr>
          <w:sz w:val="20"/>
          <w:szCs w:val="20"/>
          <w:color w:val="auto"/>
        </w:rPr>
      </w:pPr>
    </w:p>
    <w:p>
      <w:pPr>
        <w:ind w:left="2" w:right="6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“CRO” or “Contract Research Organization” </w:t>
      </w:r>
      <w:r>
        <w:rPr>
          <w:rFonts w:ascii="Times New Roman" w:cs="Times New Roman" w:eastAsia="Times New Roman" w:hAnsi="Times New Roman"/>
          <w:sz w:val="18"/>
          <w:szCs w:val="18"/>
          <w:color w:val="auto"/>
        </w:rPr>
        <w:t>means a Third Party with which a Party has contracted to conduct, organize, monitor,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oversee Clinical Trials of one or more Products on behalf of such Party, other than a bona fide collaborator of such Party (e.g., a Third Party with whom such Party can jointly develop any other product).</w:t>
      </w:r>
    </w:p>
    <w:p>
      <w:pPr>
        <w:spacing w:after="0" w:line="173" w:lineRule="exact"/>
        <w:rPr>
          <w:sz w:val="20"/>
          <w:szCs w:val="20"/>
          <w:color w:val="auto"/>
        </w:rPr>
      </w:pPr>
    </w:p>
    <w:p>
      <w:pPr>
        <w:ind w:left="2" w:right="140" w:firstLine="432"/>
        <w:spacing w:after="0" w:line="269" w:lineRule="auto"/>
        <w:rPr>
          <w:sz w:val="20"/>
          <w:szCs w:val="20"/>
          <w:color w:val="auto"/>
        </w:rPr>
      </w:pPr>
      <w:r>
        <w:rPr>
          <w:rFonts w:ascii="Times New Roman" w:cs="Times New Roman" w:eastAsia="Times New Roman" w:hAnsi="Times New Roman"/>
          <w:sz w:val="17"/>
          <w:szCs w:val="17"/>
          <w:b w:val="1"/>
          <w:bCs w:val="1"/>
          <w:color w:val="auto"/>
        </w:rPr>
        <w:t>1.34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“Development Program” </w:t>
      </w:r>
      <w:r>
        <w:rPr>
          <w:rFonts w:ascii="Times New Roman" w:cs="Times New Roman" w:eastAsia="Times New Roman" w:hAnsi="Times New Roman"/>
          <w:sz w:val="17"/>
          <w:szCs w:val="17"/>
          <w:color w:val="auto"/>
        </w:rPr>
        <w:t>means the development activities conducted by the Parties pursuant to</w:t>
      </w:r>
      <w:r>
        <w:rPr>
          <w:rFonts w:ascii="Times New Roman" w:cs="Times New Roman" w:eastAsia="Times New Roman" w:hAnsi="Times New Roman"/>
          <w:sz w:val="17"/>
          <w:szCs w:val="17"/>
          <w:b w:val="1"/>
          <w:bCs w:val="1"/>
          <w:color w:val="auto"/>
        </w:rPr>
        <w:t xml:space="preserve"> Article 2 (Development Program)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one or more Development Plan(s) solely in and for the Territory. For the avoidance of doubt the Development Program excludes those activities conducted in the Lepu Territory and the CG Territory, except with respect to (i) P3 Trial activities in the Territory and in the CG Territory and</w:t>
      </w:r>
    </w:p>
    <w:p>
      <w:pPr>
        <w:ind w:left="2" w:right="800" w:hanging="2"/>
        <w:spacing w:after="0" w:line="251" w:lineRule="auto"/>
        <w:tabs>
          <w:tab w:leader="none" w:pos="262"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exchange with respect to CG Territory Activities, in both cases of (i) and (ii) above, solely to the extent included in the Initial Development Plan by the Parties prior to formation of the JDC and by the JDC thereafter.</w:t>
      </w:r>
    </w:p>
    <w:p>
      <w:pPr>
        <w:spacing w:after="0" w:line="182" w:lineRule="exact"/>
        <w:rPr>
          <w:sz w:val="20"/>
          <w:szCs w:val="20"/>
          <w:color w:val="auto"/>
        </w:rPr>
      </w:pPr>
    </w:p>
    <w:p>
      <w:pPr>
        <w:ind w:left="2" w:right="220" w:firstLine="432"/>
        <w:spacing w:after="0" w:line="283" w:lineRule="auto"/>
        <w:rPr>
          <w:sz w:val="20"/>
          <w:szCs w:val="20"/>
          <w:color w:val="auto"/>
        </w:rPr>
      </w:pPr>
      <w:r>
        <w:rPr>
          <w:rFonts w:ascii="Times New Roman" w:cs="Times New Roman" w:eastAsia="Times New Roman" w:hAnsi="Times New Roman"/>
          <w:sz w:val="17"/>
          <w:szCs w:val="17"/>
          <w:b w:val="1"/>
          <w:bCs w:val="1"/>
          <w:color w:val="auto"/>
        </w:rPr>
        <w:t>1.35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“Encumbrance” </w:t>
      </w:r>
      <w:r>
        <w:rPr>
          <w:rFonts w:ascii="Times New Roman" w:cs="Times New Roman" w:eastAsia="Times New Roman" w:hAnsi="Times New Roman"/>
          <w:sz w:val="17"/>
          <w:szCs w:val="17"/>
          <w:color w:val="auto"/>
        </w:rPr>
        <w:t>means any claim, charge, equitable interest, hypothecation, lien, mortgage, pledge, option, license, lease, assignment,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power of sale, retention of title, right of pre-emption, right of first refusal, security interest or any other encumbrance of any kind, other than (a) the terms and conditions of the Development and License Agreement between CG, Inc. and Lepu Biotech Co., Ltd. or (b) as identified on </w:t>
      </w:r>
      <w:r>
        <w:rPr>
          <w:rFonts w:ascii="Times New Roman" w:cs="Times New Roman" w:eastAsia="Times New Roman" w:hAnsi="Times New Roman"/>
          <w:sz w:val="17"/>
          <w:szCs w:val="17"/>
          <w:b w:val="1"/>
          <w:bCs w:val="1"/>
          <w:color w:val="auto"/>
        </w:rPr>
        <w:t>Schedule 1.35</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2" w:right="20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“Existing In-License” </w:t>
      </w:r>
      <w:r>
        <w:rPr>
          <w:rFonts w:ascii="Times New Roman" w:cs="Times New Roman" w:eastAsia="Times New Roman" w:hAnsi="Times New Roman"/>
          <w:sz w:val="18"/>
          <w:szCs w:val="18"/>
          <w:color w:val="auto"/>
        </w:rPr>
        <w:t>means, individually, each of the license agreements listed on</w:t>
      </w:r>
      <w:r>
        <w:rPr>
          <w:rFonts w:ascii="Times New Roman" w:cs="Times New Roman" w:eastAsia="Times New Roman" w:hAnsi="Times New Roman"/>
          <w:sz w:val="18"/>
          <w:szCs w:val="18"/>
          <w:b w:val="1"/>
          <w:bCs w:val="1"/>
          <w:color w:val="auto"/>
        </w:rPr>
        <w:t xml:space="preserve"> Schedule 1.36 </w:t>
      </w:r>
      <w:r>
        <w:rPr>
          <w:rFonts w:ascii="Times New Roman" w:cs="Times New Roman" w:eastAsia="Times New Roman" w:hAnsi="Times New Roman"/>
          <w:sz w:val="18"/>
          <w:szCs w:val="18"/>
          <w:color w:val="auto"/>
        </w:rPr>
        <w:t>between CG and the Third Party(ies)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identified on such Schedule in effect as of the Effective Date.</w:t>
      </w:r>
    </w:p>
    <w:p>
      <w:pPr>
        <w:spacing w:after="0" w:line="160" w:lineRule="exact"/>
        <w:rPr>
          <w:sz w:val="20"/>
          <w:szCs w:val="20"/>
          <w:color w:val="auto"/>
        </w:rPr>
      </w:pPr>
    </w:p>
    <w:p>
      <w:pPr>
        <w:ind w:left="2" w:right="2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1.37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“Export Control Laws” </w:t>
      </w:r>
      <w:r>
        <w:rPr>
          <w:rFonts w:ascii="Times New Roman" w:cs="Times New Roman" w:eastAsia="Times New Roman" w:hAnsi="Times New Roman"/>
          <w:sz w:val="18"/>
          <w:szCs w:val="18"/>
          <w:color w:val="auto"/>
        </w:rPr>
        <w:t>means all Applicable Laws relating to (a) sanctions and embargoes imposed by the Office of Foreign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of the U.S. Department of Treasury or (b) the export or re-export of commodities, technologies, or services, including the Export Administration Act of 1979, 24 U.S.C. §§ 2401-2420, the International Emergency Economic Powers Act, 50 U.S.C. §§ 1701-1706, the Trading with the Enemy Act, 50 U.S.C. §§ 1 et. seq., the Arms Export Control Act, 22 U.S.C. §§ 2778 and 2779, and the International Boycott Provisions of Section 999 of the U.S. Internal Revenue Code of 1986, in each case, as amended.</w:t>
      </w:r>
    </w:p>
    <w:p>
      <w:pPr>
        <w:spacing w:after="0" w:line="181"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1.38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“FDA” </w:t>
      </w:r>
      <w:r>
        <w:rPr>
          <w:rFonts w:ascii="Times New Roman" w:cs="Times New Roman" w:eastAsia="Times New Roman" w:hAnsi="Times New Roman"/>
          <w:sz w:val="18"/>
          <w:szCs w:val="18"/>
          <w:color w:val="auto"/>
        </w:rPr>
        <w:t>means the United States Food and Drug Administration, or any successor entity thereto performing similar functions.</w:t>
      </w:r>
    </w:p>
    <w:p>
      <w:pPr>
        <w:spacing w:after="0" w:line="21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1.39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“Field” </w:t>
      </w:r>
      <w:r>
        <w:rPr>
          <w:rFonts w:ascii="Times New Roman" w:cs="Times New Roman" w:eastAsia="Times New Roman" w:hAnsi="Times New Roman"/>
          <w:sz w:val="18"/>
          <w:szCs w:val="18"/>
          <w:color w:val="auto"/>
        </w:rPr>
        <w:t>means all uses for an oncology Indication.</w:t>
      </w:r>
    </w:p>
    <w:p>
      <w:pPr>
        <w:spacing w:after="0" w:line="217" w:lineRule="exact"/>
        <w:rPr>
          <w:sz w:val="20"/>
          <w:szCs w:val="20"/>
          <w:color w:val="auto"/>
        </w:rPr>
      </w:pPr>
    </w:p>
    <w:p>
      <w:pPr>
        <w:ind w:left="2" w:right="2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1.40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“First Commercial Sale” </w:t>
      </w:r>
      <w:r>
        <w:rPr>
          <w:rFonts w:ascii="Times New Roman" w:cs="Times New Roman" w:eastAsia="Times New Roman" w:hAnsi="Times New Roman"/>
          <w:sz w:val="18"/>
          <w:szCs w:val="18"/>
          <w:color w:val="auto"/>
        </w:rPr>
        <w:t>means, with respect to a particular Product in a given country, the first bona fide commercial sale to a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of such Product following Marketing Approval in such country by or under authority of a Party or any of its Affiliates (or any of its or their sublicensees hereunder). For clarity, sales or other dispositions under Compulsory Sublicenses, for Clinical Trial or other scientific testing purposes, as free samples, under named patient use, patient assistance, charitable purposes, early access or compassionate use programs, or similar uses, programs, or studies, shall not constitute a First Commercial Sale.</w:t>
      </w:r>
    </w:p>
    <w:p>
      <w:pPr>
        <w:spacing w:after="0" w:line="11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2"/>
          </w:cols>
          <w:pgMar w:left="538" w:top="265" w:right="559" w:bottom="1440" w:gutter="0" w:footer="0" w:header="0"/>
        </w:sectPr>
      </w:pPr>
    </w:p>
    <w:bookmarkStart w:id="463" w:name="page464"/>
    <w:bookmarkEnd w:id="463"/>
    <w:p>
      <w:pPr>
        <w:ind w:right="8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“FTE” </w:t>
      </w:r>
      <w:r>
        <w:rPr>
          <w:rFonts w:ascii="Times New Roman" w:cs="Times New Roman" w:eastAsia="Times New Roman" w:hAnsi="Times New Roman"/>
          <w:sz w:val="18"/>
          <w:szCs w:val="18"/>
          <w:color w:val="auto"/>
        </w:rPr>
        <w:t>means the equivalent of the work of one employee full time for a twelve (12) month period of work directly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Program, including experimental laboratory work, recording and writing up results, reviewing literature and references, holding scientific discussions, managing and leading scientific staff, carrying out management duties related to the Development Program, writing up results for publications or presentation and attending or presenting appropriate education programs, seminars and symposia.</w:t>
      </w:r>
    </w:p>
    <w:p>
      <w:pPr>
        <w:spacing w:after="0" w:line="177" w:lineRule="exact"/>
        <w:rPr>
          <w:sz w:val="20"/>
          <w:szCs w:val="20"/>
          <w:color w:val="auto"/>
        </w:rPr>
      </w:pPr>
    </w:p>
    <w:p>
      <w:pPr>
        <w:ind w:right="18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“GMP” </w:t>
      </w:r>
      <w:r>
        <w:rPr>
          <w:rFonts w:ascii="Times New Roman" w:cs="Times New Roman" w:eastAsia="Times New Roman" w:hAnsi="Times New Roman"/>
          <w:sz w:val="18"/>
          <w:szCs w:val="18"/>
          <w:color w:val="auto"/>
        </w:rPr>
        <w:t>means, applicable good manufacturing practices in effect in the United States, respectively, during the Term and,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jurisdiction, manufacturing practices equivalent to good manufacturing practices then in effect in the United States.</w:t>
      </w:r>
    </w:p>
    <w:p>
      <w:pPr>
        <w:spacing w:after="0" w:line="160"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“IND” </w:t>
      </w:r>
      <w:r>
        <w:rPr>
          <w:rFonts w:ascii="Times New Roman" w:cs="Times New Roman" w:eastAsia="Times New Roman" w:hAnsi="Times New Roman"/>
          <w:sz w:val="18"/>
          <w:szCs w:val="18"/>
          <w:color w:val="auto"/>
        </w:rPr>
        <w:t>means an investigational new drug application filed with the FDA pursuant to 21 CFR Part 312 before the commencement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trials of a product, or any comparable filing with any relevant regulatory authority in any other jurisdiction including under MHLW and PMDA regulations in Japan.</w:t>
      </w:r>
    </w:p>
    <w:p>
      <w:pPr>
        <w:spacing w:after="0" w:line="173" w:lineRule="exact"/>
        <w:rPr>
          <w:sz w:val="20"/>
          <w:szCs w:val="20"/>
          <w:color w:val="auto"/>
        </w:rPr>
      </w:pPr>
    </w:p>
    <w:p>
      <w:pPr>
        <w:ind w:firstLine="432"/>
        <w:spacing w:after="0" w:line="248" w:lineRule="auto"/>
        <w:rPr>
          <w:sz w:val="20"/>
          <w:szCs w:val="20"/>
          <w:color w:val="auto"/>
        </w:rPr>
      </w:pPr>
      <w:r>
        <w:rPr>
          <w:rFonts w:ascii="Times New Roman" w:cs="Times New Roman" w:eastAsia="Times New Roman" w:hAnsi="Times New Roman"/>
          <w:sz w:val="18"/>
          <w:szCs w:val="18"/>
          <w:b w:val="1"/>
          <w:bCs w:val="1"/>
          <w:color w:val="auto"/>
        </w:rPr>
        <w:t>1.44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“Indication” </w:t>
      </w:r>
      <w:r>
        <w:rPr>
          <w:rFonts w:ascii="Times New Roman" w:cs="Times New Roman" w:eastAsia="Times New Roman" w:hAnsi="Times New Roman"/>
          <w:sz w:val="18"/>
          <w:szCs w:val="18"/>
          <w:color w:val="auto"/>
        </w:rPr>
        <w:t>means the intended use of a Product for therapeutic treatment of a distinct disease or medical condition, regardless of the size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patient class, for which any Marketing Approval is being sought and which will be referenced in detail on such Product labeling. All variants, including histological variants, of a single disease or medical condition (whether classified by severity or otherwise), regardless of the patient population, shall be treated as the distinct Indications, provided there are distinct labels in the Marketing Approval Application approved by the applicable Regulatory Authority. By way of example, but not limitation, (i) the treatment of a disease or medical condition in a particular patient population and the treatment of the same disease or medical condition in another population (e.g., adult population and pediatric population) shall be treated as a distinct Indication if more than one label is approved by the applicable Regulatory Authority, (ii) label extensions (including front line, second line, third line, metastatic, adjuvant, etc.) shall be treated as distinct additional Indications if a label is extended by the applicable Regulatory Authority (e.g., an MAA approval for BCG-unresponsive patients is a distinct indication from a label extension adding front line BCG naïve patients), and (iii) combination therapy or combination Products containing more than one active moiety (other than the Collaboration Compound plus DDM) that contain different labels (for example, additional patient subtypes) than monotherapy shall be treated as distinct indications. For clarity, and subject to the foregoing, (a) label expansions shall not be deemed to be separate Indications (e.g., an MAA approval for BCG unresponsive CIS patients is not a separate indication from a label expansion to add BCG unresponsive Ta/T1 patients); (b) dosing changes shall not be deemed to be separate Indications; and (c) Indication includes the intended evaluation of a Collaboration Compound or a Product for therapeutic treatment of a distinct disease or medical condition in the relevant preclinical study or Clinical Trial.</w:t>
      </w:r>
    </w:p>
    <w:p>
      <w:pPr>
        <w:spacing w:after="0" w:line="184" w:lineRule="exact"/>
        <w:rPr>
          <w:sz w:val="20"/>
          <w:szCs w:val="20"/>
          <w:color w:val="auto"/>
        </w:rPr>
      </w:pPr>
    </w:p>
    <w:p>
      <w:pPr>
        <w:ind w:right="60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“Initial Indication” </w:t>
      </w:r>
      <w:r>
        <w:rPr>
          <w:rFonts w:ascii="Times New Roman" w:cs="Times New Roman" w:eastAsia="Times New Roman" w:hAnsi="Times New Roman"/>
          <w:sz w:val="18"/>
          <w:szCs w:val="18"/>
          <w:color w:val="auto"/>
        </w:rPr>
        <w:t>means bacillus Calmette-Guerin (BCG) unresponsive urothelial carcinoma in situ (CIS) subtype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non-muscle-invasive bladder cancer (NMIBC), or any replacement initial Indication identified by the JDC, including in response to input by the applicable Regulatory Authority.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80"/>
          </w:cols>
          <w:pgMar w:left="540" w:top="265" w:right="579" w:bottom="1440" w:gutter="0" w:footer="0" w:header="0"/>
        </w:sectPr>
      </w:pPr>
    </w:p>
    <w:bookmarkStart w:id="464" w:name="page465"/>
    <w:bookmarkEnd w:id="464"/>
    <w:p>
      <w:pPr>
        <w:ind w:right="18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“Inventor” </w:t>
      </w:r>
      <w:r>
        <w:rPr>
          <w:rFonts w:ascii="Times New Roman" w:cs="Times New Roman" w:eastAsia="Times New Roman" w:hAnsi="Times New Roman"/>
          <w:sz w:val="18"/>
          <w:szCs w:val="18"/>
          <w:color w:val="auto"/>
        </w:rPr>
        <w:t>means an individual that discovered or made, in whole or in part, Know-How or subject matter disclosed in a Patent and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individual’s contribution to such Know-How or subject matter meets the legal standard of inventorship in accordance with United States patent laws for determining inventorship, irrespective of the jurisdiction where such Know-How or subject matter was conceived or made.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“Joint Collaboration IP” </w:t>
      </w:r>
      <w:r>
        <w:rPr>
          <w:rFonts w:ascii="Times New Roman" w:cs="Times New Roman" w:eastAsia="Times New Roman" w:hAnsi="Times New Roman"/>
          <w:sz w:val="18"/>
          <w:szCs w:val="18"/>
          <w:color w:val="auto"/>
        </w:rPr>
        <w:t>means the Joint Collaboration Know-How and the Joint Collaboration Patents.</w:t>
      </w:r>
    </w:p>
    <w:p>
      <w:pPr>
        <w:spacing w:after="0" w:line="217"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1.48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“Joint Collaboration Know-How” </w:t>
      </w:r>
      <w:r>
        <w:rPr>
          <w:rFonts w:ascii="Times New Roman" w:cs="Times New Roman" w:eastAsia="Times New Roman" w:hAnsi="Times New Roman"/>
          <w:sz w:val="18"/>
          <w:szCs w:val="18"/>
          <w:color w:val="auto"/>
        </w:rPr>
        <w:t>means Collaboration Know-How (a) generated, discovered or obtained by (i) at least one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consultant or agent of Kissei or its Affiliates, and (ii) at least one employee, consultant or agent of CG or its Affiliates and (b) without use of any Kissei IP that is not Kissei Collaboration IP (other than incidental use of such Kissei IP, as determined pursuant to </w:t>
      </w:r>
      <w:r>
        <w:rPr>
          <w:rFonts w:ascii="Times New Roman" w:cs="Times New Roman" w:eastAsia="Times New Roman" w:hAnsi="Times New Roman"/>
          <w:sz w:val="18"/>
          <w:szCs w:val="18"/>
          <w:b w:val="1"/>
          <w:bCs w:val="1"/>
          <w:color w:val="auto"/>
        </w:rPr>
        <w:t>Section 3.2.2(c) (JPWG Responsibilities)</w:t>
      </w:r>
      <w:r>
        <w:rPr>
          <w:rFonts w:ascii="Times New Roman" w:cs="Times New Roman" w:eastAsia="Times New Roman" w:hAnsi="Times New Roman"/>
          <w:sz w:val="18"/>
          <w:szCs w:val="18"/>
          <w:color w:val="auto"/>
        </w:rPr>
        <w:t xml:space="preserve">). For clarity, Joint Collaboration Know-How includes any Know-How that is deemed Joint Collaboration Know-How pursuant to </w:t>
      </w:r>
      <w:r>
        <w:rPr>
          <w:rFonts w:ascii="Times New Roman" w:cs="Times New Roman" w:eastAsia="Times New Roman" w:hAnsi="Times New Roman"/>
          <w:sz w:val="18"/>
          <w:szCs w:val="18"/>
          <w:b w:val="1"/>
          <w:bCs w:val="1"/>
          <w:color w:val="auto"/>
        </w:rPr>
        <w:t>Section 3.2.2(c)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(JPWG Responsibilities)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“Joint Collaboration Patents” </w:t>
      </w:r>
      <w:r>
        <w:rPr>
          <w:rFonts w:ascii="Times New Roman" w:cs="Times New Roman" w:eastAsia="Times New Roman" w:hAnsi="Times New Roman"/>
          <w:sz w:val="18"/>
          <w:szCs w:val="18"/>
          <w:color w:val="auto"/>
        </w:rPr>
        <w:t>means Patents claiming Joint Collaboration Know-How and which name (a) one employee, consultant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of Kissei or its Affiliates as an Inventor and (b) one employee, consultant or agent of CG or its Affiliates as an Inventor. For purposes of clarity, Patents that claim Joint Collaboration Know-How shall constitute Joint Collaboration Patents (and shall not constitute Kissei Patents even if such Patents also claim Kissei Know-How nor CG Patents even if such Patents also claim CG Know-How).</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“Kissei Collaboration IP” </w:t>
      </w:r>
      <w:r>
        <w:rPr>
          <w:rFonts w:ascii="Times New Roman" w:cs="Times New Roman" w:eastAsia="Times New Roman" w:hAnsi="Times New Roman"/>
          <w:sz w:val="18"/>
          <w:szCs w:val="18"/>
          <w:color w:val="auto"/>
        </w:rPr>
        <w:t>means Kissei Collaboration Know-How and Kissei Collaboration Patents.</w:t>
      </w:r>
    </w:p>
    <w:p>
      <w:pPr>
        <w:spacing w:after="0" w:line="217" w:lineRule="exact"/>
        <w:rPr>
          <w:sz w:val="20"/>
          <w:szCs w:val="20"/>
          <w:color w:val="auto"/>
        </w:rPr>
      </w:pPr>
    </w:p>
    <w:p>
      <w:pPr>
        <w:ind w:right="160" w:firstLine="432"/>
        <w:spacing w:after="0" w:line="306" w:lineRule="auto"/>
        <w:rPr>
          <w:sz w:val="20"/>
          <w:szCs w:val="20"/>
          <w:color w:val="auto"/>
        </w:rPr>
      </w:pPr>
      <w:r>
        <w:rPr>
          <w:rFonts w:ascii="Times New Roman" w:cs="Times New Roman" w:eastAsia="Times New Roman" w:hAnsi="Times New Roman"/>
          <w:sz w:val="17"/>
          <w:szCs w:val="17"/>
          <w:b w:val="1"/>
          <w:bCs w:val="1"/>
          <w:color w:val="auto"/>
        </w:rPr>
        <w:t>1.51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“Kissei Collaboration Know-How” </w:t>
      </w:r>
      <w:r>
        <w:rPr>
          <w:rFonts w:ascii="Times New Roman" w:cs="Times New Roman" w:eastAsia="Times New Roman" w:hAnsi="Times New Roman"/>
          <w:sz w:val="17"/>
          <w:szCs w:val="17"/>
          <w:color w:val="auto"/>
        </w:rPr>
        <w:t>means Collaboration Know-How that is generated, discovered or obtained by or on behalf of Kissei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its Affiliates during the Term of this Agreement, without the inventive contribution of any employee, consultant or agent of CG or its Affiliates.</w:t>
      </w:r>
    </w:p>
    <w:p>
      <w:pPr>
        <w:spacing w:after="0" w:line="138"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“Kissei Collaboration Patents” </w:t>
      </w:r>
      <w:r>
        <w:rPr>
          <w:rFonts w:ascii="Times New Roman" w:cs="Times New Roman" w:eastAsia="Times New Roman" w:hAnsi="Times New Roman"/>
          <w:sz w:val="18"/>
          <w:szCs w:val="18"/>
          <w:color w:val="auto"/>
        </w:rPr>
        <w:t>means (a) Patents claiming Kissei Collaboration Know-How and (b) Patents claiming Know-How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discovered or obtained by or on behalf of Kissei or its sublicensees in the course of clinical development of a Product during the Development Program for such Product and ending on the Marketing Approval of such Product anywhere in the Territory. Kissei Collaboration Patents exclude Joint Collaboration Patents.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“Kissei IP” </w:t>
      </w:r>
      <w:r>
        <w:rPr>
          <w:rFonts w:ascii="Times New Roman" w:cs="Times New Roman" w:eastAsia="Times New Roman" w:hAnsi="Times New Roman"/>
          <w:sz w:val="18"/>
          <w:szCs w:val="18"/>
          <w:color w:val="auto"/>
        </w:rPr>
        <w:t>means the Kissei Know-How and Kissei Patents.</w:t>
      </w:r>
    </w:p>
    <w:p>
      <w:pPr>
        <w:spacing w:after="0" w:line="217"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“Kissei Know-How” </w:t>
      </w:r>
      <w:r>
        <w:rPr>
          <w:rFonts w:ascii="Times New Roman" w:cs="Times New Roman" w:eastAsia="Times New Roman" w:hAnsi="Times New Roman"/>
          <w:sz w:val="18"/>
          <w:szCs w:val="18"/>
          <w:color w:val="auto"/>
        </w:rPr>
        <w:t>means Know-How (a) Controlled by Kissei as of the Effective Date or during the Term of this Agreement and (b)(i)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Parties agree to the use in the conduct of the Development Program pursuant to </w:t>
      </w:r>
      <w:r>
        <w:rPr>
          <w:rFonts w:ascii="Times New Roman" w:cs="Times New Roman" w:eastAsia="Times New Roman" w:hAnsi="Times New Roman"/>
          <w:sz w:val="18"/>
          <w:szCs w:val="18"/>
          <w:b w:val="1"/>
          <w:bCs w:val="1"/>
          <w:color w:val="auto"/>
        </w:rPr>
        <w:t>Sections 2.1 (General)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4.2.3 (Other Kissei IP)</w:t>
      </w:r>
      <w:r>
        <w:rPr>
          <w:rFonts w:ascii="Times New Roman" w:cs="Times New Roman" w:eastAsia="Times New Roman" w:hAnsi="Times New Roman"/>
          <w:sz w:val="18"/>
          <w:szCs w:val="18"/>
          <w:color w:val="auto"/>
        </w:rPr>
        <w:t xml:space="preserve"> or (ii) Kissei incorporates into or uses for the purposes of a Product hereunder. For clarity, Kissei Know-How (a) includes Kissei Collaboration Know-How and (b) excludes Joint Collaboration Know-How.</w:t>
      </w:r>
    </w:p>
    <w:p>
      <w:pPr>
        <w:spacing w:after="0" w:line="177"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“Kissei Patents” </w:t>
      </w:r>
      <w:r>
        <w:rPr>
          <w:rFonts w:ascii="Times New Roman" w:cs="Times New Roman" w:eastAsia="Times New Roman" w:hAnsi="Times New Roman"/>
          <w:sz w:val="18"/>
          <w:szCs w:val="18"/>
          <w:color w:val="auto"/>
        </w:rPr>
        <w:t>means all Patents (a) Controlled by Kissei as of the Effective Date or during the Term of this Agreement and (b) claiming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Kissei Know-How. Kissei Patents exclude Joint Collaboration Patents.</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80"/>
          </w:cols>
          <w:pgMar w:left="540" w:top="265" w:right="579" w:bottom="1440" w:gutter="0" w:footer="0" w:header="0"/>
        </w:sectPr>
      </w:pPr>
    </w:p>
    <w:bookmarkStart w:id="465" w:name="page466"/>
    <w:bookmarkEnd w:id="465"/>
    <w:p>
      <w:pPr>
        <w:ind w:right="8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1.56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“Know-How” </w:t>
      </w:r>
      <w:r>
        <w:rPr>
          <w:rFonts w:ascii="Times New Roman" w:cs="Times New Roman" w:eastAsia="Times New Roman" w:hAnsi="Times New Roman"/>
          <w:sz w:val="18"/>
          <w:szCs w:val="18"/>
          <w:color w:val="auto"/>
        </w:rPr>
        <w:t>means all information, inventions (whether or not patentable), improvements, practices, formula, trade secrets, techniques,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methods, procedures, knowledge, results, test data (including pharmacological, toxicological, pharmacokinetic and pre-clinical and clinical information and test data, related reports, structure-activity relationship data and statistical analysis), analytical and quality control data, protocols, processes, models, designs, and other information regarding discovery, development, marketing, pricing, distribution, cost, sales and manufacturing. Know-How excludes any Patents.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“Lepu Territory” </w:t>
      </w:r>
      <w:r>
        <w:rPr>
          <w:rFonts w:ascii="Times New Roman" w:cs="Times New Roman" w:eastAsia="Times New Roman" w:hAnsi="Times New Roman"/>
          <w:sz w:val="18"/>
          <w:szCs w:val="18"/>
          <w:color w:val="auto"/>
        </w:rPr>
        <w:t>means mainland China, Hong Kong and Macau.</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“Licensed Intellectual Property” </w:t>
      </w:r>
      <w:r>
        <w:rPr>
          <w:rFonts w:ascii="Times New Roman" w:cs="Times New Roman" w:eastAsia="Times New Roman" w:hAnsi="Times New Roman"/>
          <w:sz w:val="18"/>
          <w:szCs w:val="18"/>
          <w:color w:val="auto"/>
        </w:rPr>
        <w:t>means CG IP and CG’s interest in the Joint Collaboration IP.</w:t>
      </w:r>
    </w:p>
    <w:p>
      <w:pPr>
        <w:spacing w:after="0" w:line="217" w:lineRule="exact"/>
        <w:rPr>
          <w:sz w:val="20"/>
          <w:szCs w:val="20"/>
          <w:color w:val="auto"/>
        </w:rPr>
      </w:pPr>
    </w:p>
    <w:p>
      <w:pPr>
        <w:ind w:right="80" w:firstLine="432"/>
        <w:spacing w:after="0" w:line="269" w:lineRule="auto"/>
        <w:rPr>
          <w:sz w:val="20"/>
          <w:szCs w:val="20"/>
          <w:color w:val="auto"/>
        </w:rPr>
      </w:pPr>
      <w:r>
        <w:rPr>
          <w:rFonts w:ascii="Times New Roman" w:cs="Times New Roman" w:eastAsia="Times New Roman" w:hAnsi="Times New Roman"/>
          <w:sz w:val="17"/>
          <w:szCs w:val="17"/>
          <w:b w:val="1"/>
          <w:bCs w:val="1"/>
          <w:color w:val="auto"/>
        </w:rPr>
        <w:t>1.59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“Marketing Approval” </w:t>
      </w:r>
      <w:r>
        <w:rPr>
          <w:rFonts w:ascii="Times New Roman" w:cs="Times New Roman" w:eastAsia="Times New Roman" w:hAnsi="Times New Roman"/>
          <w:sz w:val="17"/>
          <w:szCs w:val="17"/>
          <w:color w:val="auto"/>
        </w:rPr>
        <w:t>means all approvals, licenses, registrations or authorizations of any federal, state or local regulatory agency,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department, bureau or other governmental entity, necessary for the manufacturing, use, storage, import, transport and sale of Products in a country or regulatory jurisdiction. For countries where governmental approval is required for pricing or reimbursement for a Product, “Marketing Approval” shall not be deemed to occur until such pricing or reimbursement approval is obtained for such Product. For clarity, for the United States no governmental approval is required, and shall not be deemed required, for pricing or reimbursement for a Product unless and until the U.S. federal governmental approval is required for pricing or reimbursement for such Product under the federal Medicare or Medicaid program or any successor programs thereto.</w:t>
      </w:r>
    </w:p>
    <w:p>
      <w:pPr>
        <w:spacing w:after="0" w:line="16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1.60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“Marketing Approval Application” </w:t>
      </w:r>
      <w:r>
        <w:rPr>
          <w:rFonts w:ascii="Times New Roman" w:cs="Times New Roman" w:eastAsia="Times New Roman" w:hAnsi="Times New Roman"/>
          <w:sz w:val="18"/>
          <w:szCs w:val="18"/>
          <w:color w:val="auto"/>
        </w:rPr>
        <w:t>means BLA, sBLA, NDA, sNDA and any equivalent thereof in the United States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 or jurisdiction in the world including Japan pursuant to MHLW and PMDA regulations. As used herein: “</w:t>
      </w:r>
      <w:r>
        <w:rPr>
          <w:rFonts w:ascii="Times New Roman" w:cs="Times New Roman" w:eastAsia="Times New Roman" w:hAnsi="Times New Roman"/>
          <w:sz w:val="18"/>
          <w:szCs w:val="18"/>
          <w:b w:val="1"/>
          <w:bCs w:val="1"/>
          <w:color w:val="auto"/>
        </w:rPr>
        <w:t>BLA</w:t>
      </w:r>
      <w:r>
        <w:rPr>
          <w:rFonts w:ascii="Times New Roman" w:cs="Times New Roman" w:eastAsia="Times New Roman" w:hAnsi="Times New Roman"/>
          <w:sz w:val="18"/>
          <w:szCs w:val="18"/>
          <w:color w:val="auto"/>
        </w:rPr>
        <w:t>” means a Biologics License Application and amendments thereto filed pursuant to the requirements of the FDA, as defined in 21 C.F.R. § 600 et seq., for FDA approval of a Product and “</w:t>
      </w:r>
      <w:r>
        <w:rPr>
          <w:rFonts w:ascii="Times New Roman" w:cs="Times New Roman" w:eastAsia="Times New Roman" w:hAnsi="Times New Roman"/>
          <w:sz w:val="18"/>
          <w:szCs w:val="18"/>
          <w:b w:val="1"/>
          <w:bCs w:val="1"/>
          <w:color w:val="auto"/>
        </w:rPr>
        <w:t>sBLA</w:t>
      </w:r>
      <w:r>
        <w:rPr>
          <w:rFonts w:ascii="Times New Roman" w:cs="Times New Roman" w:eastAsia="Times New Roman" w:hAnsi="Times New Roman"/>
          <w:sz w:val="18"/>
          <w:szCs w:val="18"/>
          <w:color w:val="auto"/>
        </w:rPr>
        <w:t>” means a supplemental BLA; and “NDA” means a New Drug Application and amendments thereto filed pursuant to the requirements of the FDA, as defined in 21 C.F.R. § 314 et seq., for FDA approval of a Product and “</w:t>
      </w:r>
      <w:r>
        <w:rPr>
          <w:rFonts w:ascii="Times New Roman" w:cs="Times New Roman" w:eastAsia="Times New Roman" w:hAnsi="Times New Roman"/>
          <w:sz w:val="18"/>
          <w:szCs w:val="18"/>
          <w:b w:val="1"/>
          <w:bCs w:val="1"/>
          <w:color w:val="auto"/>
        </w:rPr>
        <w:t>sNDA</w:t>
      </w:r>
      <w:r>
        <w:rPr>
          <w:rFonts w:ascii="Times New Roman" w:cs="Times New Roman" w:eastAsia="Times New Roman" w:hAnsi="Times New Roman"/>
          <w:sz w:val="18"/>
          <w:szCs w:val="18"/>
          <w:color w:val="auto"/>
        </w:rPr>
        <w:t>” means a supplemental NDA.</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“MHLW” </w:t>
      </w:r>
      <w:r>
        <w:rPr>
          <w:rFonts w:ascii="Times New Roman" w:cs="Times New Roman" w:eastAsia="Times New Roman" w:hAnsi="Times New Roman"/>
          <w:sz w:val="18"/>
          <w:szCs w:val="18"/>
          <w:color w:val="auto"/>
        </w:rPr>
        <w:t>means the Ministry of Health, Labour, and Welfare of Japan or any successor entity thereto performing similar functions.</w:t>
      </w:r>
    </w:p>
    <w:p>
      <w:pPr>
        <w:spacing w:after="0" w:line="217" w:lineRule="exact"/>
        <w:rPr>
          <w:sz w:val="20"/>
          <w:szCs w:val="20"/>
          <w:color w:val="auto"/>
        </w:rPr>
      </w:pPr>
    </w:p>
    <w:p>
      <w:pPr>
        <w:ind w:right="36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“Net Sales” </w:t>
      </w:r>
      <w:r>
        <w:rPr>
          <w:rFonts w:ascii="Times New Roman" w:cs="Times New Roman" w:eastAsia="Times New Roman" w:hAnsi="Times New Roman"/>
          <w:sz w:val="18"/>
          <w:szCs w:val="18"/>
          <w:color w:val="auto"/>
        </w:rPr>
        <w:t>means, with respect to any Product, the gross amounts invoiced by each Party, its Affiliates or sublicensees to 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for sales or other transfers or disposition of a Product, less:</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 and</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0"/>
          </w:cols>
          <w:pgMar w:left="540" w:top="265" w:right="579" w:bottom="1440" w:gutter="0" w:footer="0" w:header="0"/>
        </w:sectPr>
      </w:pPr>
    </w:p>
    <w:bookmarkStart w:id="466" w:name="page467"/>
    <w:bookmarkEnd w:id="466"/>
    <w:p>
      <w:pPr>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Net Sales shall be calculated on an accrual basis in accordance with the then-currently used Accounting Standard. In no event shall Net Sales be deemed to occur in the case of transfers of samples, product development, clinical research or similar transfers.</w:t>
      </w:r>
    </w:p>
    <w:p>
      <w:pPr>
        <w:spacing w:after="0" w:line="1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In the event a Product is sold for a single price in combination (in the same package, including as a co-formulation, or under the same label) with one or more additional active ingredients that are not Products (each such additional active ingredient, an “</w:t>
      </w:r>
      <w:r>
        <w:rPr>
          <w:rFonts w:ascii="Times New Roman" w:cs="Times New Roman" w:eastAsia="Times New Roman" w:hAnsi="Times New Roman"/>
          <w:sz w:val="17"/>
          <w:szCs w:val="17"/>
          <w:b w:val="1"/>
          <w:bCs w:val="1"/>
          <w:color w:val="auto"/>
        </w:rPr>
        <w:t>Additional Active</w:t>
      </w:r>
      <w:r>
        <w:rPr>
          <w:rFonts w:ascii="Times New Roman" w:cs="Times New Roman" w:eastAsia="Times New Roman" w:hAnsi="Times New Roman"/>
          <w:sz w:val="17"/>
          <w:szCs w:val="17"/>
          <w:color w:val="auto"/>
        </w:rPr>
        <w:t>” and any such combination, a “</w:t>
      </w:r>
      <w:r>
        <w:rPr>
          <w:rFonts w:ascii="Times New Roman" w:cs="Times New Roman" w:eastAsia="Times New Roman" w:hAnsi="Times New Roman"/>
          <w:sz w:val="17"/>
          <w:szCs w:val="17"/>
          <w:b w:val="1"/>
          <w:bCs w:val="1"/>
          <w:color w:val="auto"/>
        </w:rPr>
        <w:t>Combination</w:t>
      </w:r>
      <w:r>
        <w:rPr>
          <w:rFonts w:ascii="Times New Roman" w:cs="Times New Roman" w:eastAsia="Times New Roman" w:hAnsi="Times New Roman"/>
          <w:sz w:val="17"/>
          <w:szCs w:val="17"/>
          <w:color w:val="auto"/>
        </w:rPr>
        <w:t>”), then Net Sales for that Product shall be calculated using the gross invoiced price for such Combination multiplied by the fraction A/(A+B), where “A” is the gross invoiced price for the Product sold separately and “B” is the gross invoiced price for the Additional Active(s) sold as a separate pharmaceutical product. In the event that an Additional Active(s) is not sold as a separate pharmaceutical product, then Net Sales for that Product shall be calculated using the gross invoiced price for the Combination multiplied by the fraction A/C, where “A” is the gross invoiced price for the Product, if sold separately, and “C” is the gross invoiced price for the Combination. In the event that no such separate sales are made, Net Sales of the Product in the Combination for royalty determination under this Agreement shall be determined by the Parties in good faith.</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“Other Indication” </w:t>
      </w:r>
      <w:r>
        <w:rPr>
          <w:rFonts w:ascii="Times New Roman" w:cs="Times New Roman" w:eastAsia="Times New Roman" w:hAnsi="Times New Roman"/>
          <w:sz w:val="18"/>
          <w:szCs w:val="18"/>
          <w:color w:val="auto"/>
        </w:rPr>
        <w:t>means an Indication for a distinct disease or medical condition that is not an Initial Indication.</w:t>
      </w:r>
    </w:p>
    <w:p>
      <w:pPr>
        <w:spacing w:after="0" w:line="217" w:lineRule="exact"/>
        <w:rPr>
          <w:sz w:val="20"/>
          <w:szCs w:val="20"/>
          <w:color w:val="auto"/>
        </w:rPr>
      </w:pPr>
    </w:p>
    <w:p>
      <w:pPr>
        <w:ind w:right="66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“P3 Trial” </w:t>
      </w:r>
      <w:r>
        <w:rPr>
          <w:rFonts w:ascii="Times New Roman" w:cs="Times New Roman" w:eastAsia="Times New Roman" w:hAnsi="Times New Roman"/>
          <w:sz w:val="18"/>
          <w:szCs w:val="18"/>
          <w:color w:val="auto"/>
        </w:rPr>
        <w:t>means that Phase III Clinical Trial of a monotherapy Product incorporating the Collaboration Compound for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Indication to be conducted within the Territory and CG Territory.</w:t>
      </w:r>
    </w:p>
    <w:p>
      <w:pPr>
        <w:spacing w:after="0" w:line="160" w:lineRule="exact"/>
        <w:rPr>
          <w:sz w:val="20"/>
          <w:szCs w:val="20"/>
          <w:color w:val="auto"/>
        </w:rPr>
      </w:pPr>
    </w:p>
    <w:p>
      <w:pPr>
        <w:ind w:right="30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“Patent(s)” </w:t>
      </w:r>
      <w:r>
        <w:rPr>
          <w:rFonts w:ascii="Times New Roman" w:cs="Times New Roman" w:eastAsia="Times New Roman" w:hAnsi="Times New Roman"/>
          <w:sz w:val="18"/>
          <w:szCs w:val="18"/>
          <w:color w:val="auto"/>
        </w:rPr>
        <w:t>means any and all patents and patent applications (including provisional and converted provisional applications)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issuing therefrom or claiming priority thereto, worldwide, together with any extensions (including patent term extensions and supplementary protection certificates), renewals, reissues, reexaminations, substitutions, confirmation patents, registration patents, invention certificates, patents of addition, renewals, divisionals, continuations, and continuations-in-part of any of the foregoing.</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“Peer Pharmaceutical Company” </w:t>
      </w:r>
      <w:r>
        <w:rPr>
          <w:rFonts w:ascii="Times New Roman" w:cs="Times New Roman" w:eastAsia="Times New Roman" w:hAnsi="Times New Roman"/>
          <w:sz w:val="18"/>
          <w:szCs w:val="18"/>
          <w:color w:val="auto"/>
        </w:rPr>
        <w:t>means a Person that is [***].</w:t>
      </w:r>
    </w:p>
    <w:p>
      <w:pPr>
        <w:spacing w:after="0" w:line="217" w:lineRule="exact"/>
        <w:rPr>
          <w:sz w:val="20"/>
          <w:szCs w:val="20"/>
          <w:color w:val="auto"/>
        </w:rPr>
      </w:pPr>
    </w:p>
    <w:p>
      <w:pPr>
        <w:ind w:right="4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“Person” </w:t>
      </w:r>
      <w:r>
        <w:rPr>
          <w:rFonts w:ascii="Times New Roman" w:cs="Times New Roman" w:eastAsia="Times New Roman" w:hAnsi="Times New Roman"/>
          <w:sz w:val="18"/>
          <w:szCs w:val="18"/>
          <w:color w:val="auto"/>
        </w:rPr>
        <w:t>means any individual, corporation, company, partnership, association, joint-stock company, trust, unincorporated organization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or political subdivision thereof.</w:t>
      </w:r>
    </w:p>
    <w:p>
      <w:pPr>
        <w:spacing w:after="0" w:line="160"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“Pharmacology Study(s)” </w:t>
      </w:r>
      <w:r>
        <w:rPr>
          <w:rFonts w:ascii="Times New Roman" w:cs="Times New Roman" w:eastAsia="Times New Roman" w:hAnsi="Times New Roman"/>
          <w:sz w:val="18"/>
          <w:szCs w:val="18"/>
          <w:color w:val="auto"/>
        </w:rPr>
        <w:t>means pre-clinical or non-clinical in-vitro or non-human animal studies of a Collaboration Compound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comprising (i) pharmacokinetics (i.e. absorption, distribution, metabolism, and excretion), (ii) toxicology, and/or (iii) pharmacodynamics studies.</w:t>
      </w:r>
    </w:p>
    <w:p>
      <w:pPr>
        <w:spacing w:after="0" w:line="173"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“Phase I Clinical Trial” </w:t>
      </w:r>
      <w:r>
        <w:rPr>
          <w:rFonts w:ascii="Times New Roman" w:cs="Times New Roman" w:eastAsia="Times New Roman" w:hAnsi="Times New Roman"/>
          <w:sz w:val="18"/>
          <w:szCs w:val="18"/>
          <w:color w:val="auto"/>
        </w:rPr>
        <w:t>means a human clinical trial, the principal purpose of which is preliminary determination of safety of a Product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healthy individuals or patients or as otherwise described in 21 C.F.R. §312.21(a), or similar clinical study in a country other than the United States.</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0"/>
          </w:cols>
          <w:pgMar w:left="540" w:top="266" w:right="579" w:bottom="1440" w:gutter="0" w:footer="0" w:header="0"/>
        </w:sectPr>
      </w:pPr>
    </w:p>
    <w:bookmarkStart w:id="467" w:name="page468"/>
    <w:bookmarkEnd w:id="467"/>
    <w:p>
      <w:pPr>
        <w:jc w:val="both"/>
        <w:ind w:right="12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1.70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“Phase II Clinical Trial” </w:t>
      </w:r>
      <w:r>
        <w:rPr>
          <w:rFonts w:ascii="Times New Roman" w:cs="Times New Roman" w:eastAsia="Times New Roman" w:hAnsi="Times New Roman"/>
          <w:sz w:val="18"/>
          <w:szCs w:val="18"/>
          <w:color w:val="auto"/>
        </w:rPr>
        <w:t>means a human clinical trial, for which the primary endpoints include a determination of dose ranges and/or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preliminary determination of efficacy of a Product in patients being studied or as otherwise described in 21 C.F.R. §312.21(b), or similar clinical study in a country other than the United States.</w:t>
      </w:r>
    </w:p>
    <w:p>
      <w:pPr>
        <w:spacing w:after="0" w:line="173"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1.71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“Phase III Clinical Trial” </w:t>
      </w:r>
      <w:r>
        <w:rPr>
          <w:rFonts w:ascii="Times New Roman" w:cs="Times New Roman" w:eastAsia="Times New Roman" w:hAnsi="Times New Roman"/>
          <w:sz w:val="18"/>
          <w:szCs w:val="18"/>
          <w:color w:val="auto"/>
        </w:rPr>
        <w:t>means a human clinical trial, the principal purpose of which is to demonstrate clinically and statistically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efficacy and safety of a Product for one or more indications in order to obtain Marketing Approval of such Product for such indication(s), or as otherwise described in 21 C.F.R. §312.21(c) or a similar clinical study in a country other than the United States. The term “Phase III Clinical Trial” also includes any human clinical trial that is intended to serve as a pivotal clinical trial for the Marketing Approval of the applicable Product, even if officially designated as a Phase II Clinical Trial.</w:t>
      </w:r>
    </w:p>
    <w:p>
      <w:pPr>
        <w:spacing w:after="0" w:line="181" w:lineRule="exact"/>
        <w:rPr>
          <w:sz w:val="20"/>
          <w:szCs w:val="20"/>
          <w:color w:val="auto"/>
        </w:rPr>
      </w:pPr>
    </w:p>
    <w:p>
      <w:pPr>
        <w:ind w:right="22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“PHSA” </w:t>
      </w:r>
      <w:r>
        <w:rPr>
          <w:rFonts w:ascii="Times New Roman" w:cs="Times New Roman" w:eastAsia="Times New Roman" w:hAnsi="Times New Roman"/>
          <w:sz w:val="18"/>
          <w:szCs w:val="18"/>
          <w:color w:val="auto"/>
        </w:rPr>
        <w:t>means the Public Health Services Act (Title 42, U.S.C., Chapter 6A), as amended from time to time. As used herein the PHSA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refer, more specifically, to 42 USC § 262, which governs the regulation of biological products.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1.73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“PMDA” </w:t>
      </w:r>
      <w:r>
        <w:rPr>
          <w:rFonts w:ascii="Times New Roman" w:cs="Times New Roman" w:eastAsia="Times New Roman" w:hAnsi="Times New Roman"/>
          <w:sz w:val="17"/>
          <w:szCs w:val="17"/>
          <w:color w:val="auto"/>
        </w:rPr>
        <w:t>means the Pharmaceuticals and Medical Devices Agency of Japan or any successor entity thereto performing similar functions.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“Pre-Approved Subcontractor” </w:t>
      </w:r>
      <w:r>
        <w:rPr>
          <w:rFonts w:ascii="Times New Roman" w:cs="Times New Roman" w:eastAsia="Times New Roman" w:hAnsi="Times New Roman"/>
          <w:sz w:val="18"/>
          <w:szCs w:val="18"/>
          <w:color w:val="auto"/>
        </w:rPr>
        <w:t>means a Person listed on</w:t>
      </w:r>
      <w:r>
        <w:rPr>
          <w:rFonts w:ascii="Times New Roman" w:cs="Times New Roman" w:eastAsia="Times New Roman" w:hAnsi="Times New Roman"/>
          <w:sz w:val="18"/>
          <w:szCs w:val="18"/>
          <w:b w:val="1"/>
          <w:bCs w:val="1"/>
          <w:color w:val="auto"/>
        </w:rPr>
        <w:t xml:space="preserve"> Schedule 1.74</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120"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1.75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“Product” </w:t>
      </w:r>
      <w:r>
        <w:rPr>
          <w:rFonts w:ascii="Times New Roman" w:cs="Times New Roman" w:eastAsia="Times New Roman" w:hAnsi="Times New Roman"/>
          <w:sz w:val="18"/>
          <w:szCs w:val="18"/>
          <w:color w:val="auto"/>
        </w:rPr>
        <w:t>means a finished dosage pharmaceutical formulation comprising the Collaboration Compound in combination with CG’s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permeabilization agent N-Dodecyl-3-D-maltoside (“</w:t>
      </w:r>
      <w:r>
        <w:rPr>
          <w:rFonts w:ascii="Times New Roman" w:cs="Times New Roman" w:eastAsia="Times New Roman" w:hAnsi="Times New Roman"/>
          <w:sz w:val="18"/>
          <w:szCs w:val="18"/>
          <w:b w:val="1"/>
          <w:bCs w:val="1"/>
          <w:color w:val="auto"/>
        </w:rPr>
        <w:t>DDM</w:t>
      </w:r>
      <w:r>
        <w:rPr>
          <w:rFonts w:ascii="Times New Roman" w:cs="Times New Roman" w:eastAsia="Times New Roman" w:hAnsi="Times New Roman"/>
          <w:sz w:val="18"/>
          <w:szCs w:val="18"/>
          <w:color w:val="auto"/>
        </w:rPr>
        <w:t>”), which is developed, manufactured or commercialized under this Agreement including all other formulations and modes of administration thereof. For the avoidance of doubt, any combination Products containing additional active pharmaceutical moieties in addition to the Collaboration Compound plus DDM, will be considered distinct Products (e.g., monotherapy, adjuvant combination chemotherapy with two active moieties, and adjuvant combination chemotherapy with three active moieties etc. are three or more distinct Products).</w:t>
      </w:r>
    </w:p>
    <w:p>
      <w:pPr>
        <w:spacing w:after="0" w:line="185"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1.76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“Prosecution and Maintenance” or “Prosecute and Maintain” </w:t>
      </w:r>
      <w:r>
        <w:rPr>
          <w:rFonts w:ascii="Times New Roman" w:cs="Times New Roman" w:eastAsia="Times New Roman" w:hAnsi="Times New Roman"/>
          <w:sz w:val="18"/>
          <w:szCs w:val="18"/>
          <w:color w:val="auto"/>
        </w:rPr>
        <w:t>means, with respect to a particular Patent, all activities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preparation, filing, prosecution and maintenance of such Patent (and patent application(s) derived from or claiming priority to such Patent) including final decision making authority on whether to opt-in or opt-out of the European Unified Patent Court, as well as supplemental examinations, re-examinations, reissues, applications for patent term adjustments and extensions, supplementary protection certificates and the like with respect to that Patent, together with the conduct of interferences, derivation proceedings, inter partes review, post-grant review, the defense of oppositions and other similar proceedings with respect to that Patent.</w:t>
      </w:r>
    </w:p>
    <w:p>
      <w:pPr>
        <w:spacing w:after="0" w:line="185"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1.77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“Public Official or Entity” </w:t>
      </w:r>
      <w:r>
        <w:rPr>
          <w:rFonts w:ascii="Times New Roman" w:cs="Times New Roman" w:eastAsia="Times New Roman" w:hAnsi="Times New Roman"/>
          <w:sz w:val="18"/>
          <w:szCs w:val="18"/>
          <w:color w:val="auto"/>
        </w:rPr>
        <w:t>means (a) any officer, employee (including physicians, hospital administrators, or other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professionals), agent, representative, department, agency, de facto official, representative, corporate entity, instrumentality, or subdivision of any government, military, or international organization, including any ministry or department of health or any state-owned or affiliated company or hospital, or (b) any candidate for political office, any political party, or any official of a political party.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60"/>
          </w:cols>
          <w:pgMar w:left="540" w:top="265" w:right="599" w:bottom="1440" w:gutter="0" w:footer="0" w:header="0"/>
        </w:sectPr>
      </w:pPr>
    </w:p>
    <w:bookmarkStart w:id="468" w:name="page469"/>
    <w:bookmarkEnd w:id="468"/>
    <w:p>
      <w:pPr>
        <w:ind w:right="16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“Regulatory Authority” </w:t>
      </w:r>
      <w:r>
        <w:rPr>
          <w:rFonts w:ascii="Times New Roman" w:cs="Times New Roman" w:eastAsia="Times New Roman" w:hAnsi="Times New Roman"/>
          <w:sz w:val="18"/>
          <w:szCs w:val="18"/>
          <w:color w:val="auto"/>
        </w:rPr>
        <w:t>means any federal, national, multinational, state, provincial or local regulatory agency, department, bureau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governmental entity with authority over the research, development, use, manufacture or commercialization (including the granting of Marketing Approval) of a Collaboration Compound, Product in any jurisdiction, including the FDA, MHLW, and PMDA.</w:t>
      </w:r>
    </w:p>
    <w:p>
      <w:pPr>
        <w:spacing w:after="0" w:line="173" w:lineRule="exact"/>
        <w:rPr>
          <w:sz w:val="20"/>
          <w:szCs w:val="20"/>
          <w:color w:val="auto"/>
        </w:rPr>
      </w:pPr>
    </w:p>
    <w:p>
      <w:pPr>
        <w:ind w:right="40" w:firstLine="432"/>
        <w:spacing w:after="0" w:line="275" w:lineRule="auto"/>
        <w:rPr>
          <w:sz w:val="20"/>
          <w:szCs w:val="20"/>
          <w:color w:val="auto"/>
        </w:rPr>
      </w:pPr>
      <w:r>
        <w:rPr>
          <w:rFonts w:ascii="Times New Roman" w:cs="Times New Roman" w:eastAsia="Times New Roman" w:hAnsi="Times New Roman"/>
          <w:sz w:val="17"/>
          <w:szCs w:val="17"/>
          <w:b w:val="1"/>
          <w:bCs w:val="1"/>
          <w:color w:val="auto"/>
        </w:rPr>
        <w:t>1.79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“Regulatory Materials” </w:t>
      </w:r>
      <w:r>
        <w:rPr>
          <w:rFonts w:ascii="Times New Roman" w:cs="Times New Roman" w:eastAsia="Times New Roman" w:hAnsi="Times New Roman"/>
          <w:sz w:val="17"/>
          <w:szCs w:val="17"/>
          <w:color w:val="auto"/>
        </w:rPr>
        <w:t>means regulatory applications (including Marketing Approval Applications), submissions, notifications,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communications, correspondence, registrations, Marketing Approvals or other filings made to, received from or otherwise conducted with the FDA or other relevant Regulatory Authority (including minutes of any meeting with a Regulatory Authority) that are necessary for or relate to the research, development, manufacture or commercialization (including the granting of Marketing Approval) of a Product, in each case, in the Field in the Territory.</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“Residuals” </w:t>
      </w:r>
      <w:r>
        <w:rPr>
          <w:rFonts w:ascii="Times New Roman" w:cs="Times New Roman" w:eastAsia="Times New Roman" w:hAnsi="Times New Roman"/>
          <w:sz w:val="18"/>
          <w:szCs w:val="18"/>
          <w:color w:val="auto"/>
        </w:rPr>
        <w:t>means information retained in the unaided memory of an individual.</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“Series D Preferred Stock” </w:t>
      </w:r>
      <w:r>
        <w:rPr>
          <w:rFonts w:ascii="Times New Roman" w:cs="Times New Roman" w:eastAsia="Times New Roman" w:hAnsi="Times New Roman"/>
          <w:sz w:val="18"/>
          <w:szCs w:val="18"/>
          <w:color w:val="auto"/>
        </w:rPr>
        <w:t>means the Series D Preferred Stock, $0.0001 per share par value, of CG.</w:t>
      </w:r>
    </w:p>
    <w:p>
      <w:pPr>
        <w:spacing w:after="0" w:line="217" w:lineRule="exact"/>
        <w:rPr>
          <w:sz w:val="20"/>
          <w:szCs w:val="20"/>
          <w:color w:val="auto"/>
        </w:rPr>
      </w:pPr>
    </w:p>
    <w:p>
      <w:pPr>
        <w:ind w:right="44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“Territory” </w:t>
      </w:r>
      <w:r>
        <w:rPr>
          <w:rFonts w:ascii="Times New Roman" w:cs="Times New Roman" w:eastAsia="Times New Roman" w:hAnsi="Times New Roman"/>
          <w:sz w:val="18"/>
          <w:szCs w:val="18"/>
          <w:color w:val="auto"/>
        </w:rPr>
        <w:t>means Bangladesh, Bhutan, Brunei, Cambodia, India, Indonesia, Japan, South Korea, Laos, Malaysia, Myanmar, Nepal,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Pakistan, Palau, Philippines, Singapore, Sri Lanka, Taiwan, Thailand and Vietnam.</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“Third Party” </w:t>
      </w:r>
      <w:r>
        <w:rPr>
          <w:rFonts w:ascii="Times New Roman" w:cs="Times New Roman" w:eastAsia="Times New Roman" w:hAnsi="Times New Roman"/>
          <w:sz w:val="18"/>
          <w:szCs w:val="18"/>
          <w:color w:val="auto"/>
        </w:rPr>
        <w:t>means any entity other than CG or Kissei or an Affiliate of either.</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“US” </w:t>
      </w:r>
      <w:r>
        <w:rPr>
          <w:rFonts w:ascii="Times New Roman" w:cs="Times New Roman" w:eastAsia="Times New Roman" w:hAnsi="Times New Roman"/>
          <w:sz w:val="18"/>
          <w:szCs w:val="18"/>
          <w:color w:val="auto"/>
        </w:rPr>
        <w:t>means the United States of America and its territories and possessions.</w:t>
      </w:r>
    </w:p>
    <w:p>
      <w:pPr>
        <w:spacing w:after="0" w:line="217" w:lineRule="exact"/>
        <w:rPr>
          <w:sz w:val="20"/>
          <w:szCs w:val="20"/>
          <w:color w:val="auto"/>
        </w:rPr>
      </w:pPr>
    </w:p>
    <w:p>
      <w:pPr>
        <w:ind w:right="20" w:firstLine="432"/>
        <w:spacing w:after="0" w:line="271" w:lineRule="auto"/>
        <w:rPr>
          <w:sz w:val="20"/>
          <w:szCs w:val="20"/>
          <w:color w:val="auto"/>
        </w:rPr>
      </w:pPr>
      <w:r>
        <w:rPr>
          <w:rFonts w:ascii="Times New Roman" w:cs="Times New Roman" w:eastAsia="Times New Roman" w:hAnsi="Times New Roman"/>
          <w:sz w:val="17"/>
          <w:szCs w:val="17"/>
          <w:b w:val="1"/>
          <w:bCs w:val="1"/>
          <w:color w:val="auto"/>
        </w:rPr>
        <w:t>1.85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“Valid Claim” </w:t>
      </w:r>
      <w:r>
        <w:rPr>
          <w:rFonts w:ascii="Times New Roman" w:cs="Times New Roman" w:eastAsia="Times New Roman" w:hAnsi="Times New Roman"/>
          <w:sz w:val="17"/>
          <w:szCs w:val="17"/>
          <w:color w:val="auto"/>
        </w:rPr>
        <w:t>means, with respect to a particular country, an issued, unexpired claim contained in a CG Patent, CG Collaboration Patent,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Kissei Collaboration Patent or Joint Collaboration Patent, in each instance that is directed to the composition of matter or method of use of or method of treatment using a Collaboration Compound in such country that has not been disclaimed, revoked, held unenforceable, unpatentable or invalid by a decision of a court or other governmental agency of competent jurisdiction, unappealable or unappealed within the time allowed for appeal, and that has not been admitted to be invalid or unenforceable through re-examination, re-issue, disclaimer or otherwise, or lost in an interference proceeding.</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1.86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“VAT” </w:t>
      </w:r>
      <w:r>
        <w:rPr>
          <w:rFonts w:ascii="Times New Roman" w:cs="Times New Roman" w:eastAsia="Times New Roman" w:hAnsi="Times New Roman"/>
          <w:sz w:val="18"/>
          <w:szCs w:val="18"/>
          <w:color w:val="auto"/>
        </w:rPr>
        <w:t>means, any value added tax calculated in accordance with Applicable Law in a particular country inside or outside the Territory.</w:t>
      </w:r>
    </w:p>
    <w:p>
      <w:pPr>
        <w:spacing w:after="0" w:line="219" w:lineRule="exact"/>
        <w:rPr>
          <w:sz w:val="20"/>
          <w:szCs w:val="20"/>
          <w:color w:val="auto"/>
        </w:rPr>
      </w:pPr>
    </w:p>
    <w:p>
      <w:pPr>
        <w:ind w:firstLine="432"/>
        <w:spacing w:after="0" w:line="274" w:lineRule="auto"/>
        <w:rPr>
          <w:sz w:val="20"/>
          <w:szCs w:val="20"/>
          <w:color w:val="auto"/>
        </w:rPr>
      </w:pPr>
      <w:r>
        <w:rPr>
          <w:rFonts w:ascii="Times New Roman" w:cs="Times New Roman" w:eastAsia="Times New Roman" w:hAnsi="Times New Roman"/>
          <w:sz w:val="18"/>
          <w:szCs w:val="18"/>
          <w:color w:val="auto"/>
        </w:rPr>
        <w:t>Additional Definitions. Each of the following terms has the meaning ascribed to them in the corresponding Section or Schedule of this Agreement indicated below:</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0"/>
          </w:cols>
          <w:pgMar w:left="540" w:top="265" w:right="599" w:bottom="1440" w:gutter="0" w:footer="0" w:header="0"/>
        </w:sectPr>
      </w:pPr>
    </w:p>
    <w:bookmarkStart w:id="469" w:name="page470"/>
    <w:bookmarkEnd w:id="469"/>
    <w:tbl>
      <w:tblPr>
        <w:tblLayout w:type="fixed"/>
        <w:tblInd w:w="0" w:type="dxa"/>
        <w:tblCellMar>
          <w:top w:w="0" w:type="dxa"/>
          <w:left w:w="0" w:type="dxa"/>
          <w:bottom w:w="0" w:type="dxa"/>
          <w:right w:w="0" w:type="dxa"/>
        </w:tblCellMar>
      </w:tblPr>
      <w:tr>
        <w:trPr>
          <w:trHeight w:val="170"/>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Section/Schedule:</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w w:val="98"/>
              </w:rPr>
              <w:t>Section/Schedule:</w:t>
            </w:r>
          </w:p>
        </w:tc>
      </w:tr>
      <w:tr>
        <w:trPr>
          <w:trHeight w:val="187"/>
        </w:trPr>
        <w:tc>
          <w:tcPr>
            <w:tcW w:w="6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w w:val="83"/>
              </w:rPr>
              <w:t>Additional</w:t>
            </w:r>
          </w:p>
        </w:tc>
        <w:tc>
          <w:tcPr>
            <w:tcW w:w="1780" w:type="dxa"/>
            <w:vAlign w:val="bottom"/>
          </w:tcPr>
          <w:p>
            <w:pPr>
              <w:ind w:left="140"/>
              <w:spacing w:after="0" w:line="187" w:lineRule="exact"/>
              <w:rPr>
                <w:sz w:val="20"/>
                <w:szCs w:val="20"/>
                <w:color w:val="auto"/>
              </w:rPr>
            </w:pPr>
            <w:r>
              <w:rPr>
                <w:rFonts w:ascii="Times New Roman" w:cs="Times New Roman" w:eastAsia="Times New Roman" w:hAnsi="Times New Roman"/>
                <w:sz w:val="18"/>
                <w:szCs w:val="18"/>
                <w:color w:val="auto"/>
              </w:rPr>
              <w:t>Active</w:t>
            </w:r>
          </w:p>
        </w:tc>
        <w:tc>
          <w:tcPr>
            <w:tcW w:w="500" w:type="dxa"/>
            <w:vAlign w:val="bottom"/>
          </w:tcPr>
          <w:p>
            <w:pPr>
              <w:spacing w:after="0"/>
              <w:rPr>
                <w:sz w:val="16"/>
                <w:szCs w:val="16"/>
                <w:color w:val="auto"/>
              </w:rPr>
            </w:pPr>
          </w:p>
        </w:tc>
        <w:tc>
          <w:tcPr>
            <w:tcW w:w="10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1.62</w:t>
            </w:r>
          </w:p>
        </w:tc>
        <w:tc>
          <w:tcPr>
            <w:tcW w:w="1620" w:type="dxa"/>
            <w:vAlign w:val="bottom"/>
          </w:tcPr>
          <w:p>
            <w:pPr>
              <w:spacing w:after="0"/>
              <w:rPr>
                <w:sz w:val="16"/>
                <w:szCs w:val="16"/>
                <w:color w:val="auto"/>
              </w:rPr>
            </w:pPr>
          </w:p>
        </w:tc>
        <w:tc>
          <w:tcPr>
            <w:tcW w:w="6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w w:val="78"/>
              </w:rPr>
              <w:t>Indemnitee</w:t>
            </w: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13.2</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Introduction</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Indemnitor</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13.2</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Manager</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3.8</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Insolvency Proceedings</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14.3</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Net Sales per</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7.4.3(c)</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JDC</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3.1.1</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Bankrupt Party</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14.3(a)</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JMWG</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3.3</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1.60</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JPWG</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3.3.1</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Buy-Out Option</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7.5.7(a)</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Kissei</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Introduction</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Buy-Out Option Price</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7.5.7(b)</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Kissei Indemnitees</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13.1.1</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Carry-Forward Amount</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7.4.3(a)(ii)</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Loss or Losses</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13.1.1</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Catastrophic Breach</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14.6</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NDA</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1.60</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CDA</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10.5</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Net Sales Report</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8.2</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CG</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Introduction</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Non-Disclosing Party</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11.2.5</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CG Group</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4.3.1</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Party or Parties</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Introduction</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CG Indemnitees</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13.1.2</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Pharmacovigilance Agreement</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5.2.2</w:t>
            </w:r>
          </w:p>
        </w:tc>
      </w:tr>
      <w:tr>
        <w:trPr>
          <w:trHeight w:val="212"/>
        </w:trPr>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Product Royalty Term</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7.4.5</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CG Product Royalty Term</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7.5.5</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Project Co-Leader</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3.1.1</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Challenge</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14.4</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Releases</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11.2</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Milestone</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7.3.1(a)</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Requesting Party</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11.2.4</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Supply Agreement</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5.1.1</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Required Release</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11.2.4</w:t>
            </w:r>
          </w:p>
        </w:tc>
      </w:tr>
      <w:tr>
        <w:trPr>
          <w:trHeight w:val="21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CMC Information</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5.1.4</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Reviewing Party</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11.2.4</w:t>
            </w:r>
          </w:p>
        </w:tc>
      </w:tr>
      <w:tr>
        <w:trPr>
          <w:trHeight w:val="231"/>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1.62</w:t>
            </w:r>
          </w:p>
        </w:tc>
        <w:tc>
          <w:tcPr>
            <w:tcW w:w="4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Rules</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15.2.1</w:t>
            </w:r>
          </w:p>
        </w:tc>
      </w:tr>
      <w:tr>
        <w:trPr>
          <w:trHeight w:val="358"/>
        </w:trPr>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919"/>
          </w:cols>
          <w:pgMar w:left="540" w:top="261" w:right="1440"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bookmarkStart w:id="470" w:name="page471"/>
    <w:bookmarkEnd w:id="470"/>
    <w:tbl>
      <w:tblPr>
        <w:tblLayout w:type="fixed"/>
        <w:tblInd w:w="0" w:type="dxa"/>
        <w:tblCellMar>
          <w:top w:w="0" w:type="dxa"/>
          <w:left w:w="0" w:type="dxa"/>
          <w:bottom w:w="0" w:type="dxa"/>
          <w:right w:w="0" w:type="dxa"/>
        </w:tblCellMar>
      </w:tblPr>
      <w:tr>
        <w:trPr>
          <w:trHeight w:val="17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Section/Schedule:</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w w:val="98"/>
              </w:rPr>
              <w:t>Section/Schedule:</w:t>
            </w:r>
          </w:p>
        </w:tc>
      </w:tr>
      <w:tr>
        <w:trPr>
          <w:trHeight w:val="187"/>
        </w:trPr>
        <w:tc>
          <w:tcPr>
            <w:tcW w:w="6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w w:val="71"/>
              </w:rPr>
              <w:t>Commercial</w:t>
            </w:r>
          </w:p>
        </w:tc>
        <w:tc>
          <w:tcPr>
            <w:tcW w:w="2100" w:type="dxa"/>
            <w:vAlign w:val="bottom"/>
          </w:tcPr>
          <w:p>
            <w:pPr>
              <w:ind w:left="260"/>
              <w:spacing w:after="0" w:line="187" w:lineRule="exact"/>
              <w:rPr>
                <w:sz w:val="20"/>
                <w:szCs w:val="20"/>
                <w:color w:val="auto"/>
              </w:rPr>
            </w:pPr>
            <w:r>
              <w:rPr>
                <w:rFonts w:ascii="Times New Roman" w:cs="Times New Roman" w:eastAsia="Times New Roman" w:hAnsi="Times New Roman"/>
                <w:sz w:val="18"/>
                <w:szCs w:val="18"/>
                <w:color w:val="auto"/>
              </w:rPr>
              <w:t>Supply Agreement</w:t>
            </w:r>
          </w:p>
        </w:tc>
        <w:tc>
          <w:tcPr>
            <w:tcW w:w="180" w:type="dxa"/>
            <w:vAlign w:val="bottom"/>
          </w:tcPr>
          <w:p>
            <w:pPr>
              <w:spacing w:after="0"/>
              <w:rPr>
                <w:sz w:val="16"/>
                <w:szCs w:val="16"/>
                <w:color w:val="auto"/>
              </w:rPr>
            </w:pPr>
          </w:p>
        </w:tc>
        <w:tc>
          <w:tcPr>
            <w:tcW w:w="10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5.1.1</w:t>
            </w:r>
          </w:p>
        </w:tc>
        <w:tc>
          <w:tcPr>
            <w:tcW w:w="1620" w:type="dxa"/>
            <w:vAlign w:val="bottom"/>
          </w:tcPr>
          <w:p>
            <w:pPr>
              <w:spacing w:after="0"/>
              <w:rPr>
                <w:sz w:val="16"/>
                <w:szCs w:val="16"/>
                <w:color w:val="auto"/>
              </w:rPr>
            </w:pPr>
          </w:p>
        </w:tc>
        <w:tc>
          <w:tcPr>
            <w:tcW w:w="6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sBLA</w:t>
            </w: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1.60</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Competitive Infringement</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9.7.2</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sNDA</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1.60</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CPA Firm</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8.8.2</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Specified Marks</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9.12</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CREATE Act</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9.3.2</w:t>
            </w: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Defending Party</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9.8.2</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Stock Purchase Agreement</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Background</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Deliverables</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5.3.1</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Subcontractor Notice</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Plan</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Supply and Sales Fraction</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7.4.3(c)</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Term</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2.4.1</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Supply Payment</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7.4.3(c)</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Disclosing Party</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11.2.5</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Supply Agreement</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5.1.2</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15.1</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Term</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14.1</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Introduction</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Third Party Claims</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13.1.1</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Royalty Rate</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7.4.3(c)</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Third Party Infringement</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9.7.1</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Notice</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7.5.7(b)</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Third Party Infringement Claim</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9.8.1</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Japan Approval Milestone</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7.3.1(b)</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Title 11</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14.3(b)</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Non-Japan Approval Milestone</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7.3.1(d)</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Transacting Party</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4.3.1</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Development Plan</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Transacting Party Group</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4.3.1</w:t>
            </w:r>
          </w:p>
        </w:tc>
      </w:tr>
      <w:tr>
        <w:trPr>
          <w:trHeight w:val="231"/>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13.1.1</w:t>
            </w: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Valuation Firm</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7.5.7(c)</w:t>
            </w:r>
          </w:p>
        </w:tc>
      </w:tr>
      <w:tr>
        <w:trPr>
          <w:trHeight w:val="358"/>
        </w:trPr>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919"/>
          </w:cols>
          <w:pgMar w:left="540" w:top="260" w:right="1440"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bookmarkStart w:id="471" w:name="page472"/>
    <w:bookmarkEnd w:id="471"/>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ARTICLE 2</w:t>
      </w:r>
    </w:p>
    <w:p>
      <w:pPr>
        <w:spacing w:after="0" w:line="217"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DEVELOPMENT PROGRAM</w:t>
      </w:r>
    </w:p>
    <w:p>
      <w:pPr>
        <w:spacing w:after="0" w:line="217" w:lineRule="exact"/>
        <w:rPr>
          <w:sz w:val="20"/>
          <w:szCs w:val="20"/>
          <w:color w:val="auto"/>
        </w:rPr>
      </w:pPr>
    </w:p>
    <w:p>
      <w:pPr>
        <w:ind w:left="2" w:right="2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General</w:t>
      </w:r>
      <w:r>
        <w:rPr>
          <w:rFonts w:ascii="Times New Roman" w:cs="Times New Roman" w:eastAsia="Times New Roman" w:hAnsi="Times New Roman"/>
          <w:sz w:val="18"/>
          <w:szCs w:val="18"/>
          <w:color w:val="auto"/>
        </w:rPr>
        <w:t>. The Parties agree to undertake, using Commercially Reasonable Efforts, the Development Program to develop Products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Field in accordance with one or more work plans (the “</w:t>
      </w:r>
      <w:r>
        <w:rPr>
          <w:rFonts w:ascii="Times New Roman" w:cs="Times New Roman" w:eastAsia="Times New Roman" w:hAnsi="Times New Roman"/>
          <w:sz w:val="18"/>
          <w:szCs w:val="18"/>
          <w:b w:val="1"/>
          <w:bCs w:val="1"/>
          <w:color w:val="auto"/>
        </w:rPr>
        <w:t>Development Plan(s)</w:t>
      </w:r>
      <w:r>
        <w:rPr>
          <w:rFonts w:ascii="Times New Roman" w:cs="Times New Roman" w:eastAsia="Times New Roman" w:hAnsi="Times New Roman"/>
          <w:sz w:val="18"/>
          <w:szCs w:val="18"/>
          <w:color w:val="auto"/>
        </w:rPr>
        <w:t xml:space="preserve">”). The Development Plan for the Initial Indication is set forth in </w:t>
      </w:r>
      <w:r>
        <w:rPr>
          <w:rFonts w:ascii="Times New Roman" w:cs="Times New Roman" w:eastAsia="Times New Roman" w:hAnsi="Times New Roman"/>
          <w:sz w:val="18"/>
          <w:szCs w:val="18"/>
          <w:b w:val="1"/>
          <w:bCs w:val="1"/>
          <w:color w:val="auto"/>
        </w:rPr>
        <w:t xml:space="preserve">Schedule 2.1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Initial Development Plan</w:t>
      </w:r>
      <w:r>
        <w:rPr>
          <w:rFonts w:ascii="Times New Roman" w:cs="Times New Roman" w:eastAsia="Times New Roman" w:hAnsi="Times New Roman"/>
          <w:sz w:val="18"/>
          <w:szCs w:val="18"/>
          <w:color w:val="auto"/>
        </w:rPr>
        <w:t>”) and will include (i) P3 Trial activities in the Territory and (ii) information exchange with respect to CG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Territory Activities. Each Development Plan, together with </w:t>
      </w:r>
      <w:r>
        <w:rPr>
          <w:rFonts w:ascii="Times New Roman" w:cs="Times New Roman" w:eastAsia="Times New Roman" w:hAnsi="Times New Roman"/>
          <w:sz w:val="18"/>
          <w:szCs w:val="18"/>
          <w:b w:val="1"/>
          <w:bCs w:val="1"/>
          <w:color w:val="auto"/>
        </w:rPr>
        <w:t>Schedule 2.1</w:t>
      </w:r>
      <w:r>
        <w:rPr>
          <w:rFonts w:ascii="Times New Roman" w:cs="Times New Roman" w:eastAsia="Times New Roman" w:hAnsi="Times New Roman"/>
          <w:sz w:val="18"/>
          <w:szCs w:val="18"/>
          <w:color w:val="auto"/>
        </w:rPr>
        <w:t>, may be amended by the Parties from time to time during the Development Term.</w:t>
      </w:r>
    </w:p>
    <w:p>
      <w:pPr>
        <w:spacing w:after="0" w:line="181"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Certain Activities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right="58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2.2.1</w:t>
      </w:r>
      <w:r>
        <w:rPr>
          <w:rFonts w:ascii="Times New Roman" w:cs="Times New Roman" w:eastAsia="Times New Roman" w:hAnsi="Times New Roman"/>
          <w:sz w:val="18"/>
          <w:szCs w:val="18"/>
          <w:color w:val="auto"/>
        </w:rPr>
        <w:t xml:space="preserve">  Each Party shall be responsible for conducting the activities assigned to it in the Development Plan. Each Party shall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the Development Program the number and types of dedicated FTEs reasonably needed to complete the activities described in the Development Plan.</w:t>
      </w:r>
    </w:p>
    <w:p>
      <w:pPr>
        <w:spacing w:after="0" w:line="173" w:lineRule="exact"/>
        <w:rPr>
          <w:sz w:val="20"/>
          <w:szCs w:val="20"/>
          <w:color w:val="auto"/>
        </w:rPr>
      </w:pPr>
    </w:p>
    <w:p>
      <w:pPr>
        <w:jc w:val="both"/>
        <w:ind w:left="2"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2.2.2</w:t>
      </w:r>
      <w:r>
        <w:rPr>
          <w:rFonts w:ascii="Times New Roman" w:cs="Times New Roman" w:eastAsia="Times New Roman" w:hAnsi="Times New Roman"/>
          <w:sz w:val="18"/>
          <w:szCs w:val="18"/>
          <w:color w:val="auto"/>
        </w:rPr>
        <w:t xml:space="preserve">  Except as mutually agreed otherwise, neither Party will provide Product to support any investigator-initiated study of such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Territory; provided that CG shall reasonably notify Kissei of any such studies in the CG Territory. For clarity, after the Development Term, Kissei at its sole discretion will be able to provide Product to support any investigator-initiated study of such Product in the Territory.</w:t>
      </w:r>
    </w:p>
    <w:p>
      <w:pPr>
        <w:spacing w:after="0" w:line="173" w:lineRule="exact"/>
        <w:rPr>
          <w:sz w:val="20"/>
          <w:szCs w:val="20"/>
          <w:color w:val="auto"/>
        </w:rPr>
      </w:pPr>
    </w:p>
    <w:p>
      <w:pPr>
        <w:ind w:left="2" w:right="20"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2.2.3</w:t>
      </w:r>
      <w:r>
        <w:rPr>
          <w:rFonts w:ascii="Times New Roman" w:cs="Times New Roman" w:eastAsia="Times New Roman" w:hAnsi="Times New Roman"/>
          <w:sz w:val="18"/>
          <w:szCs w:val="18"/>
          <w:color w:val="auto"/>
        </w:rPr>
        <w:t xml:space="preserve">  Except as set forth in</w:t>
      </w:r>
      <w:r>
        <w:rPr>
          <w:rFonts w:ascii="Times New Roman" w:cs="Times New Roman" w:eastAsia="Times New Roman" w:hAnsi="Times New Roman"/>
          <w:sz w:val="18"/>
          <w:szCs w:val="18"/>
          <w:b w:val="1"/>
          <w:bCs w:val="1"/>
          <w:color w:val="auto"/>
        </w:rPr>
        <w:t xml:space="preserve"> Section 2.2.1 (Certain Activities)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 2.6.2 (Additional Efforts) </w:t>
      </w:r>
      <w:r>
        <w:rPr>
          <w:rFonts w:ascii="Times New Roman" w:cs="Times New Roman" w:eastAsia="Times New Roman" w:hAnsi="Times New Roman"/>
          <w:sz w:val="18"/>
          <w:szCs w:val="18"/>
          <w:color w:val="auto"/>
        </w:rPr>
        <w:t>or as mutually agreed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JDC, which shall not be unreasonably delayed or withheld, Kissei may not, directly or indirectly, (a) conduct activities directed to the research or development of Collaboration Compounds or Products in the Field, including any Other Indication or (b) appoint, license or otherwise authorize or facilitate any Affiliate or Third Party, whether pursuant to such appointment, license or otherwise, to perform any of the activities set forth in the foregoing clause.</w:t>
      </w:r>
    </w:p>
    <w:p>
      <w:pPr>
        <w:spacing w:after="0" w:line="181" w:lineRule="exact"/>
        <w:rPr>
          <w:sz w:val="20"/>
          <w:szCs w:val="20"/>
          <w:color w:val="auto"/>
        </w:rPr>
      </w:pPr>
    </w:p>
    <w:p>
      <w:pPr>
        <w:ind w:left="2" w:right="40" w:firstLine="432"/>
        <w:spacing w:after="0" w:line="264" w:lineRule="auto"/>
        <w:rPr>
          <w:sz w:val="20"/>
          <w:szCs w:val="20"/>
          <w:color w:val="auto"/>
        </w:rPr>
      </w:pPr>
      <w:r>
        <w:rPr>
          <w:rFonts w:ascii="Times New Roman" w:cs="Times New Roman" w:eastAsia="Times New Roman" w:hAnsi="Times New Roman"/>
          <w:sz w:val="17"/>
          <w:szCs w:val="17"/>
          <w:b w:val="1"/>
          <w:bCs w:val="1"/>
          <w:color w:val="auto"/>
        </w:rPr>
        <w:t>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Subcontractors</w:t>
      </w:r>
      <w:r>
        <w:rPr>
          <w:rFonts w:ascii="Times New Roman" w:cs="Times New Roman" w:eastAsia="Times New Roman" w:hAnsi="Times New Roman"/>
          <w:sz w:val="17"/>
          <w:szCs w:val="17"/>
          <w:color w:val="auto"/>
        </w:rPr>
        <w:t>. Subject to the terms and conditions of this Agreement (including</w:t>
      </w:r>
      <w:r>
        <w:rPr>
          <w:rFonts w:ascii="Times New Roman" w:cs="Times New Roman" w:eastAsia="Times New Roman" w:hAnsi="Times New Roman"/>
          <w:sz w:val="17"/>
          <w:szCs w:val="17"/>
          <w:b w:val="1"/>
          <w:bCs w:val="1"/>
          <w:color w:val="auto"/>
        </w:rPr>
        <w:t xml:space="preserve"> Section 2.2.3 (Certain Activities)</w:t>
      </w:r>
      <w:r>
        <w:rPr>
          <w:rFonts w:ascii="Times New Roman" w:cs="Times New Roman" w:eastAsia="Times New Roman" w:hAnsi="Times New Roman"/>
          <w:sz w:val="17"/>
          <w:szCs w:val="17"/>
          <w:color w:val="auto"/>
        </w:rPr>
        <w:t>), either Party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subcontract portions of its work under the Development Program to its Affiliates or Pre-Approved Subcontractors; provided, such subcontract is consistent with the terms and conditions of this Agreement. A Party may not subcontract portions of its work under the Development Program to any other Third Parties other than pursuant to the following procedure: (a) such Party shall notify the other Party (which notice may be provided via e-mail) of any proposed subcontractor and the scope of work proposed to be subcontracted (such notice, a “</w:t>
      </w:r>
      <w:r>
        <w:rPr>
          <w:rFonts w:ascii="Times New Roman" w:cs="Times New Roman" w:eastAsia="Times New Roman" w:hAnsi="Times New Roman"/>
          <w:sz w:val="17"/>
          <w:szCs w:val="17"/>
          <w:b w:val="1"/>
          <w:bCs w:val="1"/>
          <w:color w:val="auto"/>
        </w:rPr>
        <w:t>Subcontractor Notice</w:t>
      </w:r>
      <w:r>
        <w:rPr>
          <w:rFonts w:ascii="Times New Roman" w:cs="Times New Roman" w:eastAsia="Times New Roman" w:hAnsi="Times New Roman"/>
          <w:sz w:val="17"/>
          <w:szCs w:val="17"/>
          <w:color w:val="auto"/>
        </w:rPr>
        <w:t>”); (b) the other Party shall notify the requesting Party if it wishes to audit the proposed subcontractor or of any other reasonable concerns with respect to such proposed subcontractor, if any, within [***] of receipt of such Subcontractor Notice; (c) the requesting Party shall consider any such concerns in good faith; and</w:t>
      </w:r>
    </w:p>
    <w:p>
      <w:pPr>
        <w:ind w:left="2" w:right="360" w:hanging="2"/>
        <w:spacing w:after="0" w:line="280" w:lineRule="auto"/>
        <w:tabs>
          <w:tab w:leader="none" w:pos="252"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matter shall be referred to the JDC for discussion. In the event a Party indicates its desire to audit a proposed subcontractor, the Parties shall cooperate with the each other and the proposed subcontractor to organize and conduct an audit subject to mutually agreeable conditions including</w:t>
      </w:r>
    </w:p>
    <w:p>
      <w:pPr>
        <w:spacing w:after="0" w:line="94"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42"/>
          </w:cols>
          <w:pgMar w:left="538" w:top="265" w:right="619" w:bottom="1440" w:gutter="0" w:footer="0" w:header="0"/>
        </w:sectPr>
      </w:pPr>
    </w:p>
    <w:bookmarkStart w:id="472" w:name="page473"/>
    <w:bookmarkEnd w:id="472"/>
    <w:p>
      <w:pPr>
        <w:jc w:val="both"/>
        <w:ind w:left="2"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timing, duration, subject matter and confidentiality restrictions, provided that each Party shall bear its own costs and expenses incurred in such audit. In the event a proposed subcontractor refuses to participate in an audit, the requesting Party shall not subcontract any portions of its work to the proposed subcontractor without the other Party’s express written consent. In the event the other Party does not respond to any such Subcontractor Notice within</w:t>
      </w:r>
    </w:p>
    <w:p>
      <w:pPr>
        <w:spacing w:after="0" w:line="1" w:lineRule="exact"/>
        <w:rPr>
          <w:sz w:val="20"/>
          <w:szCs w:val="20"/>
          <w:color w:val="auto"/>
        </w:rPr>
      </w:pPr>
    </w:p>
    <w:p>
      <w:pPr>
        <w:ind w:left="2" w:hanging="2"/>
        <w:spacing w:after="0" w:line="246" w:lineRule="auto"/>
        <w:tabs>
          <w:tab w:leader="none" w:pos="429"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period, the requesting Party may subcontract the work described in such Subcontractor Notice to the proposed subcontractor identified therein. The requesting Party shall remain responsible (at its cost) for and shall ensure that each subcontractor (including Affiliates to whom the requesting Party has subcontracted) complies with the terms and conditions of this Agreement. For clarity, the foregoing in this </w:t>
      </w:r>
      <w:r>
        <w:rPr>
          <w:rFonts w:ascii="Times New Roman" w:cs="Times New Roman" w:eastAsia="Times New Roman" w:hAnsi="Times New Roman"/>
          <w:sz w:val="18"/>
          <w:szCs w:val="18"/>
          <w:b w:val="1"/>
          <w:bCs w:val="1"/>
          <w:color w:val="auto"/>
        </w:rPr>
        <w:t>Section 2.3 (Subcontractors)</w:t>
      </w:r>
      <w:r>
        <w:rPr>
          <w:rFonts w:ascii="Times New Roman" w:cs="Times New Roman" w:eastAsia="Times New Roman" w:hAnsi="Times New Roman"/>
          <w:sz w:val="18"/>
          <w:szCs w:val="18"/>
          <w:color w:val="auto"/>
        </w:rPr>
        <w:t xml:space="preserve"> shall not be applicable to any Third Party consultant that provides advisory services to the requesting Party, but does not undertake any of the activities in the Development Program. Notwithstanding the above, the above Subcontractor Notice process will not be applied to subcontractors for non-major activities including, by way of example, the measurement of general clinical examinations and setting up the interactive web response system (IWRS), provided, however, that information regarding such subcontractors for such non-major activities will be shared through the JDC.</w:t>
      </w:r>
    </w:p>
    <w:p>
      <w:pPr>
        <w:spacing w:after="0" w:line="19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Development Term</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right="280"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2.4.1</w:t>
      </w:r>
      <w:r>
        <w:rPr>
          <w:rFonts w:ascii="Times New Roman" w:cs="Times New Roman" w:eastAsia="Times New Roman" w:hAnsi="Times New Roman"/>
          <w:sz w:val="18"/>
          <w:szCs w:val="18"/>
          <w:color w:val="auto"/>
        </w:rPr>
        <w:t xml:space="preserve">  The term of each Development Plan shall be determined by the JDC (the “</w:t>
      </w:r>
      <w:r>
        <w:rPr>
          <w:rFonts w:ascii="Times New Roman" w:cs="Times New Roman" w:eastAsia="Times New Roman" w:hAnsi="Times New Roman"/>
          <w:sz w:val="18"/>
          <w:szCs w:val="18"/>
          <w:b w:val="1"/>
          <w:bCs w:val="1"/>
          <w:color w:val="auto"/>
        </w:rPr>
        <w:t>Development Term</w:t>
      </w:r>
      <w:r>
        <w:rPr>
          <w:rFonts w:ascii="Times New Roman" w:cs="Times New Roman" w:eastAsia="Times New Roman" w:hAnsi="Times New Roman"/>
          <w:sz w:val="18"/>
          <w:szCs w:val="18"/>
          <w:color w:val="auto"/>
        </w:rPr>
        <w:t>”), except that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 for the Initial Development Plan shall commence on the Effective Date and shall continue, unless extended by Kissei as set forth in this </w:t>
      </w:r>
      <w:r>
        <w:rPr>
          <w:rFonts w:ascii="Times New Roman" w:cs="Times New Roman" w:eastAsia="Times New Roman" w:hAnsi="Times New Roman"/>
          <w:sz w:val="18"/>
          <w:szCs w:val="18"/>
          <w:b w:val="1"/>
          <w:bCs w:val="1"/>
          <w:color w:val="auto"/>
        </w:rPr>
        <w:t xml:space="preserve">Section 2.4 (Development Term) </w:t>
      </w:r>
      <w:r>
        <w:rPr>
          <w:rFonts w:ascii="Times New Roman" w:cs="Times New Roman" w:eastAsia="Times New Roman" w:hAnsi="Times New Roman"/>
          <w:sz w:val="18"/>
          <w:szCs w:val="18"/>
          <w:color w:val="auto"/>
        </w:rPr>
        <w:t>or this Agreement is earlier terminated in accordance with</w:t>
      </w:r>
      <w:r>
        <w:rPr>
          <w:rFonts w:ascii="Times New Roman" w:cs="Times New Roman" w:eastAsia="Times New Roman" w:hAnsi="Times New Roman"/>
          <w:sz w:val="18"/>
          <w:szCs w:val="18"/>
          <w:b w:val="1"/>
          <w:bCs w:val="1"/>
          <w:color w:val="auto"/>
        </w:rPr>
        <w:t xml:space="preserve"> Article 14 (Term; Termination)</w:t>
      </w:r>
      <w:r>
        <w:rPr>
          <w:rFonts w:ascii="Times New Roman" w:cs="Times New Roman" w:eastAsia="Times New Roman" w:hAnsi="Times New Roman"/>
          <w:sz w:val="18"/>
          <w:szCs w:val="18"/>
          <w:color w:val="auto"/>
        </w:rPr>
        <w:t>, until the [***]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 in Japan.</w:t>
      </w:r>
    </w:p>
    <w:p>
      <w:pPr>
        <w:spacing w:after="0" w:line="177" w:lineRule="exact"/>
        <w:rPr>
          <w:sz w:val="20"/>
          <w:szCs w:val="20"/>
          <w:color w:val="auto"/>
        </w:rPr>
      </w:pPr>
    </w:p>
    <w:p>
      <w:pPr>
        <w:ind w:left="2" w:right="20" w:firstLine="973"/>
        <w:spacing w:after="0" w:line="268" w:lineRule="auto"/>
        <w:rPr>
          <w:sz w:val="20"/>
          <w:szCs w:val="20"/>
          <w:color w:val="auto"/>
        </w:rPr>
      </w:pPr>
      <w:r>
        <w:rPr>
          <w:rFonts w:ascii="Times New Roman" w:cs="Times New Roman" w:eastAsia="Times New Roman" w:hAnsi="Times New Roman"/>
          <w:sz w:val="17"/>
          <w:szCs w:val="17"/>
          <w:b w:val="1"/>
          <w:bCs w:val="1"/>
          <w:color w:val="auto"/>
        </w:rPr>
        <w:t>2.4.2</w:t>
      </w:r>
      <w:r>
        <w:rPr>
          <w:rFonts w:ascii="Times New Roman" w:cs="Times New Roman" w:eastAsia="Times New Roman" w:hAnsi="Times New Roman"/>
          <w:sz w:val="17"/>
          <w:szCs w:val="17"/>
          <w:color w:val="auto"/>
        </w:rPr>
        <w:t xml:space="preserve">  At any time prior to the expiration of the Development Term, on an Indication-by-Indication basis, if the activities set forth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Development Plan for such Indication have not been completed by the then-current Development Term, Kissei may elect to extend the Development Term by [***] by written notice to CG; provided, that either (a) the scope of the Development Plan with respect to the Initial Indication does not change in any material manner, or (b) the Parties mutually consent to an amended Development Plan. CG shall not unreasonably withhold its consent to an amended Development Plan if Kissei’s amended Development Plan includes appropriate provisions providing that Kissei shall be responsible for all costs including cost reimbursement to CG that reasonably account for additional activities not contemplated in the then-existing Development Plan (including patient recruitment). For clarity, the Development Term shall not be extended more than [***] under this </w:t>
      </w:r>
      <w:r>
        <w:rPr>
          <w:rFonts w:ascii="Times New Roman" w:cs="Times New Roman" w:eastAsia="Times New Roman" w:hAnsi="Times New Roman"/>
          <w:sz w:val="17"/>
          <w:szCs w:val="17"/>
          <w:b w:val="1"/>
          <w:bCs w:val="1"/>
          <w:color w:val="auto"/>
        </w:rPr>
        <w:t>Section 2.4 (Development Term)</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2" w:right="540"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2.4.3</w:t>
      </w:r>
      <w:r>
        <w:rPr>
          <w:rFonts w:ascii="Times New Roman" w:cs="Times New Roman" w:eastAsia="Times New Roman" w:hAnsi="Times New Roman"/>
          <w:sz w:val="18"/>
          <w:szCs w:val="18"/>
          <w:color w:val="auto"/>
        </w:rPr>
        <w:t xml:space="preserve">  For the purposes of this</w:t>
      </w:r>
      <w:r>
        <w:rPr>
          <w:rFonts w:ascii="Times New Roman" w:cs="Times New Roman" w:eastAsia="Times New Roman" w:hAnsi="Times New Roman"/>
          <w:sz w:val="18"/>
          <w:szCs w:val="18"/>
          <w:b w:val="1"/>
          <w:bCs w:val="1"/>
          <w:color w:val="auto"/>
        </w:rPr>
        <w:t xml:space="preserve"> Section 2.4 (Development Term)</w:t>
      </w:r>
      <w:r>
        <w:rPr>
          <w:rFonts w:ascii="Times New Roman" w:cs="Times New Roman" w:eastAsia="Times New Roman" w:hAnsi="Times New Roman"/>
          <w:sz w:val="18"/>
          <w:szCs w:val="18"/>
          <w:color w:val="auto"/>
        </w:rPr>
        <w:t>, if either Party is experiencing patient recruitment challenges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contemplated by the JDC at the commencement of the Development Term, the Development Plan shall be amended to reflect such recruitment challenge and appropriate provisions providing that Kissei shall be responsible for all costs including cost reimbursement to CG that reasonably accounts for any additional activities necessary to address such challenge (e.g., engaging new clinical sites).</w:t>
      </w:r>
    </w:p>
    <w:p>
      <w:pPr>
        <w:spacing w:after="0" w:line="113"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82"/>
          </w:cols>
          <w:pgMar w:left="538" w:top="267" w:right="579" w:bottom="1440" w:gutter="0" w:footer="0" w:header="0"/>
        </w:sectPr>
      </w:pPr>
    </w:p>
    <w:bookmarkStart w:id="473" w:name="page474"/>
    <w:bookmarkEnd w:id="47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Reports; Records; and Inspections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973"/>
        <w:spacing w:after="0" w:line="250" w:lineRule="auto"/>
        <w:rPr>
          <w:sz w:val="20"/>
          <w:szCs w:val="20"/>
          <w:color w:val="auto"/>
        </w:rPr>
      </w:pPr>
      <w:r>
        <w:rPr>
          <w:rFonts w:ascii="Times New Roman" w:cs="Times New Roman" w:eastAsia="Times New Roman" w:hAnsi="Times New Roman"/>
          <w:sz w:val="18"/>
          <w:szCs w:val="18"/>
          <w:b w:val="1"/>
          <w:bCs w:val="1"/>
          <w:color w:val="auto"/>
        </w:rPr>
        <w:t>2.5.1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Progress Reports</w:t>
      </w:r>
      <w:r>
        <w:rPr>
          <w:rFonts w:ascii="Times New Roman" w:cs="Times New Roman" w:eastAsia="Times New Roman" w:hAnsi="Times New Roman"/>
          <w:sz w:val="18"/>
          <w:szCs w:val="18"/>
          <w:color w:val="auto"/>
        </w:rPr>
        <w:t>. Each Party shall keep the other Party informed of its activities under the Development Program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to the other Party’s representatives on the JDC, summary updates of the same at each meeting of the JDC. Further, as requested by the JDC, CG shall provide to the JDC summary updates of CG Territory Activities. If reasonably necessary for a Party to perform its work under the Development Program, that Party may request that the other Party provide more detailed information and data regarding the updates it earlier provided, and the other Party shall promptly provide the requesting Party with information and data as is reasonably available and reasonably necessary to conduct the Development Program, and such other information as the Parties agree. Neither Party is required to generate additional data or prepare additional reports to comply with the foregoing obligation. Subject to </w:t>
      </w:r>
      <w:r>
        <w:rPr>
          <w:rFonts w:ascii="Times New Roman" w:cs="Times New Roman" w:eastAsia="Times New Roman" w:hAnsi="Times New Roman"/>
          <w:sz w:val="18"/>
          <w:szCs w:val="18"/>
          <w:b w:val="1"/>
          <w:bCs w:val="1"/>
          <w:color w:val="auto"/>
        </w:rPr>
        <w:t>Article 10 (Confidentiality)</w:t>
      </w:r>
      <w:r>
        <w:rPr>
          <w:rFonts w:ascii="Times New Roman" w:cs="Times New Roman" w:eastAsia="Times New Roman" w:hAnsi="Times New Roman"/>
          <w:sz w:val="18"/>
          <w:szCs w:val="18"/>
          <w:color w:val="auto"/>
        </w:rPr>
        <w:t>, all such reports, information and data provided by a Party shall be considered the providing Party’s Confidential Information.</w:t>
      </w:r>
    </w:p>
    <w:p>
      <w:pPr>
        <w:spacing w:after="0" w:line="183" w:lineRule="exact"/>
        <w:rPr>
          <w:sz w:val="20"/>
          <w:szCs w:val="20"/>
          <w:color w:val="auto"/>
        </w:rPr>
      </w:pPr>
    </w:p>
    <w:p>
      <w:pPr>
        <w:ind w:firstLine="973"/>
        <w:spacing w:after="0" w:line="275" w:lineRule="auto"/>
        <w:rPr>
          <w:sz w:val="20"/>
          <w:szCs w:val="20"/>
          <w:color w:val="auto"/>
        </w:rPr>
      </w:pPr>
      <w:r>
        <w:rPr>
          <w:rFonts w:ascii="Times New Roman" w:cs="Times New Roman" w:eastAsia="Times New Roman" w:hAnsi="Times New Roman"/>
          <w:sz w:val="17"/>
          <w:szCs w:val="17"/>
          <w:b w:val="1"/>
          <w:bCs w:val="1"/>
          <w:color w:val="auto"/>
        </w:rPr>
        <w:t>2.5.2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Development Records</w:t>
      </w:r>
      <w:r>
        <w:rPr>
          <w:rFonts w:ascii="Times New Roman" w:cs="Times New Roman" w:eastAsia="Times New Roman" w:hAnsi="Times New Roman"/>
          <w:sz w:val="17"/>
          <w:szCs w:val="17"/>
          <w:color w:val="auto"/>
        </w:rPr>
        <w:t>. Each Party shall maintain records of the Development Program (or cause such records to be maintained)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sufficient detail and in good scientific manner as will properly reflect all work done and results achieved by or on behalf of such Party in the performance of the Development Program. All laboratory notebooks shall be maintained for no less than the [***]. All other records shall be maintained by each Party during the Term and for [***] thereafter. All such records of a Party shall be considered such Party’s Confidential Information.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Development Efforts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2.6.1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Commercially Reasonable Efforts</w:t>
      </w:r>
      <w:r>
        <w:rPr>
          <w:rFonts w:ascii="Times New Roman" w:cs="Times New Roman" w:eastAsia="Times New Roman" w:hAnsi="Times New Roman"/>
          <w:sz w:val="18"/>
          <w:szCs w:val="18"/>
          <w:color w:val="auto"/>
        </w:rPr>
        <w:t>. The Parties shall use Commercially Reasonable Efforts to conduct their respective tasks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Development Program. Each Party shall devote such numbers of scientists and clinical professionals, with the requisite qualifications, as the Development Program may require to meet such Commercially Reasonable Efforts requirement. Such FTEs shall be provided by the employing-Party’s cost. Without limiting the foregoing, it is understood and agreed that each Party will ensure that the Development Program will have sufficient staffing at all times.</w:t>
      </w:r>
    </w:p>
    <w:p>
      <w:pPr>
        <w:spacing w:after="0" w:line="181" w:lineRule="exact"/>
        <w:rPr>
          <w:sz w:val="20"/>
          <w:szCs w:val="20"/>
          <w:color w:val="auto"/>
        </w:rPr>
      </w:pPr>
    </w:p>
    <w:p>
      <w:pPr>
        <w:ind w:right="80"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2.6.2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Additional Efforts</w:t>
      </w:r>
      <w:r>
        <w:rPr>
          <w:rFonts w:ascii="Times New Roman" w:cs="Times New Roman" w:eastAsia="Times New Roman" w:hAnsi="Times New Roman"/>
          <w:sz w:val="18"/>
          <w:szCs w:val="18"/>
          <w:color w:val="auto"/>
        </w:rPr>
        <w:t>. Notwithstanding any Commercially Reasonable Efforts applied by a Party to the Development Program,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shall have the right, by mutual agreement of the Parties, at its sole cost, to apply additional FTEs to conduct activities under the Development Program. CG shall use Commercially Reasonable Efforts to avoid the situations where the development of the Products by its other licensees causes a negative impact on the development of the Products in and outside the Territory.</w:t>
      </w:r>
    </w:p>
    <w:p>
      <w:pPr>
        <w:spacing w:after="0" w:line="177"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Development Costs</w:t>
      </w:r>
      <w:r>
        <w:rPr>
          <w:rFonts w:ascii="Times New Roman" w:cs="Times New Roman" w:eastAsia="Times New Roman" w:hAnsi="Times New Roman"/>
          <w:sz w:val="18"/>
          <w:szCs w:val="18"/>
          <w:color w:val="auto"/>
        </w:rPr>
        <w:t>. The Parties acknowledge and agree as follows: (a) Kissei shall be responsible for (i) all of the internal and external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and expenses for those portions of Clinical Trials (e.g., patient recruitment in the Territory, study sites in the Territory, data collection, analysis and reporting from and for the Territory etc.) conducted solely in or for the Territory, with the exception of the P3 Trial for which Kissei shall be responsible for costs and expenses for Clinical Trials conducted in or for Japan and (ii) non-clinical studies and CMC development reasonably necessary for the Territory and not necessary for the CG Territory, (b)</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00"/>
          </w:cols>
          <w:pgMar w:left="540" w:top="265" w:right="559" w:bottom="1440" w:gutter="0" w:footer="0" w:header="0"/>
        </w:sectPr>
      </w:pPr>
    </w:p>
    <w:bookmarkStart w:id="474" w:name="page475"/>
    <w:bookmarkEnd w:id="474"/>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CG shall be responsible for (i) all of the internal and external costs and expenses for Clinical Trials conducted solely in the CG Territory, [***], (ii) other non-clinical studies and CMC development reasonably necessary for the CG Territory and not necessary for the Territory, and (iii) CG Territory Activities, and (c) Kissei shall be responsible for [***] and CG shall be responsible for [***] of external costs and expenses for Clinical Trials conducted within both the Territory and CG Territory that cannot be attributed solely to the Territory or to the CG Territory, as the case may be, [***], as the case may be Subject to the forgoing, the Parties shall discuss through the JDC which Party shall be the sponsor of and how costs and expenses will be allocated amongst the Parties for, any Clinical Trials with study subjects within and outside of Territory, including the P3 Trial, that, with respect to the Territory, the Parties agree to conduct pursuant to any agreed amendment to the Development Plan, provided that, as between the Parties, CG shall have the deciding vote for all matters outside the Territory relating to Clinical Trials with study subjects outside of the Territory, [***]. On a [***] basis, or such other period as agreed by the JDC, each Party shall provide to the other Party a written invoice for development costs incurred by such Party in the prior [***] for which such other Party is responsible, supported by reasonable documentation for the amounts charged in such invoice(s). Each Party shall remit payment to the other Party within [***] of the date of invoice.</w:t>
      </w:r>
    </w:p>
    <w:p>
      <w:pPr>
        <w:spacing w:after="0" w:line="189" w:lineRule="exact"/>
        <w:rPr>
          <w:sz w:val="20"/>
          <w:szCs w:val="20"/>
          <w:color w:val="auto"/>
        </w:rPr>
      </w:pPr>
    </w:p>
    <w:p>
      <w:pPr>
        <w:ind w:right="54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Cooperation</w:t>
      </w:r>
      <w:r>
        <w:rPr>
          <w:rFonts w:ascii="Times New Roman" w:cs="Times New Roman" w:eastAsia="Times New Roman" w:hAnsi="Times New Roman"/>
          <w:sz w:val="18"/>
          <w:szCs w:val="18"/>
          <w:color w:val="auto"/>
        </w:rPr>
        <w:t>. The Parties shall reasonably cooperate with each other for the preparation of documents necessary for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investigator’s brochure and for obtaining Marketing Approval in their respective territories.</w:t>
      </w:r>
    </w:p>
    <w:p>
      <w:pPr>
        <w:spacing w:after="0" w:line="16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Dispatch</w:t>
      </w:r>
      <w:r>
        <w:rPr>
          <w:rFonts w:ascii="Times New Roman" w:cs="Times New Roman" w:eastAsia="Times New Roman" w:hAnsi="Times New Roman"/>
          <w:sz w:val="18"/>
          <w:szCs w:val="18"/>
          <w:color w:val="auto"/>
        </w:rPr>
        <w:t>. If Kissei wishes to dispatch its personnel to CG’s facilities for purposes of training or information sharing, the Parties shall discuss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details. In addition, if Kissei requests access to the facilities of CG’s CMO or CRO under contract with CG with respect to the Product, CG shall use reasonable efforts to obtain such Third Party’s consent to accommodate such requests, provided that Kissei acknowledges CG does not guarantee such access.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Joint Development Committee</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60" w:firstLine="973"/>
        <w:spacing w:after="0" w:line="250" w:lineRule="auto"/>
        <w:rPr>
          <w:sz w:val="20"/>
          <w:szCs w:val="20"/>
          <w:color w:val="auto"/>
        </w:rPr>
      </w:pPr>
      <w:r>
        <w:rPr>
          <w:rFonts w:ascii="Times New Roman" w:cs="Times New Roman" w:eastAsia="Times New Roman" w:hAnsi="Times New Roman"/>
          <w:sz w:val="18"/>
          <w:szCs w:val="18"/>
          <w:b w:val="1"/>
          <w:bCs w:val="1"/>
          <w:color w:val="auto"/>
        </w:rPr>
        <w:t>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Formation and Composition</w:t>
      </w:r>
      <w:r>
        <w:rPr>
          <w:rFonts w:ascii="Times New Roman" w:cs="Times New Roman" w:eastAsia="Times New Roman" w:hAnsi="Times New Roman"/>
          <w:sz w:val="18"/>
          <w:szCs w:val="18"/>
          <w:color w:val="auto"/>
        </w:rPr>
        <w:t>. Within thirty (30) days after the Effective Date, the Parties shall establish a joint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 “</w:t>
      </w:r>
      <w:r>
        <w:rPr>
          <w:rFonts w:ascii="Times New Roman" w:cs="Times New Roman" w:eastAsia="Times New Roman" w:hAnsi="Times New Roman"/>
          <w:sz w:val="18"/>
          <w:szCs w:val="18"/>
          <w:b w:val="1"/>
          <w:bCs w:val="1"/>
          <w:color w:val="auto"/>
        </w:rPr>
        <w:t>JDC</w:t>
      </w:r>
      <w:r>
        <w:rPr>
          <w:rFonts w:ascii="Times New Roman" w:cs="Times New Roman" w:eastAsia="Times New Roman" w:hAnsi="Times New Roman"/>
          <w:sz w:val="18"/>
          <w:szCs w:val="18"/>
          <w:color w:val="auto"/>
        </w:rPr>
        <w:t>”) to (i) manage the activities under, and facilitate communications between the Parties with respect to, the Development Program, and (ii) discuss CG Territory Activities. The JDC’s authority shall be strictly limited to development activities for and within the Territory. The JDC shall be composed of [***] designated by each Party. Representatives must be appropriate for the tasks then being undertaken and the stage of research or pre-clinical development, in terms of their seniority, availability, function in their respective organizations, training and experience. Each Party shall designate one of its representatives as its primary JDC contact (each, a “</w:t>
      </w:r>
      <w:r>
        <w:rPr>
          <w:rFonts w:ascii="Times New Roman" w:cs="Times New Roman" w:eastAsia="Times New Roman" w:hAnsi="Times New Roman"/>
          <w:sz w:val="18"/>
          <w:szCs w:val="18"/>
          <w:b w:val="1"/>
          <w:bCs w:val="1"/>
          <w:color w:val="auto"/>
        </w:rPr>
        <w:t>Project Co-Leader</w:t>
      </w:r>
      <w:r>
        <w:rPr>
          <w:rFonts w:ascii="Times New Roman" w:cs="Times New Roman" w:eastAsia="Times New Roman" w:hAnsi="Times New Roman"/>
          <w:sz w:val="18"/>
          <w:szCs w:val="18"/>
          <w:color w:val="auto"/>
        </w:rPr>
        <w:t xml:space="preserve">”). Each Party may replace its representatives from time to time upon written notice to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a Party’s representative is unable to attend a meeting, such Party may designate a knowledgeable alternate to attend such meeting and perform the functions of such representative.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00"/>
          </w:cols>
          <w:pgMar w:left="540" w:top="266" w:right="559" w:bottom="1440" w:gutter="0" w:footer="0" w:header="0"/>
        </w:sectPr>
      </w:pPr>
    </w:p>
    <w:bookmarkStart w:id="475" w:name="page476"/>
    <w:bookmarkEnd w:id="475"/>
    <w:p>
      <w:pPr>
        <w:ind w:lef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3.1.2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JDC Responsibilities</w:t>
      </w:r>
      <w:r>
        <w:rPr>
          <w:rFonts w:ascii="Times New Roman" w:cs="Times New Roman" w:eastAsia="Times New Roman" w:hAnsi="Times New Roman"/>
          <w:sz w:val="17"/>
          <w:szCs w:val="17"/>
          <w:color w:val="auto"/>
        </w:rPr>
        <w:t>. In addition to its overall responsibility for managing the Development Program, the JDC shall, in particular:</w:t>
      </w:r>
    </w:p>
    <w:p>
      <w:pPr>
        <w:spacing w:after="0" w:line="2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prepare and approve amendments to the Development Plan;</w:t>
      </w:r>
    </w:p>
    <w:p>
      <w:pPr>
        <w:spacing w:after="0" w:line="217" w:lineRule="exact"/>
        <w:rPr>
          <w:sz w:val="20"/>
          <w:szCs w:val="20"/>
          <w:color w:val="auto"/>
        </w:rPr>
      </w:pPr>
    </w:p>
    <w:p>
      <w:pPr>
        <w:ind w:right="16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oversee implementation of the Development Plan in and for the Territory, ensuring that activities thereunder are performed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approved timelines and budgets;</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request from CG as needed, information or reports regarding CG Territory Activities and discuss such CG Territory Activities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appropriate;</w:t>
      </w:r>
    </w:p>
    <w:p>
      <w:pPr>
        <w:spacing w:after="0" w:line="196" w:lineRule="exact"/>
        <w:rPr>
          <w:sz w:val="20"/>
          <w:szCs w:val="20"/>
          <w:color w:val="auto"/>
        </w:rPr>
      </w:pPr>
    </w:p>
    <w:p>
      <w:pPr>
        <w:ind w:right="8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ensure that each Party keeps the JDC informed regarding all material activities performed by such Party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within the purview of the JDC;</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generate and maintain a list of all Products identified under the Development Program;</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work to resolve any scientific, clinical, or technical disputes, controversy or claim within its scope of authority;</w:t>
      </w:r>
    </w:p>
    <w:p>
      <w:pPr>
        <w:spacing w:after="0" w:line="217" w:lineRule="exact"/>
        <w:rPr>
          <w:sz w:val="20"/>
          <w:szCs w:val="20"/>
          <w:color w:val="auto"/>
        </w:rPr>
      </w:pPr>
    </w:p>
    <w:p>
      <w:pPr>
        <w:ind w:right="180" w:firstLine="1406"/>
        <w:spacing w:after="0" w:line="261"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determine whether Kissei may conduct (or appoint, license, or otherwise authorize or facilitate any Affiliate or Third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conduct) activities directed to the development of any Collaboration Compound or Product for another Indication in the Territory as set forth in </w:t>
      </w:r>
      <w:r>
        <w:rPr>
          <w:rFonts w:ascii="Times New Roman" w:cs="Times New Roman" w:eastAsia="Times New Roman" w:hAnsi="Times New Roman"/>
          <w:sz w:val="18"/>
          <w:szCs w:val="18"/>
          <w:b w:val="1"/>
          <w:bCs w:val="1"/>
          <w:color w:val="auto"/>
        </w:rPr>
        <w:t>Section 2.2.3 (Certain Activities)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6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determine whether to provide Product to support any proposal for an investigator-initiated study of such Product as set forth in</w:t>
      </w:r>
      <w:r>
        <w:rPr>
          <w:rFonts w:ascii="Times New Roman" w:cs="Times New Roman" w:eastAsia="Times New Roman" w:hAnsi="Times New Roman"/>
          <w:sz w:val="18"/>
          <w:szCs w:val="18"/>
          <w:b w:val="1"/>
          <w:bCs w:val="1"/>
          <w:color w:val="auto"/>
        </w:rPr>
        <w:t xml:space="preserve"> Section 2.2.2 (Certain Activities)</w:t>
      </w:r>
      <w:r>
        <w:rPr>
          <w:rFonts w:ascii="Times New Roman" w:cs="Times New Roman" w:eastAsia="Times New Roman" w:hAnsi="Times New Roman"/>
          <w:sz w:val="18"/>
          <w:szCs w:val="18"/>
          <w:color w:val="auto"/>
        </w:rPr>
        <w:t>; and</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perform such other functions as may be allocated to the JDC under this Agreement or by mutual written agreement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Joint Patent Working Group</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160"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3.2.1</w:t>
      </w:r>
      <w:r>
        <w:rPr>
          <w:rFonts w:ascii="Times New Roman" w:cs="Times New Roman" w:eastAsia="Times New Roman" w:hAnsi="Times New Roman"/>
          <w:sz w:val="18"/>
          <w:szCs w:val="18"/>
          <w:color w:val="auto"/>
        </w:rPr>
        <w:t xml:space="preserve">  As soon as reasonably possible and in any event within sixty (60) days after the Effective Date, the Parties shall establish a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working group (“</w:t>
      </w:r>
      <w:r>
        <w:rPr>
          <w:rFonts w:ascii="Times New Roman" w:cs="Times New Roman" w:eastAsia="Times New Roman" w:hAnsi="Times New Roman"/>
          <w:sz w:val="18"/>
          <w:szCs w:val="18"/>
          <w:b w:val="1"/>
          <w:bCs w:val="1"/>
          <w:color w:val="auto"/>
        </w:rPr>
        <w:t>JPWG</w:t>
      </w:r>
      <w:r>
        <w:rPr>
          <w:rFonts w:ascii="Times New Roman" w:cs="Times New Roman" w:eastAsia="Times New Roman" w:hAnsi="Times New Roman"/>
          <w:sz w:val="18"/>
          <w:szCs w:val="18"/>
          <w:color w:val="auto"/>
        </w:rPr>
        <w:t>”), which shall consist of at least [***] of each Party, unless otherwise agreed by the Parties. The JPWG shall provide a forum for the exchange of information between the Parties, and shall undertake a decision-making role with respect to the intellectual property matters arising under the collaboration, including with respect to the protection of the Collaboration IP and the Prosecution and Maintenance of the CG Collaboration Patents and Kissei Collaboration Patents.</w:t>
      </w:r>
    </w:p>
    <w:p>
      <w:pPr>
        <w:spacing w:after="0" w:line="181" w:lineRule="exact"/>
        <w:rPr>
          <w:sz w:val="20"/>
          <w:szCs w:val="20"/>
          <w:color w:val="auto"/>
        </w:rPr>
      </w:pPr>
    </w:p>
    <w:p>
      <w:pPr>
        <w:ind w:right="26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3.2.2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JPWG Responsibilities</w:t>
      </w:r>
      <w:r>
        <w:rPr>
          <w:rFonts w:ascii="Times New Roman" w:cs="Times New Roman" w:eastAsia="Times New Roman" w:hAnsi="Times New Roman"/>
          <w:sz w:val="18"/>
          <w:szCs w:val="18"/>
          <w:color w:val="auto"/>
        </w:rPr>
        <w:t>. In addition to its overall responsibility for overseeing and coordinating the Parties’ efforts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of the Collaboration IP and the Prosecution and Maintenance of the CG Collaboration Patents and Kissei Collaboration Patents, the JPWG shall, in particular: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00"/>
          </w:cols>
          <w:pgMar w:left="540" w:top="265" w:right="559" w:bottom="1440" w:gutter="0" w:footer="0" w:header="0"/>
        </w:sectPr>
      </w:pPr>
    </w:p>
    <w:bookmarkStart w:id="476" w:name="page477"/>
    <w:bookmarkEnd w:id="476"/>
    <w:p>
      <w:pPr>
        <w:ind w:right="2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w:t>
      </w:r>
      <w:r>
        <w:rPr>
          <w:rFonts w:ascii="Times New Roman" w:cs="Times New Roman" w:eastAsia="Times New Roman" w:hAnsi="Times New Roman"/>
          <w:sz w:val="18"/>
          <w:szCs w:val="18"/>
          <w:color w:val="auto"/>
        </w:rPr>
        <w:t xml:space="preserve">  establish strategies for Prosecuting and Maintaining the CG Collaboration Patents and the Kissei Collaboration Patents; review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recommend to the Parties assessments of inventorship pursuant to </w:t>
      </w:r>
      <w:r>
        <w:rPr>
          <w:rFonts w:ascii="Times New Roman" w:cs="Times New Roman" w:eastAsia="Times New Roman" w:hAnsi="Times New Roman"/>
          <w:sz w:val="18"/>
          <w:szCs w:val="18"/>
          <w:b w:val="1"/>
          <w:bCs w:val="1"/>
          <w:color w:val="auto"/>
        </w:rPr>
        <w:t>Section 9.3 (Inventorship; CREATE Act)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38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oversee and coordinate the conduct of enforcement and defense of the CG Collaboration Patents and Kissei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Patents pursuant to </w:t>
      </w:r>
      <w:r>
        <w:rPr>
          <w:rFonts w:ascii="Times New Roman" w:cs="Times New Roman" w:eastAsia="Times New Roman" w:hAnsi="Times New Roman"/>
          <w:sz w:val="18"/>
          <w:szCs w:val="18"/>
          <w:b w:val="1"/>
          <w:bCs w:val="1"/>
          <w:color w:val="auto"/>
        </w:rPr>
        <w:t>Article 9 (Intellectual Property; Ownership)</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140" w:firstLine="1406"/>
        <w:spacing w:after="0" w:line="261"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determine whether any use of Kissei IP in the Development Program constitutes incidental use, in which case the Know-How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discovered or obtained by either Party resulting from such incidental use of Kissei IP will be Joint Collaboration Know-How, otherwise the Know-How will be Kissei Collaboration Know-How; and</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serve as an information exchange with respect to filing and prosecution of CG Patents.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perform such other functions as specified in this Agreement.</w:t>
      </w:r>
    </w:p>
    <w:p>
      <w:pPr>
        <w:spacing w:after="0" w:line="217" w:lineRule="exact"/>
        <w:rPr>
          <w:sz w:val="20"/>
          <w:szCs w:val="20"/>
          <w:color w:val="auto"/>
        </w:rPr>
      </w:pPr>
    </w:p>
    <w:p>
      <w:pPr>
        <w:ind w:right="180" w:firstLine="432"/>
        <w:spacing w:after="0" w:line="271" w:lineRule="auto"/>
        <w:rPr>
          <w:sz w:val="20"/>
          <w:szCs w:val="20"/>
          <w:color w:val="auto"/>
        </w:rPr>
      </w:pPr>
      <w:r>
        <w:rPr>
          <w:rFonts w:ascii="Times New Roman" w:cs="Times New Roman" w:eastAsia="Times New Roman" w:hAnsi="Times New Roman"/>
          <w:sz w:val="17"/>
          <w:szCs w:val="17"/>
          <w:b w:val="1"/>
          <w:bCs w:val="1"/>
          <w:color w:val="auto"/>
        </w:rPr>
        <w:t>3.3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Joint Manufacturing Working Group</w:t>
      </w:r>
      <w:r>
        <w:rPr>
          <w:rFonts w:ascii="Times New Roman" w:cs="Times New Roman" w:eastAsia="Times New Roman" w:hAnsi="Times New Roman"/>
          <w:sz w:val="17"/>
          <w:szCs w:val="17"/>
          <w:color w:val="auto"/>
        </w:rPr>
        <w:t>. As soon as reasonably possible and in any event within [***] after the Effective Date, the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establish a joint manufacturing working group (“</w:t>
      </w:r>
      <w:r>
        <w:rPr>
          <w:rFonts w:ascii="Times New Roman" w:cs="Times New Roman" w:eastAsia="Times New Roman" w:hAnsi="Times New Roman"/>
          <w:sz w:val="17"/>
          <w:szCs w:val="17"/>
          <w:b w:val="1"/>
          <w:bCs w:val="1"/>
          <w:color w:val="auto"/>
        </w:rPr>
        <w:t>JMWG</w:t>
      </w:r>
      <w:r>
        <w:rPr>
          <w:rFonts w:ascii="Times New Roman" w:cs="Times New Roman" w:eastAsia="Times New Roman" w:hAnsi="Times New Roman"/>
          <w:sz w:val="17"/>
          <w:szCs w:val="17"/>
          <w:color w:val="auto"/>
        </w:rPr>
        <w:t>”), which shall consist of at least [***] of each Party, unless otherwise agreed by the Parties. The JMWG shall provide a forum for the exchange of information between the Parties with respect to the CMC matters, including visit of Kissei’s experts to CMO’s site during manufacturing the Collaboration Compound and Product, securing close communication among CG, its CMOs and Kissei, discussing the CMC regulatory strategies in and outside the Territory, and other CMC matters agreed by the JMWG.</w:t>
      </w:r>
    </w:p>
    <w:p>
      <w:pPr>
        <w:spacing w:after="0" w:line="168"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Working Groups; Other Committees</w:t>
      </w:r>
      <w:r>
        <w:rPr>
          <w:rFonts w:ascii="Times New Roman" w:cs="Times New Roman" w:eastAsia="Times New Roman" w:hAnsi="Times New Roman"/>
          <w:sz w:val="18"/>
          <w:szCs w:val="18"/>
          <w:color w:val="auto"/>
        </w:rPr>
        <w:t>. From time to time, the Parties may also establish and delegate duties to directed teams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committees on an “as-needed” basis to oversee particular projects or activities, and such teams shall be constituted and shall operate as the Parties determine. Each such team and its activities shall be subject to the oversight, review and approval of, and shall report to, the JDC. In no event shall the authority of a team exceed that specified for the JDC in this </w:t>
      </w:r>
      <w:r>
        <w:rPr>
          <w:rFonts w:ascii="Times New Roman" w:cs="Times New Roman" w:eastAsia="Times New Roman" w:hAnsi="Times New Roman"/>
          <w:sz w:val="18"/>
          <w:szCs w:val="18"/>
          <w:b w:val="1"/>
          <w:bCs w:val="1"/>
          <w:color w:val="auto"/>
        </w:rPr>
        <w:t>Article 3 (Governance)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Meetings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6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3.5.1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JDC</w:t>
      </w:r>
      <w:r>
        <w:rPr>
          <w:rFonts w:ascii="Times New Roman" w:cs="Times New Roman" w:eastAsia="Times New Roman" w:hAnsi="Times New Roman"/>
          <w:sz w:val="18"/>
          <w:szCs w:val="18"/>
          <w:color w:val="auto"/>
        </w:rPr>
        <w:t>. The JDC shall meet at least [***], or at such other frequency as agreed by the JDC by audio or video teleconference or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agreed by the JDC.</w:t>
      </w:r>
    </w:p>
    <w:p>
      <w:pPr>
        <w:spacing w:after="0" w:line="160" w:lineRule="exact"/>
        <w:rPr>
          <w:sz w:val="20"/>
          <w:szCs w:val="20"/>
          <w:color w:val="auto"/>
        </w:rPr>
      </w:pPr>
    </w:p>
    <w:p>
      <w:pPr>
        <w:ind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3.5.2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JPWG</w:t>
      </w:r>
      <w:r>
        <w:rPr>
          <w:rFonts w:ascii="Times New Roman" w:cs="Times New Roman" w:eastAsia="Times New Roman" w:hAnsi="Times New Roman"/>
          <w:sz w:val="18"/>
          <w:szCs w:val="18"/>
          <w:color w:val="auto"/>
        </w:rPr>
        <w:t>. The JPWG shall meet at least [***], or at such other frequency as agreed by the JPWG by audio or video teleconference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otherwise agreed by the JPWG.</w:t>
      </w:r>
    </w:p>
    <w:p>
      <w:pPr>
        <w:spacing w:after="0" w:line="160" w:lineRule="exact"/>
        <w:rPr>
          <w:sz w:val="20"/>
          <w:szCs w:val="20"/>
          <w:color w:val="auto"/>
        </w:rPr>
      </w:pPr>
    </w:p>
    <w:p>
      <w:pPr>
        <w:ind w:right="2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3.5.3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JMWG</w:t>
      </w:r>
      <w:r>
        <w:rPr>
          <w:rFonts w:ascii="Times New Roman" w:cs="Times New Roman" w:eastAsia="Times New Roman" w:hAnsi="Times New Roman"/>
          <w:sz w:val="18"/>
          <w:szCs w:val="18"/>
          <w:color w:val="auto"/>
        </w:rPr>
        <w:t>. The JMWG shall meet at least [***], or at such other frequency as agreed by the JMWG by audio or video teleconference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otherwise agreed by the JMWG.</w:t>
      </w:r>
    </w:p>
    <w:p>
      <w:pPr>
        <w:spacing w:after="0" w:line="160" w:lineRule="exact"/>
        <w:rPr>
          <w:sz w:val="20"/>
          <w:szCs w:val="20"/>
          <w:color w:val="auto"/>
        </w:rPr>
      </w:pPr>
    </w:p>
    <w:p>
      <w:pPr>
        <w:ind w:right="16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3.5.4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Meeting Agendas and Minutes</w:t>
      </w:r>
      <w:r>
        <w:rPr>
          <w:rFonts w:ascii="Times New Roman" w:cs="Times New Roman" w:eastAsia="Times New Roman" w:hAnsi="Times New Roman"/>
          <w:sz w:val="18"/>
          <w:szCs w:val="18"/>
          <w:color w:val="auto"/>
        </w:rPr>
        <w:t>. Not later than [***] after the JDC, JPWG and JMWG are formed, the respective committees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working group, as applicable, shall each hold an organizational meeting by video- or tele-conference to establish their respective operating</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80"/>
          </w:cols>
          <w:pgMar w:left="540" w:top="265" w:right="579" w:bottom="1440" w:gutter="0" w:footer="0" w:header="0"/>
        </w:sectPr>
      </w:pPr>
    </w:p>
    <w:bookmarkStart w:id="477" w:name="page478"/>
    <w:bookmarkEnd w:id="47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procedures, including establishment of agendas, and preparation and approvals of minutes. Kissei shall be responsible for keeping the minutes for the initial meetings of the JDC, JPWG and JMWG. Thereafter, the Parties shall take turns with such responsibility. Meeting minutes shall be sent to both Parties promptly after a meeting for review, comment and approval by each Party. A decision that is made at the JDC, JPWG or JMWG meeting shall be recorded in minutes, and decisions that are made by the JDC, JPWG or JMWG outside of a meeting should be documented in writing.</w:t>
      </w:r>
    </w:p>
    <w:p>
      <w:pPr>
        <w:spacing w:after="0" w:line="178" w:lineRule="exact"/>
        <w:rPr>
          <w:sz w:val="20"/>
          <w:szCs w:val="20"/>
          <w:color w:val="auto"/>
        </w:rPr>
      </w:pPr>
    </w:p>
    <w:p>
      <w:pPr>
        <w:ind w:right="40" w:firstLine="973"/>
        <w:spacing w:after="0" w:line="251" w:lineRule="auto"/>
        <w:rPr>
          <w:sz w:val="20"/>
          <w:szCs w:val="20"/>
          <w:color w:val="auto"/>
        </w:rPr>
      </w:pPr>
      <w:r>
        <w:rPr>
          <w:rFonts w:ascii="Times New Roman" w:cs="Times New Roman" w:eastAsia="Times New Roman" w:hAnsi="Times New Roman"/>
          <w:sz w:val="18"/>
          <w:szCs w:val="18"/>
          <w:b w:val="1"/>
          <w:bCs w:val="1"/>
          <w:color w:val="auto"/>
        </w:rPr>
        <w:t>3.5.5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General</w:t>
      </w:r>
      <w:r>
        <w:rPr>
          <w:rFonts w:ascii="Times New Roman" w:cs="Times New Roman" w:eastAsia="Times New Roman" w:hAnsi="Times New Roman"/>
          <w:sz w:val="18"/>
          <w:szCs w:val="18"/>
          <w:color w:val="auto"/>
        </w:rPr>
        <w:t>. Employees of each Party other than its JDC, JPWG or JMWG representatives may attend meetings of the JDC, JPWG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JMWG as nonvoting participants, and, with the consent of the other Party, a Party’s consultants and advisors involved in the Development Program may attend meetings of the JDC, JPWG or JMWG as nonvoting observers; provided, that such Third Party consultants and advisors are under written obligations of confidentiality and non-use at least as protective of the other Party and the Confidential Information of the other Party as the terms of </w:t>
      </w:r>
      <w:r>
        <w:rPr>
          <w:rFonts w:ascii="Times New Roman" w:cs="Times New Roman" w:eastAsia="Times New Roman" w:hAnsi="Times New Roman"/>
          <w:sz w:val="18"/>
          <w:szCs w:val="18"/>
          <w:b w:val="1"/>
          <w:bCs w:val="1"/>
          <w:color w:val="auto"/>
        </w:rPr>
        <w:t xml:space="preserve">Article 10 (Confidentiality) </w:t>
      </w:r>
      <w:r>
        <w:rPr>
          <w:rFonts w:ascii="Times New Roman" w:cs="Times New Roman" w:eastAsia="Times New Roman" w:hAnsi="Times New Roman"/>
          <w:sz w:val="18"/>
          <w:szCs w:val="18"/>
          <w:color w:val="auto"/>
        </w:rPr>
        <w:t>of this Agreement. Subject to</w:t>
      </w:r>
      <w:r>
        <w:rPr>
          <w:rFonts w:ascii="Times New Roman" w:cs="Times New Roman" w:eastAsia="Times New Roman" w:hAnsi="Times New Roman"/>
          <w:sz w:val="18"/>
          <w:szCs w:val="18"/>
          <w:b w:val="1"/>
          <w:bCs w:val="1"/>
          <w:color w:val="auto"/>
        </w:rPr>
        <w:t xml:space="preserve"> Section 2.7 (Development Costs)</w:t>
      </w:r>
      <w:r>
        <w:rPr>
          <w:rFonts w:ascii="Times New Roman" w:cs="Times New Roman" w:eastAsia="Times New Roman" w:hAnsi="Times New Roman"/>
          <w:sz w:val="18"/>
          <w:szCs w:val="18"/>
          <w:color w:val="auto"/>
        </w:rPr>
        <w:t>, Each Party shall be responsible for all of its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of participating in the JDC, JPWG or JMWG.</w:t>
      </w:r>
    </w:p>
    <w:p>
      <w:pPr>
        <w:spacing w:after="0" w:line="185"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JDC Decision-Making</w:t>
      </w:r>
      <w:r>
        <w:rPr>
          <w:rFonts w:ascii="Times New Roman" w:cs="Times New Roman" w:eastAsia="Times New Roman" w:hAnsi="Times New Roman"/>
          <w:sz w:val="18"/>
          <w:szCs w:val="18"/>
          <w:color w:val="auto"/>
        </w:rPr>
        <w:t>. Each Party shall discuss and attempt to resolve any potential or evolving disagreement related to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through its respective Project Co-Leaders before it is brought before the JDC. The JDC shall operate as to matters within its responsibility by unanimous Party vote, with each Party having one vote. If the JDC is unable to achieve unanimous Party vote within [***] after the dispute matter is brought to a vote before the JDC then the following will apply:</w:t>
      </w:r>
    </w:p>
    <w:p>
      <w:pPr>
        <w:spacing w:after="0" w:line="17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CG shall cast the deciding vote for:</w:t>
      </w:r>
    </w:p>
    <w:p>
      <w:pPr>
        <w:spacing w:after="0" w:line="21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   [***] and</w:t>
      </w:r>
    </w:p>
    <w:p>
      <w:pPr>
        <w:spacing w:after="0" w:line="21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(ii)   [***],</w:t>
      </w:r>
    </w:p>
    <w:p>
      <w:pPr>
        <w:spacing w:after="0" w:line="21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(iii)   [***].</w:t>
      </w:r>
    </w:p>
    <w:p>
      <w:pPr>
        <w:spacing w:after="0" w:line="2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Kissei shall cast the deciding vote for [***].</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Notwithstanding the forgoing and for the avoidance of doubt:</w:t>
      </w:r>
    </w:p>
    <w:p>
      <w:pPr>
        <w:spacing w:after="0" w:line="219" w:lineRule="exact"/>
        <w:rPr>
          <w:sz w:val="20"/>
          <w:szCs w:val="20"/>
          <w:color w:val="auto"/>
        </w:rPr>
      </w:pPr>
    </w:p>
    <w:p>
      <w:pPr>
        <w:ind w:firstLine="1946"/>
        <w:spacing w:after="0" w:line="274" w:lineRule="auto"/>
        <w:rPr>
          <w:sz w:val="20"/>
          <w:szCs w:val="20"/>
          <w:color w:val="auto"/>
        </w:rPr>
      </w:pPr>
      <w:r>
        <w:rPr>
          <w:rFonts w:ascii="Times New Roman" w:cs="Times New Roman" w:eastAsia="Times New Roman" w:hAnsi="Times New Roman"/>
          <w:sz w:val="17"/>
          <w:szCs w:val="17"/>
          <w:color w:val="auto"/>
        </w:rPr>
        <w:t>(i)  neither the JDC nor either Party shall have the authority to (1) impose any financial obligations on either Party or its Affiliates other than those explicitly required by this Agreement, (2) resolve any dispute regarding the existence of amounts of any payment owed under this Agreement, (3) impose on either Party or its Affiliates, an obligation to allocate such Party’s or its Affiliate’s tangible or intangible resources or assets in a certain manner (except as contemplated in the Development Plan) or (4) amend or modify, or waive its own compliance with, this Agreement;</w:t>
      </w:r>
    </w:p>
    <w:p>
      <w:pPr>
        <w:spacing w:after="0" w:line="167" w:lineRule="exact"/>
        <w:rPr>
          <w:sz w:val="20"/>
          <w:szCs w:val="20"/>
          <w:color w:val="auto"/>
        </w:rPr>
      </w:pPr>
    </w:p>
    <w:p>
      <w:pPr>
        <w:ind w:right="360" w:firstLine="1946"/>
        <w:spacing w:after="0" w:line="274" w:lineRule="auto"/>
        <w:rPr>
          <w:sz w:val="20"/>
          <w:szCs w:val="20"/>
          <w:color w:val="auto"/>
        </w:rPr>
      </w:pPr>
      <w:r>
        <w:rPr>
          <w:rFonts w:ascii="Times New Roman" w:cs="Times New Roman" w:eastAsia="Times New Roman" w:hAnsi="Times New Roman"/>
          <w:sz w:val="18"/>
          <w:szCs w:val="18"/>
          <w:color w:val="auto"/>
        </w:rPr>
        <w:t>(ii)  neither the JDC nor Kissei shall have the right to increase the level of CG’s FTEs dedicated to conducting research under the Development Plan;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00"/>
          </w:cols>
          <w:pgMar w:left="540" w:top="267" w:right="559" w:bottom="1440" w:gutter="0" w:footer="0" w:header="0"/>
        </w:sectPr>
      </w:pPr>
    </w:p>
    <w:bookmarkStart w:id="478" w:name="page479"/>
    <w:bookmarkEnd w:id="478"/>
    <w:p>
      <w:pPr>
        <w:ind w:left="2" w:right="260" w:firstLine="1946"/>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(iii)  neither the JDC nor Kissei shall have any authority over CG Territory Activities other than to discuss and exchange information with respect to CG Territory Activities;</w:t>
      </w:r>
    </w:p>
    <w:p>
      <w:pPr>
        <w:spacing w:after="0" w:line="163" w:lineRule="exact"/>
        <w:rPr>
          <w:sz w:val="20"/>
          <w:szCs w:val="20"/>
          <w:color w:val="auto"/>
        </w:rPr>
      </w:pPr>
    </w:p>
    <w:p>
      <w:pPr>
        <w:ind w:left="2" w:right="100" w:firstLine="1946"/>
        <w:spacing w:after="0" w:line="272" w:lineRule="auto"/>
        <w:rPr>
          <w:sz w:val="20"/>
          <w:szCs w:val="20"/>
          <w:color w:val="auto"/>
        </w:rPr>
      </w:pPr>
      <w:r>
        <w:rPr>
          <w:rFonts w:ascii="Times New Roman" w:cs="Times New Roman" w:eastAsia="Times New Roman" w:hAnsi="Times New Roman"/>
          <w:sz w:val="17"/>
          <w:szCs w:val="17"/>
          <w:color w:val="auto"/>
        </w:rPr>
        <w:t>(iv)  Kissei shall not have the right to (1) change the scope of, or otherwise amend, the Development Plan, (2) approve any proposal to substitute the Initial Indication with an Other Indication in the Development Plan, (3) approve any addition or replacement of any Product,</w:t>
      </w:r>
    </w:p>
    <w:p>
      <w:pPr>
        <w:ind w:left="2" w:right="60" w:hanging="2"/>
        <w:spacing w:after="0" w:line="247" w:lineRule="auto"/>
        <w:tabs>
          <w:tab w:leader="none" w:pos="252"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determine whether Kissei may conduct (or appoint, license, or otherwise authorize or facilitate any Affiliate or Third Party to conduct) activities directed to the research or development of any Collaboration Compound or Product for an Other Indication as set forth in </w:t>
      </w:r>
      <w:r>
        <w:rPr>
          <w:rFonts w:ascii="Times New Roman" w:cs="Times New Roman" w:eastAsia="Times New Roman" w:hAnsi="Times New Roman"/>
          <w:sz w:val="18"/>
          <w:szCs w:val="18"/>
          <w:b w:val="1"/>
          <w:bCs w:val="1"/>
          <w:color w:val="auto"/>
        </w:rPr>
        <w:t>Section 2.2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Activities) </w:t>
      </w:r>
      <w:r>
        <w:rPr>
          <w:rFonts w:ascii="Times New Roman" w:cs="Times New Roman" w:eastAsia="Times New Roman" w:hAnsi="Times New Roman"/>
          <w:sz w:val="18"/>
          <w:szCs w:val="18"/>
          <w:color w:val="auto"/>
        </w:rPr>
        <w:t>or (5) determine whether to provide Product to support any investigator-initiated study of such Product as set forth in</w:t>
      </w:r>
      <w:r>
        <w:rPr>
          <w:rFonts w:ascii="Times New Roman" w:cs="Times New Roman" w:eastAsia="Times New Roman" w:hAnsi="Times New Roman"/>
          <w:sz w:val="18"/>
          <w:szCs w:val="18"/>
          <w:b w:val="1"/>
          <w:bCs w:val="1"/>
          <w:color w:val="auto"/>
        </w:rPr>
        <w:t xml:space="preserve"> Section 2.2.2 (Certain Activities)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 w:right="20" w:firstLine="1946"/>
        <w:spacing w:after="0" w:line="25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if the JDC is unable to achieve a unanimous agreement within [***] after any of the following matters are brought to vote before the JDC, then such matter(s) shall be submitted for resolution pursuant to </w:t>
      </w:r>
      <w:r>
        <w:rPr>
          <w:rFonts w:ascii="Times New Roman" w:cs="Times New Roman" w:eastAsia="Times New Roman" w:hAnsi="Times New Roman"/>
          <w:sz w:val="18"/>
          <w:szCs w:val="18"/>
          <w:b w:val="1"/>
          <w:bCs w:val="1"/>
          <w:color w:val="auto"/>
        </w:rPr>
        <w:t>Article 15 (Dispute 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any matter set forth in subparagraph </w:t>
      </w:r>
      <w:r>
        <w:rPr>
          <w:rFonts w:ascii="Times New Roman" w:cs="Times New Roman" w:eastAsia="Times New Roman" w:hAnsi="Times New Roman"/>
          <w:sz w:val="18"/>
          <w:szCs w:val="18"/>
          <w:b w:val="1"/>
          <w:bCs w:val="1"/>
          <w:color w:val="auto"/>
        </w:rPr>
        <w:t>3.6(c)(iv)</w:t>
      </w:r>
      <w:r>
        <w:rPr>
          <w:rFonts w:ascii="Times New Roman" w:cs="Times New Roman" w:eastAsia="Times New Roman" w:hAnsi="Times New Roman"/>
          <w:sz w:val="18"/>
          <w:szCs w:val="18"/>
          <w:color w:val="auto"/>
        </w:rPr>
        <w:t xml:space="preserve"> above, (2) any dispute within the JDC regarding </w:t>
      </w:r>
      <w:r>
        <w:rPr>
          <w:rFonts w:ascii="Times New Roman" w:cs="Times New Roman" w:eastAsia="Times New Roman" w:hAnsi="Times New Roman"/>
          <w:sz w:val="18"/>
          <w:szCs w:val="18"/>
          <w:b w:val="1"/>
          <w:bCs w:val="1"/>
          <w:color w:val="auto"/>
        </w:rPr>
        <w:t>Section 7.4.3 (Royalty Payment Offsets)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including,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xml:space="preserve"> and by way of example, any dispute under </w:t>
      </w:r>
      <w:r>
        <w:rPr>
          <w:rFonts w:ascii="Times New Roman" w:cs="Times New Roman" w:eastAsia="Times New Roman" w:hAnsi="Times New Roman"/>
          <w:sz w:val="18"/>
          <w:szCs w:val="18"/>
          <w:b w:val="1"/>
          <w:bCs w:val="1"/>
          <w:color w:val="auto"/>
        </w:rPr>
        <w:t>Section 7.4.3(a)(iii) (Royalty Payment Offsets; Third Party Payments)</w:t>
      </w:r>
      <w:r>
        <w:rPr>
          <w:rFonts w:ascii="Times New Roman" w:cs="Times New Roman" w:eastAsia="Times New Roman" w:hAnsi="Times New Roman"/>
          <w:sz w:val="18"/>
          <w:szCs w:val="18"/>
          <w:color w:val="auto"/>
        </w:rPr>
        <w:t xml:space="preserve"> whether a license from a Third Party is reasonably necessary in or for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1480820</wp:posOffset>
            </wp:positionH>
            <wp:positionV relativeFrom="paragraph">
              <wp:posOffset>-534670</wp:posOffset>
            </wp:positionV>
            <wp:extent cx="3530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53060" cy="8255"/>
                    </a:xfrm>
                    <a:prstGeom prst="rect">
                      <a:avLst/>
                    </a:prstGeom>
                    <a:noFill/>
                  </pic:spPr>
                </pic:pic>
              </a:graphicData>
            </a:graphic>
          </wp:anchor>
        </w:drawing>
        <w:drawing>
          <wp:anchor simplePos="0" relativeHeight="251657728" behindDoc="1" locked="0" layoutInCell="0" allowOverlap="1">
            <wp:simplePos x="0" y="0"/>
            <wp:positionH relativeFrom="column">
              <wp:posOffset>5889625</wp:posOffset>
            </wp:positionH>
            <wp:positionV relativeFrom="paragraph">
              <wp:posOffset>-400050</wp:posOffset>
            </wp:positionV>
            <wp:extent cx="12636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6365" cy="8255"/>
                    </a:xfrm>
                    <a:prstGeom prst="rect">
                      <a:avLst/>
                    </a:prstGeom>
                    <a:noFill/>
                  </pic:spPr>
                </pic:pic>
              </a:graphicData>
            </a:graphic>
          </wp:anchor>
        </w:drawing>
      </w:r>
    </w:p>
    <w:p>
      <w:pPr>
        <w:spacing w:after="0" w:line="163" w:lineRule="exact"/>
        <w:rPr>
          <w:sz w:val="20"/>
          <w:szCs w:val="20"/>
          <w:color w:val="auto"/>
        </w:rPr>
      </w:pPr>
    </w:p>
    <w:p>
      <w:pPr>
        <w:ind w:left="2" w:firstLine="973"/>
        <w:spacing w:after="0" w:line="249" w:lineRule="auto"/>
        <w:rPr>
          <w:sz w:val="20"/>
          <w:szCs w:val="20"/>
          <w:color w:val="auto"/>
        </w:rPr>
      </w:pPr>
      <w:r>
        <w:rPr>
          <w:rFonts w:ascii="Times New Roman" w:cs="Times New Roman" w:eastAsia="Times New Roman" w:hAnsi="Times New Roman"/>
          <w:sz w:val="18"/>
          <w:szCs w:val="18"/>
          <w:b w:val="1"/>
          <w:bCs w:val="1"/>
          <w:color w:val="auto"/>
        </w:rPr>
        <w:t>3.6.1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Working Group</w:t>
      </w:r>
      <w:r>
        <w:rPr>
          <w:rFonts w:ascii="Times New Roman" w:cs="Times New Roman" w:eastAsia="Times New Roman" w:hAnsi="Times New Roman"/>
          <w:sz w:val="18"/>
          <w:szCs w:val="18"/>
          <w:color w:val="auto"/>
        </w:rPr>
        <w:t>. Each Party shall use Commercially Reasonable Efforts to perform its responsibilities under any working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provide reasonable support to the other Party in connection with the same. Unless otherwise agreed in connection with the formation of any working group (other than the JDC, which is addressed in </w:t>
      </w:r>
      <w:r>
        <w:rPr>
          <w:rFonts w:ascii="Times New Roman" w:cs="Times New Roman" w:eastAsia="Times New Roman" w:hAnsi="Times New Roman"/>
          <w:sz w:val="18"/>
          <w:szCs w:val="18"/>
          <w:b w:val="1"/>
          <w:bCs w:val="1"/>
          <w:color w:val="auto"/>
        </w:rPr>
        <w:t>Section 3.5.1 (JDC)</w:t>
      </w:r>
      <w:r>
        <w:rPr>
          <w:rFonts w:ascii="Times New Roman" w:cs="Times New Roman" w:eastAsia="Times New Roman" w:hAnsi="Times New Roman"/>
          <w:sz w:val="18"/>
          <w:szCs w:val="18"/>
          <w:color w:val="auto"/>
        </w:rPr>
        <w:t xml:space="preserve">), each Party will discuss and attempt to resolve any potential or evolving disagreement related to the subject matter of a given working group at the working group level prior to escalation to the JDC (for any scientific or technical matters) or to the Alliance Managers (for any non-scientific or non-technical matters). With respect to the decisions of any working group (other than the JDC, which is addressed in </w:t>
      </w:r>
      <w:r>
        <w:rPr>
          <w:rFonts w:ascii="Times New Roman" w:cs="Times New Roman" w:eastAsia="Times New Roman" w:hAnsi="Times New Roman"/>
          <w:sz w:val="18"/>
          <w:szCs w:val="18"/>
          <w:b w:val="1"/>
          <w:bCs w:val="1"/>
          <w:color w:val="auto"/>
        </w:rPr>
        <w:t>Section 3.5.1 (JDC)</w:t>
      </w:r>
      <w:r>
        <w:rPr>
          <w:rFonts w:ascii="Times New Roman" w:cs="Times New Roman" w:eastAsia="Times New Roman" w:hAnsi="Times New Roman"/>
          <w:sz w:val="18"/>
          <w:szCs w:val="18"/>
          <w:color w:val="auto"/>
        </w:rPr>
        <w:t xml:space="preserve">), each Party shall have [***] in all decisions, and the Parties shall attempt to make decisions by reaching unanimous agreement. If the relevant working group is unable to achieve a unanimous vote within [***] after a matter is brought to vote before such working group then either Party may refer the relevant dispute to the JDC (for any scientific or technical matters) or the Alliance Managers (for non-scientific or non-technical matters) for resolution (or, in the case of the JPWG, resolution subject to </w:t>
      </w:r>
      <w:r>
        <w:rPr>
          <w:rFonts w:ascii="Times New Roman" w:cs="Times New Roman" w:eastAsia="Times New Roman" w:hAnsi="Times New Roman"/>
          <w:sz w:val="18"/>
          <w:szCs w:val="18"/>
          <w:b w:val="1"/>
          <w:bCs w:val="1"/>
          <w:color w:val="auto"/>
        </w:rPr>
        <w:t>Section 15.3 (Subject Matter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if applicable).</w:t>
      </w:r>
    </w:p>
    <w:p>
      <w:pPr>
        <w:spacing w:after="0" w:line="185" w:lineRule="exact"/>
        <w:rPr>
          <w:sz w:val="20"/>
          <w:szCs w:val="20"/>
          <w:color w:val="auto"/>
        </w:rPr>
      </w:pPr>
    </w:p>
    <w:p>
      <w:pPr>
        <w:ind w:left="2" w:right="340"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3.6.2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Escalation</w:t>
      </w:r>
      <w:r>
        <w:rPr>
          <w:rFonts w:ascii="Times New Roman" w:cs="Times New Roman" w:eastAsia="Times New Roman" w:hAnsi="Times New Roman"/>
          <w:sz w:val="18"/>
          <w:szCs w:val="18"/>
          <w:color w:val="auto"/>
        </w:rPr>
        <w:t>. Each Party shall discuss and attempt to resolve any potential or evolving disagreement related to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Program in and for the Territory through the JDC, or the Parties’ other activities in and for the Territory under a given working group at the working group level, in accordance with </w:t>
      </w:r>
      <w:r>
        <w:rPr>
          <w:rFonts w:ascii="Times New Roman" w:cs="Times New Roman" w:eastAsia="Times New Roman" w:hAnsi="Times New Roman"/>
          <w:sz w:val="18"/>
          <w:szCs w:val="18"/>
          <w:b w:val="1"/>
          <w:bCs w:val="1"/>
          <w:color w:val="auto"/>
        </w:rPr>
        <w:t>Sections 3.5.1 (JDC)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3.6.1 (Working Group)</w:t>
      </w:r>
      <w:r>
        <w:rPr>
          <w:rFonts w:ascii="Times New Roman" w:cs="Times New Roman" w:eastAsia="Times New Roman" w:hAnsi="Times New Roman"/>
          <w:sz w:val="18"/>
          <w:szCs w:val="18"/>
          <w:color w:val="auto"/>
        </w:rPr>
        <w:t xml:space="preserve">, as applicable. If the Parties are unable to resolve a potential or evolving disagreement for any matter under this Agreement, but outside the scope of the JDC’s or a working group’s decision-making authority, the Parties shall submit such disagreement to the process set forth in </w:t>
      </w:r>
      <w:r>
        <w:rPr>
          <w:rFonts w:ascii="Times New Roman" w:cs="Times New Roman" w:eastAsia="Times New Roman" w:hAnsi="Times New Roman"/>
          <w:sz w:val="18"/>
          <w:szCs w:val="18"/>
          <w:b w:val="1"/>
          <w:bCs w:val="1"/>
          <w:color w:val="auto"/>
        </w:rPr>
        <w:t>Article 15 (Dispute Resolution)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02"/>
          </w:cols>
          <w:pgMar w:left="538" w:top="267" w:right="559" w:bottom="1440" w:gutter="0" w:footer="0" w:header="0"/>
        </w:sectPr>
      </w:pPr>
    </w:p>
    <w:bookmarkStart w:id="479" w:name="page480"/>
    <w:bookmarkEnd w:id="479"/>
    <w:p>
      <w:pPr>
        <w:ind w:left="44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Limits on Authority; Dissolution</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firstLine="973"/>
        <w:spacing w:after="0" w:line="248" w:lineRule="auto"/>
        <w:rPr>
          <w:sz w:val="20"/>
          <w:szCs w:val="20"/>
          <w:color w:val="auto"/>
        </w:rPr>
      </w:pPr>
      <w:r>
        <w:rPr>
          <w:rFonts w:ascii="Times New Roman" w:cs="Times New Roman" w:eastAsia="Times New Roman" w:hAnsi="Times New Roman"/>
          <w:sz w:val="18"/>
          <w:szCs w:val="18"/>
          <w:b w:val="1"/>
          <w:bCs w:val="1"/>
          <w:color w:val="auto"/>
        </w:rPr>
        <w:t>3.7.1</w:t>
      </w:r>
      <w:r>
        <w:rPr>
          <w:rFonts w:ascii="Times New Roman" w:cs="Times New Roman" w:eastAsia="Times New Roman" w:hAnsi="Times New Roman"/>
          <w:sz w:val="18"/>
          <w:szCs w:val="18"/>
          <w:color w:val="auto"/>
        </w:rPr>
        <w:t xml:space="preserve">  On a Product-by-Product basis, upon Marketing Approval for a Product, the working groups and the JDC will have no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responsibilities or authority under this Agreement with respect to such Product. On an Indication-by-Indication basis, upon the earlier of expiration or termination of the Development Program with respect to such Indication, the working groups and the JDC will have no further responsibilities or authority under this Agreement with respect to such Indication. Upon the earlier of expiration or termination of the Development Program with respect to the last Indication, the working groups and the JDC will have no further responsibilities or authority under this Agreement and the working groups and the JDC will be deemed dissolved by the Parties. Notwithstanding the foregoing, the JPWG and JMWG shall remain in effect during the Term, unless earlier dissolved with the consent of the Parties. Notwithstanding anything to the contrary in this </w:t>
      </w:r>
      <w:r>
        <w:rPr>
          <w:rFonts w:ascii="Times New Roman" w:cs="Times New Roman" w:eastAsia="Times New Roman" w:hAnsi="Times New Roman"/>
          <w:sz w:val="18"/>
          <w:szCs w:val="18"/>
          <w:b w:val="1"/>
          <w:bCs w:val="1"/>
          <w:color w:val="auto"/>
        </w:rPr>
        <w:t>Section 3.7.1 (Limits on 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Dissolution)</w:t>
      </w:r>
      <w:r>
        <w:rPr>
          <w:rFonts w:ascii="Times New Roman" w:cs="Times New Roman" w:eastAsia="Times New Roman" w:hAnsi="Times New Roman"/>
          <w:sz w:val="18"/>
          <w:szCs w:val="18"/>
          <w:color w:val="auto"/>
        </w:rPr>
        <w:t>, for a period of [***] (or such other period as agreed to by the Parties) following Marketing Approval for any Product, each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working group (other than the JPWG, the term of which is addressed in the preceding sentence), the JDC shall continue to exist solely for the purpose of facilitating the transition of responsibilities with respect to such Product from CG to Kissei, but without any responsibility or authority ascribed to such relevant working group and the JDC with respect to such Product under this </w:t>
      </w:r>
      <w:r>
        <w:rPr>
          <w:rFonts w:ascii="Times New Roman" w:cs="Times New Roman" w:eastAsia="Times New Roman" w:hAnsi="Times New Roman"/>
          <w:sz w:val="18"/>
          <w:szCs w:val="18"/>
          <w:b w:val="1"/>
          <w:bCs w:val="1"/>
          <w:color w:val="auto"/>
        </w:rPr>
        <w:t>Article 3 (Governance)</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2" w:right="100" w:firstLine="432"/>
        <w:spacing w:after="0" w:line="250"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Alliance Managers</w:t>
      </w:r>
      <w:r>
        <w:rPr>
          <w:rFonts w:ascii="Times New Roman" w:cs="Times New Roman" w:eastAsia="Times New Roman" w:hAnsi="Times New Roman"/>
          <w:sz w:val="18"/>
          <w:szCs w:val="18"/>
          <w:color w:val="auto"/>
        </w:rPr>
        <w:t>. Promptly following the Effective Date, each Party shall designate an individual to act as the primary business contact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such Party for matters related to this Agreement (such Party’s “</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xml:space="preserve">”), unless another contact is expressly specified in the Agreement or designated by the Parties for a particular purpose. The Alliance Managers shall facilitate the flow of information and collaboration between the Parties, including information concerning nonbinding forecasts for sales of a Product in the Territory or CG Territory and the P3 Trial activities in the Territory and CG Territory, and assist in the resolution of potential and pending issues and potential disputes in a timely manner to enable the working groups and the JDC, and Parties to reach consensus and avert escalation of such issues or potential disputes, including in accordance with </w:t>
      </w:r>
      <w:r>
        <w:rPr>
          <w:rFonts w:ascii="Times New Roman" w:cs="Times New Roman" w:eastAsia="Times New Roman" w:hAnsi="Times New Roman"/>
          <w:sz w:val="18"/>
          <w:szCs w:val="18"/>
          <w:b w:val="1"/>
          <w:bCs w:val="1"/>
          <w:color w:val="auto"/>
        </w:rPr>
        <w:t>Section 15.1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(Disputes)</w:t>
      </w:r>
      <w:r>
        <w:rPr>
          <w:rFonts w:ascii="Times New Roman" w:cs="Times New Roman" w:eastAsia="Times New Roman" w:hAnsi="Times New Roman"/>
          <w:sz w:val="18"/>
          <w:szCs w:val="18"/>
          <w:color w:val="auto"/>
        </w:rPr>
        <w:t>. Either Party may replace its Alliance Manager at any time upon prior written notice (including by email) to the other Party’s Alliance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w:t>
      </w:r>
    </w:p>
    <w:p>
      <w:pPr>
        <w:spacing w:after="0" w:line="183" w:lineRule="exact"/>
        <w:rPr>
          <w:sz w:val="20"/>
          <w:szCs w:val="20"/>
          <w:color w:val="auto"/>
        </w:rPr>
      </w:pPr>
    </w:p>
    <w:p>
      <w:pPr>
        <w:ind w:left="2" w:right="4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Change of Control</w:t>
      </w:r>
      <w:r>
        <w:rPr>
          <w:rFonts w:ascii="Times New Roman" w:cs="Times New Roman" w:eastAsia="Times New Roman" w:hAnsi="Times New Roman"/>
          <w:sz w:val="18"/>
          <w:szCs w:val="18"/>
          <w:color w:val="auto"/>
        </w:rPr>
        <w:t>. In the event of a Change of Control of CG in which the Transacting Party is either (a) engaged in the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development, manufacture or commercialization of any Competing Product (as of the effective date of such Change of Control or at any time during the Term) or (b) a Peer Pharmaceutical Company, Kissei may (without limiting Kissei’s rights under this Agreement, including under </w:t>
      </w:r>
      <w:r>
        <w:rPr>
          <w:rFonts w:ascii="Times New Roman" w:cs="Times New Roman" w:eastAsia="Times New Roman" w:hAnsi="Times New Roman"/>
          <w:sz w:val="18"/>
          <w:szCs w:val="18"/>
          <w:b w:val="1"/>
          <w:bCs w:val="1"/>
          <w:color w:val="auto"/>
        </w:rPr>
        <w:t>Section 14.5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 at Will)</w:t>
      </w:r>
      <w:r>
        <w:rPr>
          <w:rFonts w:ascii="Times New Roman" w:cs="Times New Roman" w:eastAsia="Times New Roman" w:hAnsi="Times New Roman"/>
          <w:sz w:val="18"/>
          <w:szCs w:val="18"/>
          <w:color w:val="auto"/>
        </w:rPr>
        <w:t>) elect to take any or all of the following actions set forth in</w:t>
      </w:r>
      <w:r>
        <w:rPr>
          <w:rFonts w:ascii="Times New Roman" w:cs="Times New Roman" w:eastAsia="Times New Roman" w:hAnsi="Times New Roman"/>
          <w:sz w:val="18"/>
          <w:szCs w:val="18"/>
          <w:b w:val="1"/>
          <w:bCs w:val="1"/>
          <w:color w:val="auto"/>
        </w:rPr>
        <w:t xml:space="preserve"> Sections 3.9.1 (Change of Control) </w:t>
      </w:r>
      <w:r>
        <w:rPr>
          <w:rFonts w:ascii="Times New Roman" w:cs="Times New Roman" w:eastAsia="Times New Roman" w:hAnsi="Times New Roman"/>
          <w:sz w:val="18"/>
          <w:szCs w:val="18"/>
          <w:color w:val="auto"/>
        </w:rPr>
        <w:t>and/or</w:t>
      </w:r>
      <w:r>
        <w:rPr>
          <w:rFonts w:ascii="Times New Roman" w:cs="Times New Roman" w:eastAsia="Times New Roman" w:hAnsi="Times New Roman"/>
          <w:sz w:val="18"/>
          <w:szCs w:val="18"/>
          <w:b w:val="1"/>
          <w:bCs w:val="1"/>
          <w:color w:val="auto"/>
        </w:rPr>
        <w:t xml:space="preserve"> 3.9.2 (Change of Control)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2" w:right="20" w:firstLine="973"/>
        <w:spacing w:after="0" w:line="273" w:lineRule="auto"/>
        <w:rPr>
          <w:sz w:val="20"/>
          <w:szCs w:val="20"/>
          <w:color w:val="auto"/>
        </w:rPr>
      </w:pPr>
      <w:r>
        <w:rPr>
          <w:rFonts w:ascii="Times New Roman" w:cs="Times New Roman" w:eastAsia="Times New Roman" w:hAnsi="Times New Roman"/>
          <w:sz w:val="17"/>
          <w:szCs w:val="17"/>
          <w:b w:val="1"/>
          <w:bCs w:val="1"/>
          <w:color w:val="auto"/>
        </w:rPr>
        <w:t>3.9.1</w:t>
      </w:r>
      <w:r>
        <w:rPr>
          <w:rFonts w:ascii="Times New Roman" w:cs="Times New Roman" w:eastAsia="Times New Roman" w:hAnsi="Times New Roman"/>
          <w:sz w:val="17"/>
          <w:szCs w:val="17"/>
          <w:color w:val="auto"/>
        </w:rPr>
        <w:t xml:space="preserve">  provide written notice to CG (or its successor entity) terminating the provisions of this</w:t>
      </w:r>
      <w:r>
        <w:rPr>
          <w:rFonts w:ascii="Times New Roman" w:cs="Times New Roman" w:eastAsia="Times New Roman" w:hAnsi="Times New Roman"/>
          <w:sz w:val="17"/>
          <w:szCs w:val="17"/>
          <w:b w:val="1"/>
          <w:bCs w:val="1"/>
          <w:color w:val="auto"/>
        </w:rPr>
        <w:t xml:space="preserve"> Article 3 (Governance) </w:t>
      </w:r>
      <w:r>
        <w:rPr>
          <w:rFonts w:ascii="Times New Roman" w:cs="Times New Roman" w:eastAsia="Times New Roman" w:hAnsi="Times New Roman"/>
          <w:sz w:val="17"/>
          <w:szCs w:val="17"/>
          <w:color w:val="auto"/>
        </w:rPr>
        <w:t>in whole or in part,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upon such notice (a) neither Party will be obligated under the terminated provisions of this </w:t>
      </w:r>
      <w:r>
        <w:rPr>
          <w:rFonts w:ascii="Times New Roman" w:cs="Times New Roman" w:eastAsia="Times New Roman" w:hAnsi="Times New Roman"/>
          <w:sz w:val="17"/>
          <w:szCs w:val="17"/>
          <w:b w:val="1"/>
          <w:bCs w:val="1"/>
          <w:color w:val="auto"/>
        </w:rPr>
        <w:t>Article 3 (Governance)</w:t>
      </w:r>
      <w:r>
        <w:rPr>
          <w:rFonts w:ascii="Times New Roman" w:cs="Times New Roman" w:eastAsia="Times New Roman" w:hAnsi="Times New Roman"/>
          <w:sz w:val="17"/>
          <w:szCs w:val="17"/>
          <w:color w:val="auto"/>
        </w:rPr>
        <w:t xml:space="preserve"> for the remainder of the Term,</w:t>
      </w:r>
    </w:p>
    <w:p>
      <w:pPr>
        <w:spacing w:after="0" w:line="1" w:lineRule="exact"/>
        <w:rPr>
          <w:sz w:val="20"/>
          <w:szCs w:val="20"/>
          <w:color w:val="auto"/>
        </w:rPr>
      </w:pPr>
    </w:p>
    <w:p>
      <w:pPr>
        <w:ind w:left="2" w:right="640" w:hanging="2"/>
        <w:spacing w:after="0" w:line="251" w:lineRule="auto"/>
        <w:tabs>
          <w:tab w:leader="none" w:pos="252"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information, documents or reports that a Party is otherwise required to provide to the working groups or JDC pursuant to the terminated provisions of this </w:t>
      </w:r>
      <w:r>
        <w:rPr>
          <w:rFonts w:ascii="Times New Roman" w:cs="Times New Roman" w:eastAsia="Times New Roman" w:hAnsi="Times New Roman"/>
          <w:sz w:val="18"/>
          <w:szCs w:val="18"/>
          <w:b w:val="1"/>
          <w:bCs w:val="1"/>
          <w:color w:val="auto"/>
        </w:rPr>
        <w:t>Article 3 (Governance)</w:t>
      </w:r>
      <w:r>
        <w:rPr>
          <w:rFonts w:ascii="Times New Roman" w:cs="Times New Roman" w:eastAsia="Times New Roman" w:hAnsi="Times New Roman"/>
          <w:sz w:val="18"/>
          <w:szCs w:val="18"/>
          <w:color w:val="auto"/>
        </w:rPr>
        <w:t>, as applicable, shall be provided directly to the other Party, (c) Kissei’s obligations</w:t>
      </w:r>
    </w:p>
    <w:p>
      <w:pPr>
        <w:spacing w:after="0" w:line="117"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82"/>
          </w:cols>
          <w:pgMar w:left="538" w:top="265" w:right="579" w:bottom="1440" w:gutter="0" w:footer="0" w:header="0"/>
        </w:sectPr>
      </w:pPr>
    </w:p>
    <w:bookmarkStart w:id="480" w:name="page481"/>
    <w:bookmarkEnd w:id="480"/>
    <w:p>
      <w:pPr>
        <w:ind w:left="2" w:right="140"/>
        <w:spacing w:after="0" w:line="27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to provide the annual progress reports under </w:t>
      </w:r>
      <w:r>
        <w:rPr>
          <w:rFonts w:ascii="Times New Roman" w:cs="Times New Roman" w:eastAsia="Times New Roman" w:hAnsi="Times New Roman"/>
          <w:sz w:val="17"/>
          <w:szCs w:val="17"/>
          <w:b w:val="1"/>
          <w:bCs w:val="1"/>
          <w:color w:val="auto"/>
        </w:rPr>
        <w:t>Section 6.2 (Progress Reports)</w:t>
      </w:r>
      <w:r>
        <w:rPr>
          <w:rFonts w:ascii="Times New Roman" w:cs="Times New Roman" w:eastAsia="Times New Roman" w:hAnsi="Times New Roman"/>
          <w:sz w:val="17"/>
          <w:szCs w:val="17"/>
          <w:color w:val="auto"/>
        </w:rPr>
        <w:t xml:space="preserve"> shall be limited to high-level information regarding the status of Products (including Marketing Approvals) and commercialization as of the end of the preceding calendar year, and (d) any matters delegated to the working groups or JDC pursuant to the terminated provisions of this </w:t>
      </w:r>
      <w:r>
        <w:rPr>
          <w:rFonts w:ascii="Times New Roman" w:cs="Times New Roman" w:eastAsia="Times New Roman" w:hAnsi="Times New Roman"/>
          <w:sz w:val="17"/>
          <w:szCs w:val="17"/>
          <w:b w:val="1"/>
          <w:bCs w:val="1"/>
          <w:color w:val="auto"/>
        </w:rPr>
        <w:t>Article 3 (Governance)</w:t>
      </w:r>
      <w:r>
        <w:rPr>
          <w:rFonts w:ascii="Times New Roman" w:cs="Times New Roman" w:eastAsia="Times New Roman" w:hAnsi="Times New Roman"/>
          <w:sz w:val="17"/>
          <w:szCs w:val="17"/>
          <w:color w:val="auto"/>
        </w:rPr>
        <w:t xml:space="preserve">, as applicable, shall be made by mutual agreement of the Parties, subject to the decision-making and dispute resolution provisions of </w:t>
      </w:r>
      <w:r>
        <w:rPr>
          <w:rFonts w:ascii="Times New Roman" w:cs="Times New Roman" w:eastAsia="Times New Roman" w:hAnsi="Times New Roman"/>
          <w:sz w:val="17"/>
          <w:szCs w:val="17"/>
          <w:b w:val="1"/>
          <w:bCs w:val="1"/>
          <w:color w:val="auto"/>
        </w:rPr>
        <w:t>Section 3.6 (JDC Decision-Making)</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Article 15 (Dispute Resolution)</w:t>
      </w:r>
      <w:r>
        <w:rPr>
          <w:rFonts w:ascii="Times New Roman" w:cs="Times New Roman" w:eastAsia="Times New Roman" w:hAnsi="Times New Roman"/>
          <w:sz w:val="17"/>
          <w:szCs w:val="17"/>
          <w:color w:val="auto"/>
        </w:rPr>
        <w:t>; or</w:t>
      </w:r>
    </w:p>
    <w:p>
      <w:pPr>
        <w:spacing w:after="0" w:line="164" w:lineRule="exact"/>
        <w:rPr>
          <w:sz w:val="20"/>
          <w:szCs w:val="20"/>
          <w:color w:val="auto"/>
        </w:rPr>
      </w:pPr>
    </w:p>
    <w:p>
      <w:pPr>
        <w:ind w:left="2" w:firstLine="973"/>
        <w:spacing w:after="0" w:line="271" w:lineRule="auto"/>
        <w:rPr>
          <w:sz w:val="20"/>
          <w:szCs w:val="20"/>
          <w:color w:val="auto"/>
        </w:rPr>
      </w:pPr>
      <w:r>
        <w:rPr>
          <w:rFonts w:ascii="Times New Roman" w:cs="Times New Roman" w:eastAsia="Times New Roman" w:hAnsi="Times New Roman"/>
          <w:sz w:val="17"/>
          <w:szCs w:val="17"/>
          <w:b w:val="1"/>
          <w:bCs w:val="1"/>
          <w:color w:val="auto"/>
        </w:rPr>
        <w:t>3.9.2</w:t>
      </w:r>
      <w:r>
        <w:rPr>
          <w:rFonts w:ascii="Times New Roman" w:cs="Times New Roman" w:eastAsia="Times New Roman" w:hAnsi="Times New Roman"/>
          <w:sz w:val="17"/>
          <w:szCs w:val="17"/>
          <w:color w:val="auto"/>
        </w:rPr>
        <w:t xml:space="preserve">  provide written notice to CG (or its successor entity) terminating the provisions of</w:t>
      </w:r>
      <w:r>
        <w:rPr>
          <w:rFonts w:ascii="Times New Roman" w:cs="Times New Roman" w:eastAsia="Times New Roman" w:hAnsi="Times New Roman"/>
          <w:sz w:val="17"/>
          <w:szCs w:val="17"/>
          <w:b w:val="1"/>
          <w:bCs w:val="1"/>
          <w:color w:val="auto"/>
        </w:rPr>
        <w:t xml:space="preserve"> Sections 2.1 (General) </w:t>
      </w:r>
      <w:r>
        <w:rPr>
          <w:rFonts w:ascii="Times New Roman" w:cs="Times New Roman" w:eastAsia="Times New Roman" w:hAnsi="Times New Roman"/>
          <w:sz w:val="17"/>
          <w:szCs w:val="17"/>
          <w:color w:val="auto"/>
        </w:rPr>
        <w:t>and/or</w:t>
      </w:r>
      <w:r>
        <w:rPr>
          <w:rFonts w:ascii="Times New Roman" w:cs="Times New Roman" w:eastAsia="Times New Roman" w:hAnsi="Times New Roman"/>
          <w:sz w:val="17"/>
          <w:szCs w:val="17"/>
          <w:b w:val="1"/>
          <w:bCs w:val="1"/>
          <w:color w:val="auto"/>
        </w:rPr>
        <w:t xml:space="preserve"> 2.2 (Certain Activities)</w:t>
      </w:r>
      <w:r>
        <w:rPr>
          <w:rFonts w:ascii="Times New Roman" w:cs="Times New Roman" w:eastAsia="Times New Roman" w:hAnsi="Times New Roman"/>
          <w:sz w:val="17"/>
          <w:szCs w:val="17"/>
          <w:color w:val="auto"/>
        </w:rPr>
        <w:t>, in whole or in part, without relieving either Party of any obligation that accrued under any such section prior to such termination. If Kissei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provides a notice to CG under this </w:t>
      </w:r>
      <w:r>
        <w:rPr>
          <w:rFonts w:ascii="Times New Roman" w:cs="Times New Roman" w:eastAsia="Times New Roman" w:hAnsi="Times New Roman"/>
          <w:sz w:val="17"/>
          <w:szCs w:val="17"/>
          <w:b w:val="1"/>
          <w:bCs w:val="1"/>
          <w:color w:val="auto"/>
        </w:rPr>
        <w:t>Section 3.9.2 (Change of Control)</w:t>
      </w:r>
      <w:r>
        <w:rPr>
          <w:rFonts w:ascii="Times New Roman" w:cs="Times New Roman" w:eastAsia="Times New Roman" w:hAnsi="Times New Roman"/>
          <w:sz w:val="17"/>
          <w:szCs w:val="17"/>
          <w:color w:val="auto"/>
        </w:rPr>
        <w:t>, CG shall as soon as reasonably practicable transfer and assign to Kissei all data, Marketing Approvals and regulatory documentation with respect to the Products in the Territory and a copy of all of the data with respect to the Products in the Territory, including all data comprising the global safety database for the Products and any related Companion Diagnostics.</w:t>
      </w:r>
    </w:p>
    <w:p>
      <w:pPr>
        <w:spacing w:after="0" w:line="168" w:lineRule="exact"/>
        <w:rPr>
          <w:sz w:val="20"/>
          <w:szCs w:val="20"/>
          <w:color w:val="auto"/>
        </w:rPr>
      </w:pPr>
    </w:p>
    <w:p>
      <w:pPr>
        <w:ind w:left="2" w:right="60" w:firstLine="973"/>
        <w:spacing w:after="0" w:line="250" w:lineRule="auto"/>
        <w:rPr>
          <w:sz w:val="20"/>
          <w:szCs w:val="20"/>
          <w:color w:val="auto"/>
        </w:rPr>
      </w:pPr>
      <w:r>
        <w:rPr>
          <w:rFonts w:ascii="Times New Roman" w:cs="Times New Roman" w:eastAsia="Times New Roman" w:hAnsi="Times New Roman"/>
          <w:sz w:val="18"/>
          <w:szCs w:val="18"/>
          <w:b w:val="1"/>
          <w:bCs w:val="1"/>
          <w:color w:val="auto"/>
        </w:rPr>
        <w:t>3.9.3</w:t>
      </w:r>
      <w:r>
        <w:rPr>
          <w:rFonts w:ascii="Times New Roman" w:cs="Times New Roman" w:eastAsia="Times New Roman" w:hAnsi="Times New Roman"/>
          <w:sz w:val="18"/>
          <w:szCs w:val="18"/>
          <w:color w:val="auto"/>
        </w:rPr>
        <w:t xml:space="preserve">  Notwithstanding the foregoing, Kissei shall not have the right to take any of the actions set forth in</w:t>
      </w:r>
      <w:r>
        <w:rPr>
          <w:rFonts w:ascii="Times New Roman" w:cs="Times New Roman" w:eastAsia="Times New Roman" w:hAnsi="Times New Roman"/>
          <w:sz w:val="18"/>
          <w:szCs w:val="18"/>
          <w:b w:val="1"/>
          <w:bCs w:val="1"/>
          <w:color w:val="auto"/>
        </w:rPr>
        <w:t xml:space="preserve"> Section 3.9.1 (Change of Control)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3.9.2 (Change of Control) </w:t>
      </w:r>
      <w:r>
        <w:rPr>
          <w:rFonts w:ascii="Times New Roman" w:cs="Times New Roman" w:eastAsia="Times New Roman" w:hAnsi="Times New Roman"/>
          <w:sz w:val="18"/>
          <w:szCs w:val="18"/>
          <w:color w:val="auto"/>
        </w:rPr>
        <w:t>so long as (a) no unpublished CG Patents, unpublished CG Know-How, Kissei IP,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or any Collaboration IP are used by such Transacting Party Group, (b) such Transacting Party Group segregates the CG Group’s personnel from all programs of such Transacting Party Group directed to the (i) research, development, manufacture, sale, marketing, promotion or distribution of any Competing Product or (ii) research, development, manufacture, sale, marketing, promotion or distribution of any product for the diagnosis, prevention, or treatment of any of the Indications covered by any Development Plan under this Agreement, and (c) if such Transacting Party is a Peer Pharmaceutical Company, CG’s JDC, JPWG and other working group representatives remain employees or contractors solely of the CG Group (and not such Transacting Party).</w:t>
      </w:r>
    </w:p>
    <w:p>
      <w:pPr>
        <w:spacing w:after="0" w:line="39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LICENSES AND RIGHTS</w:t>
      </w:r>
    </w:p>
    <w:p>
      <w:pPr>
        <w:spacing w:after="0" w:line="21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License Grants to Kissei</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right="180" w:firstLine="973"/>
        <w:spacing w:after="0" w:line="266" w:lineRule="auto"/>
        <w:rPr>
          <w:sz w:val="20"/>
          <w:szCs w:val="20"/>
          <w:color w:val="auto"/>
        </w:rPr>
      </w:pPr>
      <w:r>
        <w:rPr>
          <w:rFonts w:ascii="Times New Roman" w:cs="Times New Roman" w:eastAsia="Times New Roman" w:hAnsi="Times New Roman"/>
          <w:sz w:val="17"/>
          <w:szCs w:val="17"/>
          <w:b w:val="1"/>
          <w:bCs w:val="1"/>
          <w:color w:val="auto"/>
        </w:rPr>
        <w:t>4.1.1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Products</w:t>
      </w:r>
      <w:r>
        <w:rPr>
          <w:rFonts w:ascii="Times New Roman" w:cs="Times New Roman" w:eastAsia="Times New Roman" w:hAnsi="Times New Roman"/>
          <w:sz w:val="17"/>
          <w:szCs w:val="17"/>
          <w:color w:val="auto"/>
        </w:rPr>
        <w:t>. Subject to the terms and conditions of this Agreement, CG hereby grants to Kissei (a) an exclusive (even as to CG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its Affiliates, except for activities conducted by or on behalf of CG under the Development Plan), non-sublicensable (except as permitted by </w:t>
      </w:r>
      <w:r>
        <w:rPr>
          <w:rFonts w:ascii="Times New Roman" w:cs="Times New Roman" w:eastAsia="Times New Roman" w:hAnsi="Times New Roman"/>
          <w:sz w:val="17"/>
          <w:szCs w:val="17"/>
          <w:b w:val="1"/>
          <w:bCs w:val="1"/>
          <w:color w:val="auto"/>
        </w:rPr>
        <w:t>Section 4.1.4 (Sublicenses)</w:t>
      </w:r>
      <w:r>
        <w:rPr>
          <w:rFonts w:ascii="Times New Roman" w:cs="Times New Roman" w:eastAsia="Times New Roman" w:hAnsi="Times New Roman"/>
          <w:sz w:val="17"/>
          <w:szCs w:val="17"/>
          <w:color w:val="auto"/>
        </w:rPr>
        <w:t>), non-transferable (except as set forth in</w:t>
      </w:r>
      <w:r>
        <w:rPr>
          <w:rFonts w:ascii="Times New Roman" w:cs="Times New Roman" w:eastAsia="Times New Roman" w:hAnsi="Times New Roman"/>
          <w:sz w:val="17"/>
          <w:szCs w:val="17"/>
          <w:b w:val="1"/>
          <w:bCs w:val="1"/>
          <w:color w:val="auto"/>
        </w:rPr>
        <w:t xml:space="preserve"> Section 16.3 (Assignment)</w:t>
      </w:r>
      <w:r>
        <w:rPr>
          <w:rFonts w:ascii="Times New Roman" w:cs="Times New Roman" w:eastAsia="Times New Roman" w:hAnsi="Times New Roman"/>
          <w:sz w:val="17"/>
          <w:szCs w:val="17"/>
          <w:color w:val="auto"/>
        </w:rPr>
        <w:t>), royalty-bearing license under the CG IP and CG’s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in the Joint Collaboration IP to use, import, offer for sale, sell, have sold, and promote, but not the right to make or have made, Products and</w:t>
      </w:r>
    </w:p>
    <w:p>
      <w:pPr>
        <w:spacing w:after="0" w:line="3" w:lineRule="exact"/>
        <w:rPr>
          <w:sz w:val="20"/>
          <w:szCs w:val="20"/>
          <w:color w:val="auto"/>
        </w:rPr>
      </w:pPr>
    </w:p>
    <w:p>
      <w:pPr>
        <w:ind w:left="2" w:right="200" w:hanging="2"/>
        <w:spacing w:after="0" w:line="248" w:lineRule="auto"/>
        <w:tabs>
          <w:tab w:leader="none" w:pos="25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limited semi-exclusive, non-sublicensable, non-transferable, royalty-bearing license under the CG IP to develop (subject to </w:t>
      </w:r>
      <w:r>
        <w:rPr>
          <w:rFonts w:ascii="Times New Roman" w:cs="Times New Roman" w:eastAsia="Times New Roman" w:hAnsi="Times New Roman"/>
          <w:sz w:val="18"/>
          <w:szCs w:val="18"/>
          <w:b w:val="1"/>
          <w:bCs w:val="1"/>
          <w:color w:val="auto"/>
        </w:rPr>
        <w:t>Article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(Development Program)</w:t>
      </w:r>
      <w:r>
        <w:rPr>
          <w:rFonts w:ascii="Times New Roman" w:cs="Times New Roman" w:eastAsia="Times New Roman" w:hAnsi="Times New Roman"/>
          <w:sz w:val="18"/>
          <w:szCs w:val="18"/>
          <w:color w:val="auto"/>
        </w:rPr>
        <w:t>), excluding the right to make or have made, Products, in each case of (a) and (b) in the Field in the Territory. For clarity,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license granted to Kissei in </w:t>
      </w:r>
      <w:r>
        <w:rPr>
          <w:rFonts w:ascii="Times New Roman" w:cs="Times New Roman" w:eastAsia="Times New Roman" w:hAnsi="Times New Roman"/>
          <w:sz w:val="18"/>
          <w:szCs w:val="18"/>
          <w:b w:val="1"/>
          <w:bCs w:val="1"/>
          <w:color w:val="auto"/>
        </w:rPr>
        <w:t>Section 4.1.1(b) (License Grants to Kissei; Products)</w:t>
      </w:r>
      <w:r>
        <w:rPr>
          <w:rFonts w:ascii="Times New Roman" w:cs="Times New Roman" w:eastAsia="Times New Roman" w:hAnsi="Times New Roman"/>
          <w:sz w:val="18"/>
          <w:szCs w:val="18"/>
          <w:color w:val="auto"/>
        </w:rPr>
        <w:t xml:space="preserve"> includes the right to conduct Pharmacology Studies in</w:t>
      </w:r>
    </w:p>
    <w:p>
      <w:pPr>
        <w:spacing w:after="0" w:line="1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02"/>
          </w:cols>
          <w:pgMar w:left="538" w:top="265" w:right="559" w:bottom="1440" w:gutter="0" w:footer="0" w:header="0"/>
        </w:sectPr>
      </w:pPr>
    </w:p>
    <w:bookmarkStart w:id="481" w:name="page482"/>
    <w:bookmarkEnd w:id="481"/>
    <w:p>
      <w:pPr>
        <w:ind w:left="2"/>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approved in writing by CG through the JDC. For purposes of this Agreement, “semi-exclusive” means that CG hereby may grant to a Third Party agreed between the Parties in the Development Program, a license under the CG IP to develop the Products in the Territory to the extent agreed between the Parties in the Development Program. Notwithstanding anything to the contrary herein, the license granted in this </w:t>
      </w:r>
      <w:r>
        <w:rPr>
          <w:rFonts w:ascii="Times New Roman" w:cs="Times New Roman" w:eastAsia="Times New Roman" w:hAnsi="Times New Roman"/>
          <w:sz w:val="17"/>
          <w:szCs w:val="17"/>
          <w:b w:val="1"/>
          <w:bCs w:val="1"/>
          <w:color w:val="auto"/>
        </w:rPr>
        <w:t>Section 4.1.1 (Products)</w:t>
      </w:r>
      <w:r>
        <w:rPr>
          <w:rFonts w:ascii="Times New Roman" w:cs="Times New Roman" w:eastAsia="Times New Roman" w:hAnsi="Times New Roman"/>
          <w:sz w:val="17"/>
          <w:szCs w:val="17"/>
          <w:color w:val="auto"/>
        </w:rPr>
        <w:t xml:space="preserve"> shall exclude:</w:t>
      </w:r>
    </w:p>
    <w:p>
      <w:pPr>
        <w:spacing w:after="0" w:line="1" w:lineRule="exact"/>
        <w:rPr>
          <w:sz w:val="20"/>
          <w:szCs w:val="20"/>
          <w:color w:val="auto"/>
        </w:rPr>
      </w:pPr>
    </w:p>
    <w:p>
      <w:pPr>
        <w:ind w:left="2" w:right="140" w:hanging="2"/>
        <w:spacing w:after="0" w:line="247" w:lineRule="auto"/>
        <w:tabs>
          <w:tab w:leader="none" w:pos="242"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offer for sale, sell, have sold, conduct medical affairs with respect to, and otherwise commercialize any Collaboration Compound that is not incorporated into a Product and (b) Know-How and Patents (i) owned or controlled by any member of any Transacting Party Group that was not licensed to CG prior to a Change of Control and (ii) with respect to any Additional Active or other component incorporated into a Product that is not a Collaboration Compound or a component of a Collaboration Compound.</w:t>
      </w:r>
    </w:p>
    <w:p>
      <w:pPr>
        <w:spacing w:after="0" w:line="187" w:lineRule="exact"/>
        <w:rPr>
          <w:sz w:val="20"/>
          <w:szCs w:val="20"/>
          <w:color w:val="auto"/>
        </w:rPr>
      </w:pPr>
    </w:p>
    <w:p>
      <w:pPr>
        <w:ind w:left="2" w:firstLine="973"/>
        <w:spacing w:after="0" w:line="249" w:lineRule="auto"/>
        <w:rPr>
          <w:sz w:val="20"/>
          <w:szCs w:val="20"/>
          <w:color w:val="auto"/>
        </w:rPr>
      </w:pPr>
      <w:r>
        <w:rPr>
          <w:rFonts w:ascii="Times New Roman" w:cs="Times New Roman" w:eastAsia="Times New Roman" w:hAnsi="Times New Roman"/>
          <w:sz w:val="18"/>
          <w:szCs w:val="18"/>
          <w:b w:val="1"/>
          <w:bCs w:val="1"/>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Companion Diagnostics</w:t>
      </w:r>
      <w:r>
        <w:rPr>
          <w:rFonts w:ascii="Times New Roman" w:cs="Times New Roman" w:eastAsia="Times New Roman" w:hAnsi="Times New Roman"/>
          <w:sz w:val="18"/>
          <w:szCs w:val="18"/>
          <w:color w:val="auto"/>
        </w:rPr>
        <w:t>. The Parties agree and understand that the JDC may amend the Development Plan to include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Companion Diagnostics for one or more Products as appropriate for a given Indication. In such case, CG hereby grants to Kissei an exclusive (even as to CG and its Affiliates, except for activities conducted by or on behalf of CG under the Development Plan), non-sublicensable (except as permitted by </w:t>
      </w:r>
      <w:r>
        <w:rPr>
          <w:rFonts w:ascii="Times New Roman" w:cs="Times New Roman" w:eastAsia="Times New Roman" w:hAnsi="Times New Roman"/>
          <w:sz w:val="18"/>
          <w:szCs w:val="18"/>
          <w:b w:val="1"/>
          <w:bCs w:val="1"/>
          <w:color w:val="auto"/>
        </w:rPr>
        <w:t>Section 4.1.4 (Sublicenses)</w:t>
      </w:r>
      <w:r>
        <w:rPr>
          <w:rFonts w:ascii="Times New Roman" w:cs="Times New Roman" w:eastAsia="Times New Roman" w:hAnsi="Times New Roman"/>
          <w:sz w:val="18"/>
          <w:szCs w:val="18"/>
          <w:color w:val="auto"/>
        </w:rPr>
        <w:t>), non-transferable (except pursuant to</w:t>
      </w:r>
      <w:r>
        <w:rPr>
          <w:rFonts w:ascii="Times New Roman" w:cs="Times New Roman" w:eastAsia="Times New Roman" w:hAnsi="Times New Roman"/>
          <w:sz w:val="18"/>
          <w:szCs w:val="18"/>
          <w:b w:val="1"/>
          <w:bCs w:val="1"/>
          <w:color w:val="auto"/>
        </w:rPr>
        <w:t xml:space="preserve"> Section 16.3 (Assignment)</w:t>
      </w:r>
      <w:r>
        <w:rPr>
          <w:rFonts w:ascii="Times New Roman" w:cs="Times New Roman" w:eastAsia="Times New Roman" w:hAnsi="Times New Roman"/>
          <w:sz w:val="18"/>
          <w:szCs w:val="18"/>
          <w:color w:val="auto"/>
        </w:rPr>
        <w:t>), fully paid-up, royalty-free license under the CG IP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CG’s interest in the Joint Collaboration IP to use, import, offer for sale, sell, have sold, conduct medical affairs with respect to, and otherwise commercialize Companion Diagnostics in the Territory solely for purposes of, in connection with and in support of the research, development, manufacture, commercialization or therapeutic use of Products. Notwithstanding anything to the contrary herein, the license granted in this </w:t>
      </w:r>
      <w:r>
        <w:rPr>
          <w:rFonts w:ascii="Times New Roman" w:cs="Times New Roman" w:eastAsia="Times New Roman" w:hAnsi="Times New Roman"/>
          <w:sz w:val="18"/>
          <w:szCs w:val="18"/>
          <w:b w:val="1"/>
          <w:bCs w:val="1"/>
          <w:color w:val="auto"/>
        </w:rPr>
        <w:t>Section 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(Companion Diagnostics) </w:t>
      </w:r>
      <w:r>
        <w:rPr>
          <w:rFonts w:ascii="Times New Roman" w:cs="Times New Roman" w:eastAsia="Times New Roman" w:hAnsi="Times New Roman"/>
          <w:sz w:val="18"/>
          <w:szCs w:val="18"/>
          <w:color w:val="auto"/>
        </w:rPr>
        <w:t>shall exclude Know-How or Patents owned or controlled by any member of any Transacting Party Group that was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to CG prior to a Change of Control.</w:t>
      </w:r>
    </w:p>
    <w:p>
      <w:pPr>
        <w:spacing w:after="0" w:line="187" w:lineRule="exact"/>
        <w:rPr>
          <w:sz w:val="20"/>
          <w:szCs w:val="20"/>
          <w:color w:val="auto"/>
        </w:rPr>
      </w:pPr>
    </w:p>
    <w:p>
      <w:pPr>
        <w:ind w:left="2" w:right="40" w:firstLine="973"/>
        <w:spacing w:after="0" w:line="283" w:lineRule="auto"/>
        <w:rPr>
          <w:sz w:val="20"/>
          <w:szCs w:val="20"/>
          <w:color w:val="auto"/>
        </w:rPr>
      </w:pPr>
      <w:r>
        <w:rPr>
          <w:rFonts w:ascii="Times New Roman" w:cs="Times New Roman" w:eastAsia="Times New Roman" w:hAnsi="Times New Roman"/>
          <w:sz w:val="17"/>
          <w:szCs w:val="17"/>
          <w:b w:val="1"/>
          <w:bCs w:val="1"/>
          <w:color w:val="auto"/>
        </w:rPr>
        <w:t>4.1.3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Collaboration IP</w:t>
      </w:r>
      <w:r>
        <w:rPr>
          <w:rFonts w:ascii="Times New Roman" w:cs="Times New Roman" w:eastAsia="Times New Roman" w:hAnsi="Times New Roman"/>
          <w:sz w:val="17"/>
          <w:szCs w:val="17"/>
          <w:color w:val="auto"/>
        </w:rPr>
        <w:t>. CG hereby grants to Kissei a semi-exclusive, fully paid-up, royalty-free, non-sublicensable (except as permitted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Section 4.1.4 (Sublicenses)</w:t>
      </w:r>
      <w:r>
        <w:rPr>
          <w:rFonts w:ascii="Times New Roman" w:cs="Times New Roman" w:eastAsia="Times New Roman" w:hAnsi="Times New Roman"/>
          <w:sz w:val="17"/>
          <w:szCs w:val="17"/>
          <w:color w:val="auto"/>
        </w:rPr>
        <w:t xml:space="preserve">), non-transferable (except pursuant to </w:t>
      </w:r>
      <w:r>
        <w:rPr>
          <w:rFonts w:ascii="Times New Roman" w:cs="Times New Roman" w:eastAsia="Times New Roman" w:hAnsi="Times New Roman"/>
          <w:sz w:val="17"/>
          <w:szCs w:val="17"/>
          <w:b w:val="1"/>
          <w:bCs w:val="1"/>
          <w:color w:val="auto"/>
        </w:rPr>
        <w:t>Section 16.3 (Assignment)</w:t>
      </w:r>
      <w:r>
        <w:rPr>
          <w:rFonts w:ascii="Times New Roman" w:cs="Times New Roman" w:eastAsia="Times New Roman" w:hAnsi="Times New Roman"/>
          <w:sz w:val="17"/>
          <w:szCs w:val="17"/>
          <w:color w:val="auto"/>
        </w:rPr>
        <w:t>) license under CG’s interest in the Collaboration IP solely to conduct research activities in the Field in the Territory, other than to research Products, Companion Diagnostics and Competing Products.</w:t>
      </w:r>
    </w:p>
    <w:p>
      <w:pPr>
        <w:spacing w:after="0" w:line="156" w:lineRule="exact"/>
        <w:rPr>
          <w:sz w:val="20"/>
          <w:szCs w:val="20"/>
          <w:color w:val="auto"/>
        </w:rPr>
      </w:pPr>
    </w:p>
    <w:p>
      <w:pPr>
        <w:ind w:left="2" w:right="160" w:firstLine="973"/>
        <w:spacing w:after="0" w:line="269" w:lineRule="auto"/>
        <w:rPr>
          <w:sz w:val="20"/>
          <w:szCs w:val="20"/>
          <w:color w:val="auto"/>
        </w:rPr>
      </w:pPr>
      <w:r>
        <w:rPr>
          <w:rFonts w:ascii="Times New Roman" w:cs="Times New Roman" w:eastAsia="Times New Roman" w:hAnsi="Times New Roman"/>
          <w:sz w:val="17"/>
          <w:szCs w:val="17"/>
          <w:b w:val="1"/>
          <w:bCs w:val="1"/>
          <w:color w:val="auto"/>
        </w:rPr>
        <w:t>4.1.4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Sublicenses</w:t>
      </w:r>
      <w:r>
        <w:rPr>
          <w:rFonts w:ascii="Times New Roman" w:cs="Times New Roman" w:eastAsia="Times New Roman" w:hAnsi="Times New Roman"/>
          <w:sz w:val="17"/>
          <w:szCs w:val="17"/>
          <w:color w:val="auto"/>
        </w:rPr>
        <w:t>. Kissei shall have the right to sublicense the rights granted under this</w:t>
      </w:r>
      <w:r>
        <w:rPr>
          <w:rFonts w:ascii="Times New Roman" w:cs="Times New Roman" w:eastAsia="Times New Roman" w:hAnsi="Times New Roman"/>
          <w:sz w:val="17"/>
          <w:szCs w:val="17"/>
          <w:b w:val="1"/>
          <w:bCs w:val="1"/>
          <w:color w:val="auto"/>
        </w:rPr>
        <w:t xml:space="preserve"> Section 4.1 (License Grants to Kissei) </w:t>
      </w:r>
      <w:r>
        <w:rPr>
          <w:rFonts w:ascii="Times New Roman" w:cs="Times New Roman" w:eastAsia="Times New Roman" w:hAnsi="Times New Roman"/>
          <w:sz w:val="17"/>
          <w:szCs w:val="17"/>
          <w:color w:val="auto"/>
        </w:rPr>
        <w:t>to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Affiliates or Third Parties though multiple tiers; provided, that (i) prior to granting any such sublicense, Kissei first obtains CG’s prior written consent, not to be unreasonably withheld, (ii) each such sublicense is subordinate to and consistent with the terms and conditions of this Agreement, and</w:t>
      </w:r>
    </w:p>
    <w:p>
      <w:pPr>
        <w:ind w:left="2" w:hanging="2"/>
        <w:spacing w:after="0" w:line="247" w:lineRule="auto"/>
        <w:tabs>
          <w:tab w:leader="none" w:pos="311"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Kissei shall remain responsible for such Affiliate’s or Third Party’s compliance with all obligations under this Agreement applicable to such Affiliate or Third Party. For clarity, no grant of any sublicense to a Third Party or an Affiliate shall relieve Kissei of its obligations hereunder. For further clarity, any Kissei Affiliate sublicensee hereunder and any Kissei Affiliate acting on behalf of, under the authority of or in lieu of Kissei hereunder shall be a “sublicensee” of Kissei for purposes of this Agreement.</w:t>
      </w:r>
    </w:p>
    <w:p>
      <w:pPr>
        <w:spacing w:after="0" w:line="18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License Grants to CG</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right="120"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4.2.1  Collaboration IP</w:t>
      </w:r>
      <w:r>
        <w:rPr>
          <w:rFonts w:ascii="Times New Roman" w:cs="Times New Roman" w:eastAsia="Times New Roman" w:hAnsi="Times New Roman"/>
          <w:sz w:val="18"/>
          <w:szCs w:val="18"/>
          <w:color w:val="auto"/>
        </w:rPr>
        <w:t>. Kissei hereby grants to CG a non-exclusive, fully paid-up, sublicensable (subject to</w:t>
      </w:r>
      <w:r>
        <w:rPr>
          <w:rFonts w:ascii="Times New Roman" w:cs="Times New Roman" w:eastAsia="Times New Roman" w:hAnsi="Times New Roman"/>
          <w:sz w:val="18"/>
          <w:szCs w:val="18"/>
          <w:b w:val="1"/>
          <w:bCs w:val="1"/>
          <w:color w:val="auto"/>
        </w:rPr>
        <w:t xml:space="preserve"> Section 4.2.5 (Sublicenses)</w:t>
      </w:r>
      <w:r>
        <w:rPr>
          <w:rFonts w:ascii="Times New Roman" w:cs="Times New Roman" w:eastAsia="Times New Roman" w:hAnsi="Times New Roman"/>
          <w:sz w:val="18"/>
          <w:szCs w:val="18"/>
          <w:color w:val="auto"/>
        </w:rPr>
        <w:t>), transferable (subject to</w:t>
      </w:r>
      <w:r>
        <w:rPr>
          <w:rFonts w:ascii="Times New Roman" w:cs="Times New Roman" w:eastAsia="Times New Roman" w:hAnsi="Times New Roman"/>
          <w:sz w:val="18"/>
          <w:szCs w:val="18"/>
          <w:b w:val="1"/>
          <w:bCs w:val="1"/>
          <w:color w:val="auto"/>
        </w:rPr>
        <w:t xml:space="preserve"> Section 16.3 (Assignment)</w:t>
      </w:r>
      <w:r>
        <w:rPr>
          <w:rFonts w:ascii="Times New Roman" w:cs="Times New Roman" w:eastAsia="Times New Roman" w:hAnsi="Times New Roman"/>
          <w:sz w:val="18"/>
          <w:szCs w:val="18"/>
          <w:color w:val="auto"/>
        </w:rPr>
        <w:t>), license, under Kissei’s interest in the Joint Collaboration IP, for any and all 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products (a) in the CG Territory, and (b) other than to use, import, offer for sale, sell, have sold and otherwise commercialize Products, Companion Diagnostics and Competing Products in the Territory.</w:t>
      </w:r>
    </w:p>
    <w:p>
      <w:pPr>
        <w:spacing w:after="0" w:line="11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02"/>
          </w:cols>
          <w:pgMar w:left="538" w:top="267" w:right="559" w:bottom="1440" w:gutter="0" w:footer="0" w:header="0"/>
        </w:sectPr>
      </w:pPr>
    </w:p>
    <w:bookmarkStart w:id="482" w:name="page483"/>
    <w:bookmarkEnd w:id="482"/>
    <w:p>
      <w:pPr>
        <w:ind w:right="120"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4.2.2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Kissei Collaboration IP</w:t>
      </w:r>
      <w:r>
        <w:rPr>
          <w:rFonts w:ascii="Times New Roman" w:cs="Times New Roman" w:eastAsia="Times New Roman" w:hAnsi="Times New Roman"/>
          <w:sz w:val="18"/>
          <w:szCs w:val="18"/>
          <w:color w:val="auto"/>
        </w:rPr>
        <w:t>. Kissei hereby grants to CG a non-exclusive, fully paid-up, royalty-bearing, sublicensable (subject to</w:t>
      </w:r>
      <w:r>
        <w:rPr>
          <w:rFonts w:ascii="Times New Roman" w:cs="Times New Roman" w:eastAsia="Times New Roman" w:hAnsi="Times New Roman"/>
          <w:sz w:val="18"/>
          <w:szCs w:val="18"/>
          <w:b w:val="1"/>
          <w:bCs w:val="1"/>
          <w:color w:val="auto"/>
        </w:rPr>
        <w:t xml:space="preserve"> Section 4.2.5 (Sublicenses)</w:t>
      </w:r>
      <w:r>
        <w:rPr>
          <w:rFonts w:ascii="Times New Roman" w:cs="Times New Roman" w:eastAsia="Times New Roman" w:hAnsi="Times New Roman"/>
          <w:sz w:val="18"/>
          <w:szCs w:val="18"/>
          <w:color w:val="auto"/>
        </w:rPr>
        <w:t>), transferable (subject to</w:t>
      </w:r>
      <w:r>
        <w:rPr>
          <w:rFonts w:ascii="Times New Roman" w:cs="Times New Roman" w:eastAsia="Times New Roman" w:hAnsi="Times New Roman"/>
          <w:sz w:val="18"/>
          <w:szCs w:val="18"/>
          <w:b w:val="1"/>
          <w:bCs w:val="1"/>
          <w:color w:val="auto"/>
        </w:rPr>
        <w:t xml:space="preserve"> Section 16.3 (Assignment)</w:t>
      </w:r>
      <w:r>
        <w:rPr>
          <w:rFonts w:ascii="Times New Roman" w:cs="Times New Roman" w:eastAsia="Times New Roman" w:hAnsi="Times New Roman"/>
          <w:sz w:val="18"/>
          <w:szCs w:val="18"/>
          <w:color w:val="auto"/>
        </w:rPr>
        <w:t>), license, under Kissei’s interest in the Kissei Collaboration IP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uses and products (a) in the CG Territory, and (b) other than to use, import, offer for sale, sell, have sold and otherwise commercialize Products, Companion Diagnostics and Competing Products in the Territory.</w:t>
      </w:r>
    </w:p>
    <w:p>
      <w:pPr>
        <w:spacing w:after="0" w:line="177" w:lineRule="exact"/>
        <w:rPr>
          <w:sz w:val="20"/>
          <w:szCs w:val="20"/>
          <w:color w:val="auto"/>
        </w:rPr>
      </w:pPr>
    </w:p>
    <w:p>
      <w:pPr>
        <w:ind w:right="140"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4.2.3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Other Kissei IP</w:t>
      </w:r>
      <w:r>
        <w:rPr>
          <w:rFonts w:ascii="Times New Roman" w:cs="Times New Roman" w:eastAsia="Times New Roman" w:hAnsi="Times New Roman"/>
          <w:sz w:val="18"/>
          <w:szCs w:val="18"/>
          <w:color w:val="auto"/>
        </w:rPr>
        <w:t>. Prior to using any Kissei IP (other than Kissei Collaboration IP) in the Development Program, Kissei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CG a general description of the proposed Kissei IP and the intended use thereof in the Development Program, without disclosing any Confidential Information with respect thereto. By mutual agreement of the Parties, CG may use such Kissei IP in the Development Program solely for the limited, agreed upon purpose, which shall be in writing.</w:t>
      </w:r>
    </w:p>
    <w:p>
      <w:pPr>
        <w:spacing w:after="0" w:line="177" w:lineRule="exact"/>
        <w:rPr>
          <w:sz w:val="20"/>
          <w:szCs w:val="20"/>
          <w:color w:val="auto"/>
        </w:rPr>
      </w:pPr>
    </w:p>
    <w:p>
      <w:pPr>
        <w:ind w:right="260"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4.2.4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Residuals</w:t>
      </w:r>
      <w:r>
        <w:rPr>
          <w:rFonts w:ascii="Times New Roman" w:cs="Times New Roman" w:eastAsia="Times New Roman" w:hAnsi="Times New Roman"/>
          <w:sz w:val="18"/>
          <w:szCs w:val="18"/>
          <w:color w:val="auto"/>
        </w:rPr>
        <w:t>. CG may use for any purpose Residuals resulting pursuant to this Agreement from CG and its Affiliates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and agents’ access to or work with any Kissei IP or other Confidential Information of Kissei. Kissei may use for any purpose Residuals resulting pursuant to this Agreement from Kissei and its Affiliates employees’, consultants’ and agents’ access to or work with any CG IP or other Confidential Information of CG.</w:t>
      </w:r>
    </w:p>
    <w:p>
      <w:pPr>
        <w:spacing w:after="0" w:line="177" w:lineRule="exact"/>
        <w:rPr>
          <w:sz w:val="20"/>
          <w:szCs w:val="20"/>
          <w:color w:val="auto"/>
        </w:rPr>
      </w:pPr>
    </w:p>
    <w:p>
      <w:pPr>
        <w:ind w:right="120" w:firstLine="973"/>
        <w:spacing w:after="0" w:line="275" w:lineRule="auto"/>
        <w:rPr>
          <w:sz w:val="20"/>
          <w:szCs w:val="20"/>
          <w:color w:val="auto"/>
        </w:rPr>
      </w:pPr>
      <w:r>
        <w:rPr>
          <w:rFonts w:ascii="Times New Roman" w:cs="Times New Roman" w:eastAsia="Times New Roman" w:hAnsi="Times New Roman"/>
          <w:sz w:val="17"/>
          <w:szCs w:val="17"/>
          <w:b w:val="1"/>
          <w:bCs w:val="1"/>
          <w:color w:val="auto"/>
        </w:rPr>
        <w:t>4.2.5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Sublicenses</w:t>
      </w:r>
      <w:r>
        <w:rPr>
          <w:rFonts w:ascii="Times New Roman" w:cs="Times New Roman" w:eastAsia="Times New Roman" w:hAnsi="Times New Roman"/>
          <w:sz w:val="17"/>
          <w:szCs w:val="17"/>
          <w:color w:val="auto"/>
        </w:rPr>
        <w:t>. CG shall have the right to sublicense the rights granted under this</w:t>
      </w:r>
      <w:r>
        <w:rPr>
          <w:rFonts w:ascii="Times New Roman" w:cs="Times New Roman" w:eastAsia="Times New Roman" w:hAnsi="Times New Roman"/>
          <w:sz w:val="17"/>
          <w:szCs w:val="17"/>
          <w:b w:val="1"/>
          <w:bCs w:val="1"/>
          <w:color w:val="auto"/>
        </w:rPr>
        <w:t xml:space="preserve"> Section 4.2 (License Grants to CG) </w:t>
      </w:r>
      <w:r>
        <w:rPr>
          <w:rFonts w:ascii="Times New Roman" w:cs="Times New Roman" w:eastAsia="Times New Roman" w:hAnsi="Times New Roman"/>
          <w:sz w:val="17"/>
          <w:szCs w:val="17"/>
          <w:color w:val="auto"/>
        </w:rPr>
        <w:t>to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Affiliates or Third Parties though multiple tiers; provided, that such sublicense is consistent with the terms and conditions of this Agreement, and provided further that CG shall remain responsible for such Affiliate’s or Third Party’s compliance with all obligations under this Agreement applicable to such Affiliate or Third Party. For clarity, no grant of any sublicense to a Third Party or an Affiliate shall relieve CG of its obligations hereunder.</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Exclusivity</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973"/>
        <w:spacing w:after="0" w:line="268" w:lineRule="auto"/>
        <w:rPr>
          <w:sz w:val="20"/>
          <w:szCs w:val="20"/>
          <w:color w:val="auto"/>
        </w:rPr>
      </w:pPr>
      <w:r>
        <w:rPr>
          <w:rFonts w:ascii="Times New Roman" w:cs="Times New Roman" w:eastAsia="Times New Roman" w:hAnsi="Times New Roman"/>
          <w:sz w:val="17"/>
          <w:szCs w:val="17"/>
          <w:b w:val="1"/>
          <w:bCs w:val="1"/>
          <w:color w:val="auto"/>
        </w:rPr>
        <w:t>4.3.1</w:t>
      </w:r>
      <w:r>
        <w:rPr>
          <w:rFonts w:ascii="Times New Roman" w:cs="Times New Roman" w:eastAsia="Times New Roman" w:hAnsi="Times New Roman"/>
          <w:sz w:val="17"/>
          <w:szCs w:val="17"/>
          <w:color w:val="auto"/>
        </w:rPr>
        <w:t xml:space="preserve">  For a period beginning on the Effective Date and concluding [***] following first Marketing Approval for a Product, neither CG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nor any of its Affiliates shall: (a) promote, market, distribute, sell or otherwise commercialize a Competing Product; or (b) either directly or indirectly, appoint, license, or otherwise authorize or facilitate any Third Party, whether pursuant to such appointment, license or otherwise, to perform any of the activities set forth in the foregoing clause (a). Notwithstanding anything to the contrary in this Agreement, in the event of any Change of Control of CG (or successor entity thereto, applying the definition of Change of Control to such successor in place of CG), the Person engaged in the Change of Control event with CG (the “</w:t>
      </w:r>
      <w:r>
        <w:rPr>
          <w:rFonts w:ascii="Times New Roman" w:cs="Times New Roman" w:eastAsia="Times New Roman" w:hAnsi="Times New Roman"/>
          <w:sz w:val="17"/>
          <w:szCs w:val="17"/>
          <w:b w:val="1"/>
          <w:bCs w:val="1"/>
          <w:color w:val="auto"/>
        </w:rPr>
        <w:t>Transacting Party</w:t>
      </w:r>
      <w:r>
        <w:rPr>
          <w:rFonts w:ascii="Times New Roman" w:cs="Times New Roman" w:eastAsia="Times New Roman" w:hAnsi="Times New Roman"/>
          <w:sz w:val="17"/>
          <w:szCs w:val="17"/>
          <w:color w:val="auto"/>
        </w:rPr>
        <w:t>”) and its Affiliates other than the CG Group (collectively, the “</w:t>
      </w:r>
      <w:r>
        <w:rPr>
          <w:rFonts w:ascii="Times New Roman" w:cs="Times New Roman" w:eastAsia="Times New Roman" w:hAnsi="Times New Roman"/>
          <w:sz w:val="17"/>
          <w:szCs w:val="17"/>
          <w:b w:val="1"/>
          <w:bCs w:val="1"/>
          <w:color w:val="auto"/>
        </w:rPr>
        <w:t>Transacting Party Group</w:t>
      </w:r>
      <w:r>
        <w:rPr>
          <w:rFonts w:ascii="Times New Roman" w:cs="Times New Roman" w:eastAsia="Times New Roman" w:hAnsi="Times New Roman"/>
          <w:sz w:val="17"/>
          <w:szCs w:val="17"/>
          <w:color w:val="auto"/>
        </w:rPr>
        <w:t xml:space="preserve">”) will not be deemed to be Affiliates of CG for purposes of this </w:t>
      </w:r>
      <w:r>
        <w:rPr>
          <w:rFonts w:ascii="Times New Roman" w:cs="Times New Roman" w:eastAsia="Times New Roman" w:hAnsi="Times New Roman"/>
          <w:sz w:val="17"/>
          <w:szCs w:val="17"/>
          <w:b w:val="1"/>
          <w:bCs w:val="1"/>
          <w:color w:val="auto"/>
        </w:rPr>
        <w:t>Section 4.3.1 (Exclusivity)</w:t>
      </w:r>
      <w:r>
        <w:rPr>
          <w:rFonts w:ascii="Times New Roman" w:cs="Times New Roman" w:eastAsia="Times New Roman" w:hAnsi="Times New Roman"/>
          <w:sz w:val="17"/>
          <w:szCs w:val="17"/>
          <w:color w:val="auto"/>
        </w:rPr>
        <w:t>, provided, that, and only so long as (a) no unpublished CG Patents,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60"/>
          </w:cols>
          <w:pgMar w:left="540" w:top="264" w:right="599" w:bottom="1440" w:gutter="0" w:footer="0" w:header="0"/>
        </w:sectPr>
      </w:pPr>
    </w:p>
    <w:bookmarkStart w:id="483" w:name="page484"/>
    <w:bookmarkEnd w:id="483"/>
    <w:p>
      <w:pPr>
        <w:ind w:right="1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unpublished CG Know-How, Kissei IP or Confidential Information, or any Collaboration IP are used by such Transacting Party Group, and (b) the Transacting Party Group segregates the CG Group’s personnel from all programs of the Transacting Party Group directed to the (1) research, development, manufacture, sale, marketing, promotion or distribution of any Collaboration Compound or Product, other than as a research tool as permitted by the JDC, which may include use as a positive control or (2) research, development, manufacture, or commercialization of any product for the diagnosis, prevention, or treatment of any of the Indications which are actively under development under this Agreement as of the date hereof. For the purposes hereof, the “</w:t>
      </w:r>
      <w:r>
        <w:rPr>
          <w:rFonts w:ascii="Times New Roman" w:cs="Times New Roman" w:eastAsia="Times New Roman" w:hAnsi="Times New Roman"/>
          <w:sz w:val="17"/>
          <w:szCs w:val="17"/>
          <w:b w:val="1"/>
          <w:bCs w:val="1"/>
          <w:color w:val="auto"/>
        </w:rPr>
        <w:t>CG Group</w:t>
      </w:r>
      <w:r>
        <w:rPr>
          <w:rFonts w:ascii="Times New Roman" w:cs="Times New Roman" w:eastAsia="Times New Roman" w:hAnsi="Times New Roman"/>
          <w:sz w:val="17"/>
          <w:szCs w:val="17"/>
          <w:color w:val="auto"/>
        </w:rPr>
        <w:t>” means CG and its Affiliates as in existence immediately prior to consummation of the Change of Control.</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b w:val="1"/>
          <w:bCs w:val="1"/>
          <w:color w:val="auto"/>
        </w:rPr>
        <w:t>4.3.2</w:t>
      </w:r>
      <w:r>
        <w:rPr>
          <w:rFonts w:ascii="Times New Roman" w:cs="Times New Roman" w:eastAsia="Times New Roman" w:hAnsi="Times New Roman"/>
          <w:sz w:val="17"/>
          <w:szCs w:val="17"/>
          <w:color w:val="auto"/>
        </w:rPr>
        <w:t xml:space="preserve">   For a period beginning on the Effective Date and concluding [***] following first Marketing Approval for a Product, Kissei shall</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 conduct or participate in, either directly or indirectly, any activities directed toward the (i) research, development, manufacture, sale, marketing,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promotion or distribution of any Competing Product; or (b) either directly or indirectly, appoint, license, or otherwise authorize or facilitate any Affiliate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Third Party, whether pursuant to such appointment, license or otherwise, to perform any of the activities set forth in the foregoing clause (a).</w:t>
      </w:r>
    </w:p>
    <w:p>
      <w:pPr>
        <w:spacing w:after="0" w:line="19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Other Rights, Retained Rights</w:t>
      </w:r>
      <w:r>
        <w:rPr>
          <w:rFonts w:ascii="Times New Roman" w:cs="Times New Roman" w:eastAsia="Times New Roman" w:hAnsi="Times New Roman"/>
          <w:sz w:val="18"/>
          <w:szCs w:val="18"/>
          <w:color w:val="auto"/>
        </w:rPr>
        <w:t>. Except as expressly provided in this Agreement, nothing in this Agreement shall grant either Party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title or interest in and to the Know-How, Patents or other intellectual property rights of the other Party (either expressly or by implication or estoppel). Any intellectual property right of a Party not expressly licensed to the other Party by such Party under this Agreement is expressly retained by such Party.</w:t>
      </w:r>
    </w:p>
    <w:p>
      <w:pPr>
        <w:spacing w:after="0" w:line="177"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Interpretation</w:t>
      </w:r>
      <w:r>
        <w:rPr>
          <w:rFonts w:ascii="Times New Roman" w:cs="Times New Roman" w:eastAsia="Times New Roman" w:hAnsi="Times New Roman"/>
          <w:sz w:val="18"/>
          <w:szCs w:val="18"/>
          <w:color w:val="auto"/>
        </w:rPr>
        <w:t>. As used in this</w:t>
      </w:r>
      <w:r>
        <w:rPr>
          <w:rFonts w:ascii="Times New Roman" w:cs="Times New Roman" w:eastAsia="Times New Roman" w:hAnsi="Times New Roman"/>
          <w:sz w:val="18"/>
          <w:szCs w:val="18"/>
          <w:b w:val="1"/>
          <w:bCs w:val="1"/>
          <w:color w:val="auto"/>
        </w:rPr>
        <w:t xml:space="preserve"> Article 4 (Licenses and Rights)</w:t>
      </w:r>
      <w:r>
        <w:rPr>
          <w:rFonts w:ascii="Times New Roman" w:cs="Times New Roman" w:eastAsia="Times New Roman" w:hAnsi="Times New Roman"/>
          <w:sz w:val="18"/>
          <w:szCs w:val="18"/>
          <w:color w:val="auto"/>
        </w:rPr>
        <w:t>, the word “commercialization” (including its cognates, e.g.,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commercializing) includes any and all of the following activities: selling, offering for sale, promoting, marketing, conducting details, and performing such other activities as are typical in support of any of the foregoing.</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MANUFACTURING AND SUPPLY; REGULATORY MATTERS; DELIVERABLES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Manufacturing and Supply</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120" w:firstLine="973"/>
        <w:spacing w:after="0" w:line="251" w:lineRule="auto"/>
        <w:rPr>
          <w:sz w:val="20"/>
          <w:szCs w:val="20"/>
          <w:color w:val="auto"/>
        </w:rPr>
      </w:pPr>
      <w:r>
        <w:rPr>
          <w:rFonts w:ascii="Times New Roman" w:cs="Times New Roman" w:eastAsia="Times New Roman" w:hAnsi="Times New Roman"/>
          <w:sz w:val="18"/>
          <w:szCs w:val="18"/>
          <w:b w:val="1"/>
          <w:bCs w:val="1"/>
          <w:color w:val="auto"/>
        </w:rPr>
        <w:t>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Generally</w:t>
      </w:r>
      <w:r>
        <w:rPr>
          <w:rFonts w:ascii="Times New Roman" w:cs="Times New Roman" w:eastAsia="Times New Roman" w:hAnsi="Times New Roman"/>
          <w:sz w:val="18"/>
          <w:szCs w:val="18"/>
          <w:color w:val="auto"/>
        </w:rPr>
        <w:t>. CG (itself or through designees) shall manufacture and supply to Kissei Products for the Field in the Territory,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case in accordance with </w:t>
      </w:r>
      <w:r>
        <w:rPr>
          <w:rFonts w:ascii="Times New Roman" w:cs="Times New Roman" w:eastAsia="Times New Roman" w:hAnsi="Times New Roman"/>
          <w:sz w:val="18"/>
          <w:szCs w:val="18"/>
          <w:b w:val="1"/>
          <w:bCs w:val="1"/>
          <w:color w:val="auto"/>
        </w:rPr>
        <w:t>Section 5.2 (Regulatory Matters)</w:t>
      </w:r>
      <w:r>
        <w:rPr>
          <w:rFonts w:ascii="Times New Roman" w:cs="Times New Roman" w:eastAsia="Times New Roman" w:hAnsi="Times New Roman"/>
          <w:sz w:val="18"/>
          <w:szCs w:val="18"/>
          <w:color w:val="auto"/>
        </w:rPr>
        <w:t xml:space="preserve"> and separate written agreements, one for supply in Clinical Trials (“</w:t>
      </w:r>
      <w:r>
        <w:rPr>
          <w:rFonts w:ascii="Times New Roman" w:cs="Times New Roman" w:eastAsia="Times New Roman" w:hAnsi="Times New Roman"/>
          <w:sz w:val="18"/>
          <w:szCs w:val="18"/>
          <w:b w:val="1"/>
          <w:bCs w:val="1"/>
          <w:color w:val="auto"/>
        </w:rPr>
        <w:t>Clinical Supply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another for commercial supply (the “</w:t>
      </w:r>
      <w:r>
        <w:rPr>
          <w:rFonts w:ascii="Times New Roman" w:cs="Times New Roman" w:eastAsia="Times New Roman" w:hAnsi="Times New Roman"/>
          <w:sz w:val="18"/>
          <w:szCs w:val="18"/>
          <w:b w:val="1"/>
          <w:bCs w:val="1"/>
          <w:color w:val="auto"/>
        </w:rPr>
        <w:t>Commercial Supply Agreement</w:t>
      </w:r>
      <w:r>
        <w:rPr>
          <w:rFonts w:ascii="Times New Roman" w:cs="Times New Roman" w:eastAsia="Times New Roman" w:hAnsi="Times New Roman"/>
          <w:sz w:val="18"/>
          <w:szCs w:val="18"/>
          <w:color w:val="auto"/>
        </w:rPr>
        <w:t>”) each to be negotiated in good faith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b w:val="1"/>
          <w:bCs w:val="1"/>
          <w:color w:val="auto"/>
        </w:rPr>
        <w:t>Section 5.1.2 (Supply Agreements)</w:t>
      </w:r>
      <w:r>
        <w:rPr>
          <w:rFonts w:ascii="Times New Roman" w:cs="Times New Roman" w:eastAsia="Times New Roman" w:hAnsi="Times New Roman"/>
          <w:sz w:val="18"/>
          <w:szCs w:val="18"/>
          <w:color w:val="auto"/>
        </w:rPr>
        <w:t>. CG shall supply to Kissei and Kissei shall (and shall cause its Affiliates and sublicensees to) exclusively purchase from CG all requirements of Product, and CG shall have the exclusive right to manufacture Product. CG shall report generally regarding the status of activities of CMOs and suppliers related to Product for supply to Kissei.</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80"/>
          </w:cols>
          <w:pgMar w:left="540" w:top="267" w:right="579" w:bottom="1440" w:gutter="0" w:footer="0" w:header="0"/>
        </w:sectPr>
      </w:pPr>
    </w:p>
    <w:bookmarkStart w:id="484" w:name="page485"/>
    <w:bookmarkEnd w:id="484"/>
    <w:p>
      <w:pPr>
        <w:ind w:right="40" w:firstLine="973"/>
        <w:spacing w:after="0" w:line="24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Supply Agreements</w:t>
      </w:r>
      <w:r>
        <w:rPr>
          <w:rFonts w:ascii="Times New Roman" w:cs="Times New Roman" w:eastAsia="Times New Roman" w:hAnsi="Times New Roman"/>
          <w:sz w:val="18"/>
          <w:szCs w:val="18"/>
          <w:color w:val="auto"/>
        </w:rPr>
        <w:t>. The Parties shall negotiate in good faith and execute a Clinical Supply Agreement and a Commercial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the supply by CG, or a CMO designated by CG, to Kissei of Product for Kissei’s, its Affiliates’ and sublicensees’ exercise of the rights and licenses in accordance herewith including the conduct of Clinical Trials and commercialization in the Territory. The Clinical Supply Agreement shall include (a) supply of sufficient quantities of such Products to enable a Clinical Trials of such Product in the Territory as provided by the Development Plan; (b) payment by Kissei of an amount [***]; and (c) other terms customary in the pharmaceutical industry to agreements of this nature. The Commercial Supply Agreement shall include (x) at least [***] supply based on Kissei’s then-current forecasts under such agreement (depending on the final shelf life and stability of the Product and other relevant factors) of Products at all times for the development and commercialization of such Products under this Agreement, (y) payment by Kissei of an amount equal to [***], and (z) other terms customary in the pharmaceutical industry to agreements of this nature. The Parties shall negotiate the Clinical Supply Agreement immediately following the Effective Date and use commercially reasonable efforts to execute the Clinical Supply Agreement within [***] of the Effective Date but in no event later than [***]. The Parties shall, through the JDC, agree upon a timeline for negotiating and executing the Commercial Supply Agreement.</w:t>
      </w:r>
    </w:p>
    <w:p>
      <w:pPr>
        <w:spacing w:after="0" w:line="191" w:lineRule="exact"/>
        <w:rPr>
          <w:sz w:val="20"/>
          <w:szCs w:val="20"/>
          <w:color w:val="auto"/>
        </w:rPr>
      </w:pPr>
    </w:p>
    <w:p>
      <w:pPr>
        <w:jc w:val="both"/>
        <w:ind w:right="8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Quality Agreement</w:t>
      </w:r>
      <w:r>
        <w:rPr>
          <w:rFonts w:ascii="Times New Roman" w:cs="Times New Roman" w:eastAsia="Times New Roman" w:hAnsi="Times New Roman"/>
          <w:sz w:val="18"/>
          <w:szCs w:val="18"/>
          <w:color w:val="auto"/>
        </w:rPr>
        <w:t>. CG and Kissei shall execute a mutually acceptable quality agreement that allocates roles and responsibilities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each Party with respect to quality control and regulatory compliance with respect to the manufacture and supply of Products hereunder and under the Clinical Supply Agreement and Commercial Supply Agreement.</w:t>
      </w:r>
    </w:p>
    <w:p>
      <w:pPr>
        <w:spacing w:after="0" w:line="173" w:lineRule="exact"/>
        <w:rPr>
          <w:sz w:val="20"/>
          <w:szCs w:val="20"/>
          <w:color w:val="auto"/>
        </w:rPr>
      </w:pPr>
    </w:p>
    <w:p>
      <w:pPr>
        <w:ind w:right="120" w:firstLine="973"/>
        <w:spacing w:after="0" w:line="251" w:lineRule="auto"/>
        <w:rPr>
          <w:sz w:val="20"/>
          <w:szCs w:val="20"/>
          <w:color w:val="auto"/>
        </w:rPr>
      </w:pPr>
      <w:r>
        <w:rPr>
          <w:rFonts w:ascii="Times New Roman" w:cs="Times New Roman" w:eastAsia="Times New Roman" w:hAnsi="Times New Roman"/>
          <w:sz w:val="18"/>
          <w:szCs w:val="18"/>
          <w:b w:val="1"/>
          <w:bCs w:val="1"/>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CMC Information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Section 2.7 (Development Costs)</w:t>
      </w:r>
      <w:r>
        <w:rPr>
          <w:rFonts w:ascii="Times New Roman" w:cs="Times New Roman" w:eastAsia="Times New Roman" w:hAnsi="Times New Roman"/>
          <w:sz w:val="18"/>
          <w:szCs w:val="18"/>
          <w:color w:val="auto"/>
        </w:rPr>
        <w:t>, as long as CG is manufacturing (or having manufactured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CMO) Product for Kissei pursuant to the Clinical Supply Agreement or Commercial Supply Agreement, CG shall provide to Kissei CG’s then-current CMC Information, to the extent reasonably necessary for Kissei to file and maintain a Marketing Approval Application for Product in the Territory. CG shall permit Kissei to cross-reference such CMC Information in its Regulatory Materials for Product for the Field in the Territory in accordance with this Agreement. “</w:t>
      </w:r>
      <w:r>
        <w:rPr>
          <w:rFonts w:ascii="Times New Roman" w:cs="Times New Roman" w:eastAsia="Times New Roman" w:hAnsi="Times New Roman"/>
          <w:sz w:val="18"/>
          <w:szCs w:val="18"/>
          <w:b w:val="1"/>
          <w:bCs w:val="1"/>
          <w:color w:val="auto"/>
        </w:rPr>
        <w:t>CMC Information</w:t>
      </w:r>
      <w:r>
        <w:rPr>
          <w:rFonts w:ascii="Times New Roman" w:cs="Times New Roman" w:eastAsia="Times New Roman" w:hAnsi="Times New Roman"/>
          <w:sz w:val="18"/>
          <w:szCs w:val="18"/>
          <w:color w:val="auto"/>
        </w:rPr>
        <w:t>” means all technical information regarding a Party’s (or its CMO’s) CMC filed or required to be filed with the FDA or PMDA in connection with the development or commercialization of Product.</w:t>
      </w:r>
    </w:p>
    <w:p>
      <w:pPr>
        <w:spacing w:after="0" w:line="185" w:lineRule="exact"/>
        <w:rPr>
          <w:sz w:val="20"/>
          <w:szCs w:val="20"/>
          <w:color w:val="auto"/>
        </w:rPr>
      </w:pPr>
    </w:p>
    <w:p>
      <w:pPr>
        <w:ind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CMO Agreements</w:t>
      </w:r>
      <w:r>
        <w:rPr>
          <w:rFonts w:ascii="Times New Roman" w:cs="Times New Roman" w:eastAsia="Times New Roman" w:hAnsi="Times New Roman"/>
          <w:sz w:val="18"/>
          <w:szCs w:val="18"/>
          <w:color w:val="auto"/>
        </w:rPr>
        <w:t>. In each agreement with a CMO, CG shall use commercially reasonable efforts to obtain the following: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(ii) [***]; and (iii) [***]. At Kissei’s request, CG shall use commercially reasonable efforts, at Kissei’s cost, to facilitate any inspection or audit of a CMO and permit Kissei to observe the CMO during the manufacturing of Collaboration Compound and Product, including a three-way confidentiality agreement with such CMO if such inspection or audit requires disclosure of any confidential information of such CMO with respect to its processes.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Regulatory Matters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right="16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5.2.1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Regulatory Approval Application</w:t>
      </w:r>
      <w:r>
        <w:rPr>
          <w:rFonts w:ascii="Times New Roman" w:cs="Times New Roman" w:eastAsia="Times New Roman" w:hAnsi="Times New Roman"/>
          <w:sz w:val="18"/>
          <w:szCs w:val="18"/>
          <w:color w:val="auto"/>
        </w:rPr>
        <w:t>. On a Product-by-Product basis, (i) CG or its designee shall be responsible for preparing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submitting in its own name, and shall own, the IND, Marketing Approval Application or equivalent for such Product in the CG Territory and Kissei or its designee shall be responsible for preparing and submitting in its own name, and shall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80"/>
          </w:cols>
          <w:pgMar w:left="540" w:top="265" w:right="579" w:bottom="1440" w:gutter="0" w:footer="0" w:header="0"/>
        </w:sectPr>
      </w:pPr>
    </w:p>
    <w:bookmarkStart w:id="485" w:name="page486"/>
    <w:bookmarkEnd w:id="485"/>
    <w:p>
      <w:pPr>
        <w:ind w:right="10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own, the IND, Marketing Approval Application or equivalent for such Product in the Territory, (ii) each Party shall be responsible for liaising and managing interactions with Regulatory Authorities with respect thereto in its respective territory and (iii) each Party shall support the other Party in the other Party’s territory, as may be reasonably necessary and as reasonably requested by such Party, in preparing and submitting such IND and Marketing Approval Application, and in the activities in support thereof, including providing information, documents or other materials required by Applicable Law for inclusion in or in support of such IND and Marketing Approval Application, in each case in accordance with the terms and conditions of this Agreement and the Development Plan. In addition, on a Product-by-Product basis, the following shall apply:</w:t>
      </w:r>
    </w:p>
    <w:p>
      <w:pPr>
        <w:spacing w:after="0" w:line="183" w:lineRule="exact"/>
        <w:rPr>
          <w:sz w:val="20"/>
          <w:szCs w:val="20"/>
          <w:color w:val="auto"/>
        </w:rPr>
      </w:pPr>
    </w:p>
    <w:p>
      <w:pPr>
        <w:ind w:firstLine="1406"/>
        <w:spacing w:after="0" w:line="247"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Regulatory Correspondence</w:t>
      </w:r>
      <w:r>
        <w:rPr>
          <w:rFonts w:ascii="Times New Roman" w:cs="Times New Roman" w:eastAsia="Times New Roman" w:hAnsi="Times New Roman"/>
          <w:sz w:val="18"/>
          <w:szCs w:val="18"/>
          <w:color w:val="auto"/>
        </w:rPr>
        <w:t>. To the extent permitted by agreements with Third Parties and Applicable Laws, Kissei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to CG summaries or copies in English or original language of the following with respect to Regulatory Authorities in the Territory, and CG shall provide to Kissei summaries or copies of the following with respect to the FDA and European Medicines Agency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in English or original language: any material documents, information or other correspondence received from such Regulatory Authority pertaining to the Development Plan or such Product in the US, Europe or Territory, including, but not limited to, any IND, all IND amendments, Regulatory Authority meeting requests, and Regulatory Authority advice (including scientific advisory packages). To the extent reasonably feasible and based on timelines required by such Regulatory Authority, each Party shall provide the other Party with access to a draft of all material Regulatory Materials in English or original language pertaining to such Product to be submitted by such Party to such Regulatory Authority, sufficiently in advance of the intended submission dates via the access methods (such as secure databases) established by the JDC, to enable the receiving Party to review and provide comments to the disclosing Party concerning the content thereof. Each Party shall consider in good faith any such comments of the other Party provided sufficiently in advance of any deadlines required by such Regulatory Authority. The Parties acknowledge and agree that a Regulatory Authority may require submissions of, or responses containing, Regulatory Materials, the timeline for which would not reasonably allow the Parties to share information and deliberate responses through the JDC. In such case, the Parties will make reasonable attempts to notify the JDC of the circumstances of such scenarios in advance of the deadline required by the Regulatory Authority, but a Party’s failure to notify the JDC or to consider comments of the other Party will not constitute a breach of this Agreement; provided that in all instances the Party will notify the JDC as soon as reasonably practicable, even if after the Regulatory Materials have been submitted to the Regulatory Authority.</w:t>
      </w:r>
    </w:p>
    <w:p>
      <w:pPr>
        <w:spacing w:after="0" w:line="196" w:lineRule="exact"/>
        <w:rPr>
          <w:sz w:val="20"/>
          <w:szCs w:val="20"/>
          <w:color w:val="auto"/>
        </w:rPr>
      </w:pPr>
    </w:p>
    <w:p>
      <w:pPr>
        <w:ind w:right="140" w:firstLine="1406"/>
        <w:spacing w:after="0" w:line="268"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Regulatory Correspondence Related to Manufacturing</w:t>
      </w:r>
      <w:r>
        <w:rPr>
          <w:rFonts w:ascii="Times New Roman" w:cs="Times New Roman" w:eastAsia="Times New Roman" w:hAnsi="Times New Roman"/>
          <w:sz w:val="17"/>
          <w:szCs w:val="17"/>
          <w:color w:val="auto"/>
        </w:rPr>
        <w:t>. CG shall immediately and within [***] of receipt by CG notify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Kissei in writing of, and shall provide Kissei with copies of, any correspondence and other documentation received or prepared by CG, or received by CG and prepared by its CMO, in connection with any of the following events: (a) receipt of a regulatory letter, warning letter, Form 483 (Inspectional Observations) or similar item, from the FDA or any other Regulatory Authority directed to the manufacture of such Product or in connection with any general cGMP inspections applicable to the manufacturing facility for such Product; and (b) receipt of a regulatory letter, warning letter or similar item from the FDA or any other Regulatory Authority directed to or any regulatory comments related to such Product where the comments relate or are attributable to any manufacturing, testing, packaging, storage or distribution activities by CG or on behalf of CG through its designated CMO.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00"/>
          </w:cols>
          <w:pgMar w:left="540" w:top="267" w:right="559" w:bottom="1440" w:gutter="0" w:footer="0" w:header="0"/>
        </w:sectPr>
      </w:pPr>
    </w:p>
    <w:bookmarkStart w:id="486" w:name="page487"/>
    <w:bookmarkEnd w:id="486"/>
    <w:p>
      <w:pPr>
        <w:ind w:right="20" w:firstLine="1406"/>
        <w:spacing w:after="0" w:line="24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Meetings with Regulatory Authorities in the Territory</w:t>
      </w:r>
      <w:r>
        <w:rPr>
          <w:rFonts w:ascii="Times New Roman" w:cs="Times New Roman" w:eastAsia="Times New Roman" w:hAnsi="Times New Roman"/>
          <w:sz w:val="18"/>
          <w:szCs w:val="18"/>
          <w:color w:val="auto"/>
        </w:rPr>
        <w:t>. Kissei shall provide to the JDC, with respect to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in Japan, South Korea and Taiwan, and CG shall provide to the JDC, with respect to the FDA and EMA, to the extent reasonably possible, prior written notice of any substantive meeting, conference, or discussion (including any advisory committee meeting) with such Regulatory Authority relating to such Product, within [***] after such Party first receives notice of the scheduling of such meeting or within such shorter period as may be necessary in order to give the JDC a reasonable opportunity to determine whether such meeting is material to the Party’s responsibilities in the Territory and it is appropriate for up to [***] of the other Party to attend such meeting. If the JDC determines that attendance by representatives of the other Party is appropriate, (i) such other Party shall have the right to attend and participate in all such meetings, to the extent permitted by Applicable Law, and (ii), such other Party may participate in any substantive preparatory pre-meetings held prior to such Regulatory Authority meeting. If such Regulatory Authority initiates a meeting, conference or discussion in such a manner that does not permit a Party to notify the other Party, then the Party discussing with the Regulatory Authority shall, as soon as reasonably practicable and permitted, provide a written summary of the contents of the discussion to the JDC.</w:t>
      </w:r>
    </w:p>
    <w:p>
      <w:pPr>
        <w:spacing w:after="0" w:line="191" w:lineRule="exact"/>
        <w:rPr>
          <w:sz w:val="20"/>
          <w:szCs w:val="20"/>
          <w:color w:val="auto"/>
        </w:rPr>
      </w:pPr>
    </w:p>
    <w:p>
      <w:pPr>
        <w:ind w:right="60" w:firstLine="1406"/>
        <w:spacing w:after="0" w:line="253"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Adverse Event Reports</w:t>
      </w:r>
      <w:r>
        <w:rPr>
          <w:rFonts w:ascii="Times New Roman" w:cs="Times New Roman" w:eastAsia="Times New Roman" w:hAnsi="Times New Roman"/>
          <w:sz w:val="18"/>
          <w:szCs w:val="18"/>
          <w:color w:val="auto"/>
        </w:rPr>
        <w:t>. CG shall be responsible managing and controlling a global database for adverse events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 Subject to </w:t>
      </w:r>
      <w:r>
        <w:rPr>
          <w:rFonts w:ascii="Times New Roman" w:cs="Times New Roman" w:eastAsia="Times New Roman" w:hAnsi="Times New Roman"/>
          <w:sz w:val="18"/>
          <w:szCs w:val="18"/>
          <w:b w:val="1"/>
          <w:bCs w:val="1"/>
          <w:color w:val="auto"/>
        </w:rPr>
        <w:t>Section 5.2.2 (Safety Data Exchange)</w:t>
      </w:r>
      <w:r>
        <w:rPr>
          <w:rFonts w:ascii="Times New Roman" w:cs="Times New Roman" w:eastAsia="Times New Roman" w:hAnsi="Times New Roman"/>
          <w:sz w:val="18"/>
          <w:szCs w:val="18"/>
          <w:color w:val="auto"/>
        </w:rPr>
        <w:t xml:space="preserve"> each Party shall be responsible for investigating adverse events and other required safety information associated with the use of such Product in such Party’s territory and such Party shall be responsible for the collection, review, assessment, tracking and filing of information related to adverse events in accordance with Applicable Laws and shall keep the other Party informed with respect to the same.</w:t>
      </w:r>
    </w:p>
    <w:p>
      <w:pPr>
        <w:spacing w:after="0" w:line="181" w:lineRule="exact"/>
        <w:rPr>
          <w:sz w:val="20"/>
          <w:szCs w:val="20"/>
          <w:color w:val="auto"/>
        </w:rPr>
      </w:pPr>
    </w:p>
    <w:p>
      <w:pPr>
        <w:jc w:val="both"/>
        <w:ind w:firstLine="1406"/>
        <w:spacing w:after="0" w:line="261"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Third Party Information</w:t>
      </w:r>
      <w:r>
        <w:rPr>
          <w:rFonts w:ascii="Times New Roman" w:cs="Times New Roman" w:eastAsia="Times New Roman" w:hAnsi="Times New Roman"/>
          <w:sz w:val="18"/>
          <w:szCs w:val="18"/>
          <w:color w:val="auto"/>
        </w:rPr>
        <w:t>. CG shall use Commercially Reasonable Efforts to obtain from Third Parties that become licensees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Affiliates of CG after the Effective Date and who have rights to develop and commercialize the Collaboration Compound or a Product, for the benefit of Kissei, with respect to the CG Territory:</w:t>
      </w:r>
    </w:p>
    <w:p>
      <w:pPr>
        <w:spacing w:after="0" w:line="175" w:lineRule="exact"/>
        <w:rPr>
          <w:sz w:val="20"/>
          <w:szCs w:val="20"/>
          <w:color w:val="auto"/>
        </w:rPr>
      </w:pPr>
    </w:p>
    <w:p>
      <w:pPr>
        <w:ind w:right="880" w:firstLine="1946"/>
        <w:spacing w:after="0" w:line="274" w:lineRule="auto"/>
        <w:rPr>
          <w:sz w:val="20"/>
          <w:szCs w:val="20"/>
          <w:color w:val="auto"/>
        </w:rPr>
      </w:pPr>
      <w:r>
        <w:rPr>
          <w:rFonts w:ascii="Times New Roman" w:cs="Times New Roman" w:eastAsia="Times New Roman" w:hAnsi="Times New Roman"/>
          <w:sz w:val="18"/>
          <w:szCs w:val="18"/>
          <w:color w:val="auto"/>
        </w:rPr>
        <w:t xml:space="preserve">(i)  a right of reference from such Third Parties who control Marketing Approval Applications pertaining to the Collaboration Compound and Product, except as otherwise set forth in </w:t>
      </w:r>
      <w:r>
        <w:rPr>
          <w:rFonts w:ascii="Times New Roman" w:cs="Times New Roman" w:eastAsia="Times New Roman" w:hAnsi="Times New Roman"/>
          <w:sz w:val="18"/>
          <w:szCs w:val="18"/>
          <w:b w:val="1"/>
          <w:bCs w:val="1"/>
          <w:color w:val="auto"/>
        </w:rPr>
        <w:t>Section 5.2.3 (Right of Reference)</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(ii)   access to data regarding Clinical Trials pertaining to the Collaboration Compound or the Product under such Third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Control;</w:t>
      </w:r>
    </w:p>
    <w:p>
      <w:pPr>
        <w:spacing w:after="0" w:line="198" w:lineRule="exact"/>
        <w:rPr>
          <w:sz w:val="20"/>
          <w:szCs w:val="20"/>
          <w:color w:val="auto"/>
        </w:rPr>
      </w:pPr>
    </w:p>
    <w:p>
      <w:pPr>
        <w:ind w:right="320" w:firstLine="1946"/>
        <w:spacing w:after="0" w:line="274" w:lineRule="auto"/>
        <w:rPr>
          <w:sz w:val="20"/>
          <w:szCs w:val="20"/>
          <w:color w:val="auto"/>
        </w:rPr>
      </w:pPr>
      <w:r>
        <w:rPr>
          <w:rFonts w:ascii="Times New Roman" w:cs="Times New Roman" w:eastAsia="Times New Roman" w:hAnsi="Times New Roman"/>
          <w:sz w:val="18"/>
          <w:szCs w:val="18"/>
          <w:color w:val="auto"/>
        </w:rPr>
        <w:t>(iii)  use and access to all information and data (including CMC Information) contained within Regulatory Materials of such Third Parties who control Marketing Approval Applications pertaining to the Collaboration Compound and Product;</w:t>
      </w:r>
    </w:p>
    <w:p>
      <w:pPr>
        <w:spacing w:after="0" w:line="163" w:lineRule="exact"/>
        <w:rPr>
          <w:sz w:val="20"/>
          <w:szCs w:val="20"/>
          <w:color w:val="auto"/>
        </w:rPr>
      </w:pPr>
    </w:p>
    <w:p>
      <w:pPr>
        <w:ind w:right="640" w:firstLine="1946"/>
        <w:spacing w:after="0" w:line="274" w:lineRule="auto"/>
        <w:rPr>
          <w:sz w:val="20"/>
          <w:szCs w:val="20"/>
          <w:color w:val="auto"/>
        </w:rPr>
      </w:pPr>
      <w:r>
        <w:rPr>
          <w:rFonts w:ascii="Times New Roman" w:cs="Times New Roman" w:eastAsia="Times New Roman" w:hAnsi="Times New Roman"/>
          <w:sz w:val="18"/>
          <w:szCs w:val="18"/>
          <w:color w:val="auto"/>
        </w:rPr>
        <w:t>(iv)  copies or summaries of material regulatory correspondence such Third Parties receive from the FDA or EMA pertaining to Collaboration Compound or Product; and</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60"/>
          </w:cols>
          <w:pgMar w:left="540" w:top="264" w:right="599" w:bottom="1440" w:gutter="0" w:footer="0" w:header="0"/>
        </w:sectPr>
      </w:pPr>
    </w:p>
    <w:bookmarkStart w:id="487" w:name="page488"/>
    <w:bookmarkEnd w:id="487"/>
    <w:p>
      <w:pPr>
        <w:ind w:right="100" w:firstLine="1946"/>
        <w:spacing w:after="0" w:line="27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(v)  similar rights as to meetings with Regulatory Authorities as CG provides to Kissei in </w:t>
      </w:r>
      <w:r>
        <w:rPr>
          <w:rFonts w:ascii="Times New Roman" w:cs="Times New Roman" w:eastAsia="Times New Roman" w:hAnsi="Times New Roman"/>
          <w:sz w:val="18"/>
          <w:szCs w:val="18"/>
          <w:b w:val="1"/>
          <w:bCs w:val="1"/>
          <w:color w:val="auto"/>
        </w:rPr>
        <w:t>Section 5.2.1(c) (Meetings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Regulatory Authorities in the Territory)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00" w:firstLine="432"/>
        <w:spacing w:after="0" w:line="276"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Kissei shall grant reciprocal rights to such CG licensee or Affiliate. Kissei will be under no obligation to grant such CG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licensee or Affiliate any of the above rights if such CG licensee or Affiliate does not also grant Kissei the same rights.</w:t>
      </w:r>
    </w:p>
    <w:p>
      <w:pPr>
        <w:spacing w:after="0" w:line="160" w:lineRule="exact"/>
        <w:rPr>
          <w:sz w:val="20"/>
          <w:szCs w:val="20"/>
          <w:color w:val="auto"/>
        </w:rPr>
      </w:pPr>
    </w:p>
    <w:p>
      <w:pPr>
        <w:ind w:right="60" w:firstLine="973"/>
        <w:spacing w:after="0" w:line="283" w:lineRule="auto"/>
        <w:rPr>
          <w:sz w:val="20"/>
          <w:szCs w:val="20"/>
          <w:color w:val="auto"/>
        </w:rPr>
      </w:pPr>
      <w:r>
        <w:rPr>
          <w:rFonts w:ascii="Times New Roman" w:cs="Times New Roman" w:eastAsia="Times New Roman" w:hAnsi="Times New Roman"/>
          <w:sz w:val="17"/>
          <w:szCs w:val="17"/>
          <w:b w:val="1"/>
          <w:bCs w:val="1"/>
          <w:color w:val="auto"/>
        </w:rPr>
        <w:t>5.2.2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Safety Data Exchange</w:t>
      </w:r>
      <w:r>
        <w:rPr>
          <w:rFonts w:ascii="Times New Roman" w:cs="Times New Roman" w:eastAsia="Times New Roman" w:hAnsi="Times New Roman"/>
          <w:sz w:val="17"/>
          <w:szCs w:val="17"/>
          <w:color w:val="auto"/>
        </w:rPr>
        <w:t>. Beginning on or about the date on which the Parties begin negotiating the Clinical Supply Agreement,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Parties will negotiate and enter into a pharmacovigilance agreement that defines the Parties’ responsibilities and obligations with respect to the procedures and timeframes for compliance with Applicable Law pertaining to safety reporting for such Product (“</w:t>
      </w:r>
      <w:r>
        <w:rPr>
          <w:rFonts w:ascii="Times New Roman" w:cs="Times New Roman" w:eastAsia="Times New Roman" w:hAnsi="Times New Roman"/>
          <w:sz w:val="17"/>
          <w:szCs w:val="17"/>
          <w:b w:val="1"/>
          <w:bCs w:val="1"/>
          <w:color w:val="auto"/>
        </w:rPr>
        <w:t>Pharmacovigilance Agreement</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right="60" w:firstLine="973"/>
        <w:spacing w:after="0" w:line="248" w:lineRule="auto"/>
        <w:rPr>
          <w:sz w:val="20"/>
          <w:szCs w:val="20"/>
          <w:color w:val="auto"/>
        </w:rPr>
      </w:pPr>
      <w:r>
        <w:rPr>
          <w:rFonts w:ascii="Times New Roman" w:cs="Times New Roman" w:eastAsia="Times New Roman" w:hAnsi="Times New Roman"/>
          <w:sz w:val="18"/>
          <w:szCs w:val="18"/>
          <w:b w:val="1"/>
          <w:bCs w:val="1"/>
          <w:color w:val="auto"/>
        </w:rPr>
        <w:t>5.2.3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Right of Reference</w:t>
      </w:r>
      <w:r>
        <w:rPr>
          <w:rFonts w:ascii="Times New Roman" w:cs="Times New Roman" w:eastAsia="Times New Roman" w:hAnsi="Times New Roman"/>
          <w:sz w:val="18"/>
          <w:szCs w:val="18"/>
          <w:color w:val="auto"/>
        </w:rPr>
        <w:t>. To the extent permitted by Applicable Law each Party hereby grants the other Party a right of reference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use and access to all information and data (including CMC Information) within Regulatory Materials Controlled by the granting Party and its Affiliates and directly relating to any Collaboration Compound, Product or Companion Diagnostics for the purpose of and to the extent necessary or useful to support a Marketing Approval Application for any Collaboration Compound, Product or Companion Diagnostics in the other Party’s territory. In addition, CG shall obtain from Third Parties that become licensees or Affiliates of CG after the Effective Date and who have rights to develop and commercialize the Collaboration Compound or a Product, for the benefit of Kissei, a right of reference and full use and access to all information and data (including CMC Information) within Regulatory Materials for a monotherapy Product for the Initial Indication, for monotherapy Products for all bladder cancer Indications, and for a combination therapy Product for a BCG Indication, to the extent necessary or useful to support a Marketing Approval Application for any Collaboration Compound, Product or Companion Diagnostics in the Territory; provided that Kissei shall grant reciprocal rights to each such CG licensee or Affiliate. The granting Party shall, at the other Party’s request and expense, take actions reasonably necessary to effect such grant of right of reference and use to the other Party, including by making such filings as may be required with Regulatory Authorities in the such other Party’s territory that may be necessary to record such grant.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Deliverables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5.3.1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Generally</w:t>
      </w:r>
      <w:r>
        <w:rPr>
          <w:rFonts w:ascii="Times New Roman" w:cs="Times New Roman" w:eastAsia="Times New Roman" w:hAnsi="Times New Roman"/>
          <w:sz w:val="18"/>
          <w:szCs w:val="18"/>
          <w:color w:val="auto"/>
        </w:rPr>
        <w:t>. Each Party shall use Commercially Reasonable Efforts to provide the other Party with the tangible materials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deliverables specified under the Development Plan to be provided by such Party (collectively, the “</w:t>
      </w:r>
      <w:r>
        <w:rPr>
          <w:rFonts w:ascii="Times New Roman" w:cs="Times New Roman" w:eastAsia="Times New Roman" w:hAnsi="Times New Roman"/>
          <w:sz w:val="18"/>
          <w:szCs w:val="18"/>
          <w:b w:val="1"/>
          <w:bCs w:val="1"/>
          <w:color w:val="auto"/>
        </w:rPr>
        <w:t>Deliverables</w:t>
      </w:r>
      <w:r>
        <w:rPr>
          <w:rFonts w:ascii="Times New Roman" w:cs="Times New Roman" w:eastAsia="Times New Roman" w:hAnsi="Times New Roman"/>
          <w:sz w:val="18"/>
          <w:szCs w:val="18"/>
          <w:color w:val="auto"/>
        </w:rPr>
        <w:t>”). The JDC shall determine the specific format and timeline for the transfer of such Deliverables, consistent with the Development Plan.</w:t>
      </w:r>
    </w:p>
    <w:p>
      <w:pPr>
        <w:spacing w:after="0" w:line="173" w:lineRule="exact"/>
        <w:rPr>
          <w:sz w:val="20"/>
          <w:szCs w:val="20"/>
          <w:color w:val="auto"/>
        </w:rPr>
      </w:pPr>
    </w:p>
    <w:p>
      <w:pPr>
        <w:ind w:right="20"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5.3.2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Rights of Use</w:t>
      </w:r>
      <w:r>
        <w:rPr>
          <w:rFonts w:ascii="Times New Roman" w:cs="Times New Roman" w:eastAsia="Times New Roman" w:hAnsi="Times New Roman"/>
          <w:sz w:val="18"/>
          <w:szCs w:val="18"/>
          <w:color w:val="auto"/>
        </w:rPr>
        <w:t>. With respect to the Deliverables provided by one Party to another Party pursuant to</w:t>
      </w:r>
      <w:r>
        <w:rPr>
          <w:rFonts w:ascii="Times New Roman" w:cs="Times New Roman" w:eastAsia="Times New Roman" w:hAnsi="Times New Roman"/>
          <w:sz w:val="18"/>
          <w:szCs w:val="18"/>
          <w:b w:val="1"/>
          <w:bCs w:val="1"/>
          <w:color w:val="auto"/>
        </w:rPr>
        <w:t xml:space="preserve"> Section 5.1 (Manufacturing and Supply)</w:t>
      </w:r>
      <w:r>
        <w:rPr>
          <w:rFonts w:ascii="Times New Roman" w:cs="Times New Roman" w:eastAsia="Times New Roman" w:hAnsi="Times New Roman"/>
          <w:sz w:val="18"/>
          <w:szCs w:val="18"/>
          <w:color w:val="auto"/>
        </w:rPr>
        <w:t>, each Party shall have the right to use such Deliverables solely for the performance of activities under the Development Program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 the rights granted to such Party pursuant to </w:t>
      </w:r>
      <w:r>
        <w:rPr>
          <w:rFonts w:ascii="Times New Roman" w:cs="Times New Roman" w:eastAsia="Times New Roman" w:hAnsi="Times New Roman"/>
          <w:sz w:val="18"/>
          <w:szCs w:val="18"/>
          <w:b w:val="1"/>
          <w:bCs w:val="1"/>
          <w:color w:val="auto"/>
        </w:rPr>
        <w:t>Article 4 (Licenses and Rights)</w:t>
      </w:r>
      <w:r>
        <w:rPr>
          <w:rFonts w:ascii="Times New Roman" w:cs="Times New Roman" w:eastAsia="Times New Roman" w:hAnsi="Times New Roman"/>
          <w:sz w:val="18"/>
          <w:szCs w:val="18"/>
          <w:color w:val="auto"/>
        </w:rPr>
        <w:t>. Subject to the foregoing, all such Deliverables (i) shall be used by a Party only in accordance with the terms and conditions of this Agreement; (ii) shall not be used or delivered by a Party to or for the benefit of any Third Party except as expressly provided for herein; and (iii) shall be used by a Party in compliance with all Applicable Law.</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80"/>
          </w:cols>
          <w:pgMar w:left="540" w:top="264" w:right="579" w:bottom="1440" w:gutter="0" w:footer="0" w:header="0"/>
        </w:sectPr>
      </w:pPr>
    </w:p>
    <w:bookmarkStart w:id="488" w:name="page489"/>
    <w:bookmarkEnd w:id="488"/>
    <w:p>
      <w:pPr>
        <w:jc w:val="both"/>
        <w:ind w:right="4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5.3.3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Care in Use of Deliverables</w:t>
      </w:r>
      <w:r>
        <w:rPr>
          <w:rFonts w:ascii="Times New Roman" w:cs="Times New Roman" w:eastAsia="Times New Roman" w:hAnsi="Times New Roman"/>
          <w:sz w:val="18"/>
          <w:szCs w:val="18"/>
          <w:color w:val="auto"/>
        </w:rPr>
        <w:t>. Each Party acknowledges that certain Deliverables provided by the other Party may be experimental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nature and may have unknown characteristics and therefore agrees to use prudence and all reasonable care in the use, handling, storage, containment, transportation and disposition of such Deliverables.</w:t>
      </w:r>
    </w:p>
    <w:p>
      <w:pPr>
        <w:spacing w:after="0" w:line="173" w:lineRule="exact"/>
        <w:rPr>
          <w:sz w:val="20"/>
          <w:szCs w:val="20"/>
          <w:color w:val="auto"/>
        </w:rPr>
      </w:pPr>
    </w:p>
    <w:p>
      <w:pPr>
        <w:ind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5.3.4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WARRANTY</w:t>
      </w:r>
      <w:r>
        <w:rPr>
          <w:rFonts w:ascii="Times New Roman" w:cs="Times New Roman" w:eastAsia="Times New Roman" w:hAnsi="Times New Roman"/>
          <w:sz w:val="18"/>
          <w:szCs w:val="18"/>
          <w:color w:val="auto"/>
        </w:rPr>
        <w:t>. EACH PARTY ACKNOWLEDGES AND AGREES THAT THE DELIVERABLES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PARTY ARE PROVIDED “AS-IS” AND THE PROVIDING PARTY MAKES NO REPRESENTATIONS AND EXTENDS NO WARRANTIES, EXPRESS OR IMPLIED, WITH RESPECT TO SUCH DELIVERABLES, AND EXPRESSLY DISCLAIMS ANY WARRANTY OF MERCHANTABILITY OR FITNESS FOR A PARTICULAR PURPOSE OR NONINFRINGEMENT OR VIOLATION OF ANY INTELLECTUAL PROPERTY RIGHTS OF ANY THIRD PARTY.</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DILIGENCE</w:t>
      </w:r>
    </w:p>
    <w:p>
      <w:pPr>
        <w:spacing w:after="0" w:line="217" w:lineRule="exact"/>
        <w:rPr>
          <w:sz w:val="20"/>
          <w:szCs w:val="20"/>
          <w:color w:val="auto"/>
        </w:rPr>
      </w:pPr>
    </w:p>
    <w:p>
      <w:pPr>
        <w:ind w:right="200" w:firstLine="432"/>
        <w:spacing w:after="0" w:line="249" w:lineRule="auto"/>
        <w:rPr>
          <w:sz w:val="20"/>
          <w:szCs w:val="20"/>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Development and Commercialization of Products</w:t>
      </w:r>
      <w:r>
        <w:rPr>
          <w:rFonts w:ascii="Times New Roman" w:cs="Times New Roman" w:eastAsia="Times New Roman" w:hAnsi="Times New Roman"/>
          <w:sz w:val="18"/>
          <w:szCs w:val="18"/>
          <w:color w:val="auto"/>
        </w:rPr>
        <w:t>. Except with respect to the activities being conducted by the Parties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Programs, as between Kissei and CG (a) Kissei shall have sole responsibility for, and bear all costs for commercializing Products in the Territory; and (b) Kissei shall have the sole right and authority to control all decisions related to the commercialization of Products in the Territory. Kissei agrees to use Commercially Reasonable Efforts to commercialize (including seek Marketing Approval for) at least one Product for the Initial Indication. For the avoidance of doubt, with respect to the CG’s manufacturing obligations, as between Kissei and CG (i) CG shall have sole responsibility therefor, and bear all costs therefor (subject to payments to be made by Kissei to CG under the Clinical Supply Agreement and Commercial Supply Agreement); and (ii) CG shall have the sole right and authority to control all decisions related thereto; provided that CG will reasonably consult with Kissei for any matters that are reasonably likely to have a material and detrimental impact on the development, Marketing Approval or sales of the Product in the Territory.</w:t>
      </w:r>
    </w:p>
    <w:p>
      <w:pPr>
        <w:spacing w:after="0" w:line="187" w:lineRule="exact"/>
        <w:rPr>
          <w:sz w:val="20"/>
          <w:szCs w:val="20"/>
          <w:color w:val="auto"/>
        </w:rPr>
      </w:pPr>
    </w:p>
    <w:p>
      <w:pPr>
        <w:jc w:val="both"/>
        <w:ind w:right="30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Progress Reports</w:t>
      </w:r>
      <w:r>
        <w:rPr>
          <w:rFonts w:ascii="Times New Roman" w:cs="Times New Roman" w:eastAsia="Times New Roman" w:hAnsi="Times New Roman"/>
          <w:sz w:val="18"/>
          <w:szCs w:val="18"/>
          <w:color w:val="auto"/>
        </w:rPr>
        <w:t>. On an Indication-by-Indication and Product-by-Product basis, following the expiration (or earlier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Term and up until the First Commercial Sale of such Product for the relevant Indication, Kissei shall provide to the JDC at each of its regularly-scheduled meetings during such period a written report summarizing Kissei’s progress in the development of such Product for the relevant Indication or otherwise in the Field.</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TERMS</w:t>
      </w:r>
    </w:p>
    <w:p>
      <w:pPr>
        <w:spacing w:after="0" w:line="217" w:lineRule="exact"/>
        <w:rPr>
          <w:sz w:val="20"/>
          <w:szCs w:val="20"/>
          <w:color w:val="auto"/>
        </w:rPr>
      </w:pPr>
    </w:p>
    <w:p>
      <w:pPr>
        <w:ind w:right="680" w:firstLine="432"/>
        <w:spacing w:after="0" w:line="306" w:lineRule="auto"/>
        <w:rPr>
          <w:sz w:val="20"/>
          <w:szCs w:val="20"/>
          <w:color w:val="auto"/>
        </w:rPr>
      </w:pPr>
      <w:r>
        <w:rPr>
          <w:rFonts w:ascii="Times New Roman" w:cs="Times New Roman" w:eastAsia="Times New Roman" w:hAnsi="Times New Roman"/>
          <w:sz w:val="17"/>
          <w:szCs w:val="17"/>
          <w:b w:val="1"/>
          <w:bCs w:val="1"/>
          <w:color w:val="auto"/>
        </w:rPr>
        <w:t>7.1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Initial License Fees</w:t>
      </w:r>
      <w:r>
        <w:rPr>
          <w:rFonts w:ascii="Times New Roman" w:cs="Times New Roman" w:eastAsia="Times New Roman" w:hAnsi="Times New Roman"/>
          <w:sz w:val="17"/>
          <w:szCs w:val="17"/>
          <w:color w:val="auto"/>
        </w:rPr>
        <w:t>. In consideration of the rights granted by CG to Kissei under</w:t>
      </w:r>
      <w:r>
        <w:rPr>
          <w:rFonts w:ascii="Times New Roman" w:cs="Times New Roman" w:eastAsia="Times New Roman" w:hAnsi="Times New Roman"/>
          <w:sz w:val="17"/>
          <w:szCs w:val="17"/>
          <w:b w:val="1"/>
          <w:bCs w:val="1"/>
          <w:color w:val="auto"/>
        </w:rPr>
        <w:t xml:space="preserve"> Article 4 (Licenses and Rights) </w:t>
      </w:r>
      <w:r>
        <w:rPr>
          <w:rFonts w:ascii="Times New Roman" w:cs="Times New Roman" w:eastAsia="Times New Roman" w:hAnsi="Times New Roman"/>
          <w:sz w:val="17"/>
          <w:szCs w:val="17"/>
          <w:color w:val="auto"/>
        </w:rPr>
        <w:t>to the Licensed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Intellectual Property, Kissei shall pay to CG a one-time-non-refundable-non-creditable-license-fee in the amount of Ten Million US Dollars</w:t>
      </w:r>
    </w:p>
    <w:p>
      <w:pPr>
        <w:spacing w:after="0" w:line="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60"/>
          </w:cols>
          <w:pgMar w:left="540" w:top="265" w:right="599" w:bottom="1440" w:gutter="0" w:footer="0" w:header="0"/>
        </w:sectPr>
      </w:pPr>
    </w:p>
    <w:bookmarkStart w:id="489" w:name="page490"/>
    <w:bookmarkEnd w:id="489"/>
    <w:p>
      <w:pPr>
        <w:ind w:left="2" w:right="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($10,000,000). Such payment shall be made within fifteen (15) Business Days after Kissei receives electronic notice from CG of completion of the dosing of the first patient of a full six (6) week treatment in a Phase III Clinical Trial in the United States for a Product and an invoice to Kissei for such payment with bank information.</w:t>
      </w:r>
    </w:p>
    <w:p>
      <w:pPr>
        <w:spacing w:after="0" w:line="176" w:lineRule="exact"/>
        <w:rPr>
          <w:sz w:val="20"/>
          <w:szCs w:val="20"/>
          <w:color w:val="auto"/>
        </w:rPr>
      </w:pPr>
    </w:p>
    <w:p>
      <w:pPr>
        <w:ind w:left="2" w:right="18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Equity Investment</w:t>
      </w:r>
      <w:r>
        <w:rPr>
          <w:rFonts w:ascii="Times New Roman" w:cs="Times New Roman" w:eastAsia="Times New Roman" w:hAnsi="Times New Roman"/>
          <w:sz w:val="18"/>
          <w:szCs w:val="18"/>
          <w:color w:val="auto"/>
        </w:rPr>
        <w:t>. Kissei shall purchase shares of Series D Preferred Stock of CG in accordance with and subject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the Stock Purchase Agreement. Kissei shall pay CG an aggregate amount of [***], which shall be paid as set forth in the Stock Purchase Agreement.</w:t>
      </w:r>
    </w:p>
    <w:p>
      <w:pPr>
        <w:spacing w:after="0" w:line="17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Development and Commercial Milestone Payments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right="66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7.3.1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Milestones</w:t>
      </w:r>
      <w:r>
        <w:rPr>
          <w:rFonts w:ascii="Times New Roman" w:cs="Times New Roman" w:eastAsia="Times New Roman" w:hAnsi="Times New Roman"/>
          <w:sz w:val="18"/>
          <w:szCs w:val="18"/>
          <w:color w:val="auto"/>
        </w:rPr>
        <w:t>. Subject to the terms of</w:t>
      </w:r>
      <w:r>
        <w:rPr>
          <w:rFonts w:ascii="Times New Roman" w:cs="Times New Roman" w:eastAsia="Times New Roman" w:hAnsi="Times New Roman"/>
          <w:sz w:val="18"/>
          <w:szCs w:val="18"/>
          <w:b w:val="1"/>
          <w:bCs w:val="1"/>
          <w:color w:val="auto"/>
        </w:rPr>
        <w:t xml:space="preserve"> Section 7.3.2 (Notice of Achievement; Timing of Payment)</w:t>
      </w:r>
      <w:r>
        <w:rPr>
          <w:rFonts w:ascii="Times New Roman" w:cs="Times New Roman" w:eastAsia="Times New Roman" w:hAnsi="Times New Roman"/>
          <w:sz w:val="18"/>
          <w:szCs w:val="18"/>
          <w:color w:val="auto"/>
        </w:rPr>
        <w:t>, Kissei shall pay CG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one-time milestone payments upon the first Product achieving the following milestones in rows (a) through (j):</w:t>
      </w:r>
    </w:p>
    <w:p>
      <w:pPr>
        <w:spacing w:after="0" w:line="182" w:lineRule="exact"/>
        <w:rPr>
          <w:sz w:val="20"/>
          <w:szCs w:val="20"/>
          <w:color w:val="auto"/>
        </w:rPr>
      </w:pPr>
    </w:p>
    <w:tbl>
      <w:tblPr>
        <w:tblLayout w:type="fixed"/>
        <w:tblInd w:w="1742" w:type="dxa"/>
        <w:tblCellMar>
          <w:top w:w="0" w:type="dxa"/>
          <w:left w:w="0" w:type="dxa"/>
          <w:bottom w:w="0" w:type="dxa"/>
          <w:right w:w="0" w:type="dxa"/>
        </w:tblCellMar>
      </w:tblPr>
      <w:tr>
        <w:trPr>
          <w:trHeight w:val="170"/>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 Event</w:t>
            </w: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Amount</w:t>
            </w:r>
          </w:p>
        </w:tc>
      </w:tr>
      <w:tr>
        <w:trPr>
          <w:trHeight w:val="205"/>
        </w:trPr>
        <w:tc>
          <w:tcPr>
            <w:tcW w:w="86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 [***]</w:t>
            </w:r>
          </w:p>
        </w:tc>
        <w:tc>
          <w:tcPr>
            <w:tcW w:w="3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w:t>
            </w:r>
          </w:p>
        </w:tc>
        <w:tc>
          <w:tcPr>
            <w:tcW w:w="1140" w:type="dxa"/>
            <w:vAlign w:val="bottom"/>
            <w:shd w:val="clear" w:color="auto" w:fill="CCEEFF"/>
          </w:tcPr>
          <w:p>
            <w:pPr>
              <w:spacing w:after="0"/>
              <w:rPr>
                <w:sz w:val="17"/>
                <w:szCs w:val="17"/>
                <w:color w:val="auto"/>
              </w:rPr>
            </w:pP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w:t>
            </w:r>
          </w:p>
        </w:tc>
        <w:tc>
          <w:tcPr>
            <w:tcW w:w="2280" w:type="dxa"/>
            <w:vAlign w:val="bottom"/>
            <w:gridSpan w:val="2"/>
          </w:tcPr>
          <w:p>
            <w:pPr>
              <w:jc w:val="center"/>
              <w:ind w:left="1093"/>
              <w:spacing w:after="0"/>
              <w:rPr>
                <w:sz w:val="20"/>
                <w:szCs w:val="20"/>
                <w:color w:val="auto"/>
              </w:rPr>
            </w:pPr>
            <w:r>
              <w:rPr>
                <w:rFonts w:ascii="Times New Roman" w:cs="Times New Roman" w:eastAsia="Times New Roman" w:hAnsi="Times New Roman"/>
                <w:sz w:val="18"/>
                <w:szCs w:val="18"/>
                <w:color w:val="auto"/>
                <w:w w:val="97"/>
              </w:rPr>
              <w:t>[***]</w:t>
            </w:r>
          </w:p>
        </w:tc>
        <w:tc>
          <w:tcPr>
            <w:tcW w:w="1140" w:type="dxa"/>
            <w:vAlign w:val="bottom"/>
          </w:tcPr>
          <w:p>
            <w:pPr>
              <w:spacing w:after="0"/>
              <w:rPr>
                <w:sz w:val="18"/>
                <w:szCs w:val="18"/>
                <w:color w:val="auto"/>
              </w:rPr>
            </w:pP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w:t>
            </w:r>
          </w:p>
        </w:tc>
        <w:tc>
          <w:tcPr>
            <w:tcW w:w="2280" w:type="dxa"/>
            <w:vAlign w:val="bottom"/>
            <w:gridSpan w:val="2"/>
            <w:shd w:val="clear" w:color="auto" w:fill="CCEEFF"/>
          </w:tcPr>
          <w:p>
            <w:pPr>
              <w:jc w:val="center"/>
              <w:ind w:left="1093"/>
              <w:spacing w:after="0"/>
              <w:rPr>
                <w:sz w:val="20"/>
                <w:szCs w:val="20"/>
                <w:color w:val="auto"/>
              </w:rPr>
            </w:pPr>
            <w:r>
              <w:rPr>
                <w:rFonts w:ascii="Times New Roman" w:cs="Times New Roman" w:eastAsia="Times New Roman" w:hAnsi="Times New Roman"/>
                <w:sz w:val="18"/>
                <w:szCs w:val="18"/>
                <w:color w:val="auto"/>
                <w:w w:val="97"/>
              </w:rPr>
              <w:t>[***]</w:t>
            </w:r>
          </w:p>
        </w:tc>
        <w:tc>
          <w:tcPr>
            <w:tcW w:w="1140" w:type="dxa"/>
            <w:vAlign w:val="bottom"/>
            <w:shd w:val="clear" w:color="auto" w:fill="CCEEFF"/>
          </w:tcPr>
          <w:p>
            <w:pPr>
              <w:spacing w:after="0"/>
              <w:rPr>
                <w:sz w:val="18"/>
                <w:szCs w:val="18"/>
                <w:color w:val="auto"/>
              </w:rPr>
            </w:pP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w:t>
            </w:r>
          </w:p>
        </w:tc>
        <w:tc>
          <w:tcPr>
            <w:tcW w:w="2280" w:type="dxa"/>
            <w:vAlign w:val="bottom"/>
            <w:gridSpan w:val="2"/>
          </w:tcPr>
          <w:p>
            <w:pPr>
              <w:jc w:val="center"/>
              <w:ind w:left="1093"/>
              <w:spacing w:after="0"/>
              <w:rPr>
                <w:sz w:val="20"/>
                <w:szCs w:val="20"/>
                <w:color w:val="auto"/>
              </w:rPr>
            </w:pPr>
            <w:r>
              <w:rPr>
                <w:rFonts w:ascii="Times New Roman" w:cs="Times New Roman" w:eastAsia="Times New Roman" w:hAnsi="Times New Roman"/>
                <w:sz w:val="18"/>
                <w:szCs w:val="18"/>
                <w:color w:val="auto"/>
                <w:w w:val="97"/>
              </w:rPr>
              <w:t>[***]</w:t>
            </w:r>
          </w:p>
        </w:tc>
        <w:tc>
          <w:tcPr>
            <w:tcW w:w="1140" w:type="dxa"/>
            <w:vAlign w:val="bottom"/>
          </w:tcPr>
          <w:p>
            <w:pPr>
              <w:spacing w:after="0"/>
              <w:rPr>
                <w:sz w:val="18"/>
                <w:szCs w:val="18"/>
                <w:color w:val="auto"/>
              </w:rPr>
            </w:pP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 [***]</w:t>
            </w:r>
          </w:p>
        </w:tc>
        <w:tc>
          <w:tcPr>
            <w:tcW w:w="2280" w:type="dxa"/>
            <w:vAlign w:val="bottom"/>
            <w:gridSpan w:val="2"/>
            <w:shd w:val="clear" w:color="auto" w:fill="CCEEFF"/>
          </w:tcPr>
          <w:p>
            <w:pPr>
              <w:jc w:val="center"/>
              <w:ind w:left="1093"/>
              <w:spacing w:after="0"/>
              <w:rPr>
                <w:sz w:val="20"/>
                <w:szCs w:val="20"/>
                <w:color w:val="auto"/>
              </w:rPr>
            </w:pPr>
            <w:r>
              <w:rPr>
                <w:rFonts w:ascii="Times New Roman" w:cs="Times New Roman" w:eastAsia="Times New Roman" w:hAnsi="Times New Roman"/>
                <w:sz w:val="18"/>
                <w:szCs w:val="18"/>
                <w:color w:val="auto"/>
                <w:w w:val="97"/>
              </w:rPr>
              <w:t>[***]</w:t>
            </w:r>
          </w:p>
        </w:tc>
        <w:tc>
          <w:tcPr>
            <w:tcW w:w="1140" w:type="dxa"/>
            <w:vAlign w:val="bottom"/>
            <w:shd w:val="clear" w:color="auto" w:fill="CCEEFF"/>
          </w:tcPr>
          <w:p>
            <w:pPr>
              <w:spacing w:after="0"/>
              <w:rPr>
                <w:sz w:val="18"/>
                <w:szCs w:val="18"/>
                <w:color w:val="auto"/>
              </w:rPr>
            </w:pP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 [***].</w:t>
            </w:r>
          </w:p>
        </w:tc>
        <w:tc>
          <w:tcPr>
            <w:tcW w:w="2280" w:type="dxa"/>
            <w:vAlign w:val="bottom"/>
            <w:gridSpan w:val="2"/>
          </w:tcPr>
          <w:p>
            <w:pPr>
              <w:jc w:val="center"/>
              <w:ind w:left="1093"/>
              <w:spacing w:after="0"/>
              <w:rPr>
                <w:sz w:val="20"/>
                <w:szCs w:val="20"/>
                <w:color w:val="auto"/>
              </w:rPr>
            </w:pPr>
            <w:r>
              <w:rPr>
                <w:rFonts w:ascii="Times New Roman" w:cs="Times New Roman" w:eastAsia="Times New Roman" w:hAnsi="Times New Roman"/>
                <w:sz w:val="18"/>
                <w:szCs w:val="18"/>
                <w:color w:val="auto"/>
                <w:w w:val="97"/>
              </w:rPr>
              <w:t>[***]</w:t>
            </w:r>
          </w:p>
        </w:tc>
        <w:tc>
          <w:tcPr>
            <w:tcW w:w="1140" w:type="dxa"/>
            <w:vAlign w:val="bottom"/>
          </w:tcPr>
          <w:p>
            <w:pPr>
              <w:spacing w:after="0"/>
              <w:rPr>
                <w:sz w:val="18"/>
                <w:szCs w:val="18"/>
                <w:color w:val="auto"/>
              </w:rPr>
            </w:pP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 [***].</w:t>
            </w:r>
          </w:p>
        </w:tc>
        <w:tc>
          <w:tcPr>
            <w:tcW w:w="2280" w:type="dxa"/>
            <w:vAlign w:val="bottom"/>
            <w:gridSpan w:val="2"/>
            <w:shd w:val="clear" w:color="auto" w:fill="CCEEFF"/>
          </w:tcPr>
          <w:p>
            <w:pPr>
              <w:jc w:val="center"/>
              <w:ind w:left="1093"/>
              <w:spacing w:after="0"/>
              <w:rPr>
                <w:sz w:val="20"/>
                <w:szCs w:val="20"/>
                <w:color w:val="auto"/>
              </w:rPr>
            </w:pPr>
            <w:r>
              <w:rPr>
                <w:rFonts w:ascii="Times New Roman" w:cs="Times New Roman" w:eastAsia="Times New Roman" w:hAnsi="Times New Roman"/>
                <w:sz w:val="18"/>
                <w:szCs w:val="18"/>
                <w:color w:val="auto"/>
                <w:w w:val="97"/>
              </w:rPr>
              <w:t>[***]</w:t>
            </w:r>
          </w:p>
        </w:tc>
        <w:tc>
          <w:tcPr>
            <w:tcW w:w="1140" w:type="dxa"/>
            <w:vAlign w:val="bottom"/>
            <w:shd w:val="clear" w:color="auto" w:fill="CCEEFF"/>
          </w:tcPr>
          <w:p>
            <w:pPr>
              <w:spacing w:after="0"/>
              <w:rPr>
                <w:sz w:val="18"/>
                <w:szCs w:val="18"/>
                <w:color w:val="auto"/>
              </w:rPr>
            </w:pP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 [***].</w:t>
            </w:r>
          </w:p>
        </w:tc>
        <w:tc>
          <w:tcPr>
            <w:tcW w:w="2280" w:type="dxa"/>
            <w:vAlign w:val="bottom"/>
            <w:gridSpan w:val="2"/>
          </w:tcPr>
          <w:p>
            <w:pPr>
              <w:jc w:val="center"/>
              <w:ind w:left="1093"/>
              <w:spacing w:after="0"/>
              <w:rPr>
                <w:sz w:val="20"/>
                <w:szCs w:val="20"/>
                <w:color w:val="auto"/>
              </w:rPr>
            </w:pPr>
            <w:r>
              <w:rPr>
                <w:rFonts w:ascii="Times New Roman" w:cs="Times New Roman" w:eastAsia="Times New Roman" w:hAnsi="Times New Roman"/>
                <w:sz w:val="18"/>
                <w:szCs w:val="18"/>
                <w:color w:val="auto"/>
                <w:w w:val="97"/>
              </w:rPr>
              <w:t>[***]</w:t>
            </w:r>
          </w:p>
        </w:tc>
        <w:tc>
          <w:tcPr>
            <w:tcW w:w="1140" w:type="dxa"/>
            <w:vAlign w:val="bottom"/>
          </w:tcPr>
          <w:p>
            <w:pPr>
              <w:spacing w:after="0"/>
              <w:rPr>
                <w:sz w:val="18"/>
                <w:szCs w:val="18"/>
                <w:color w:val="auto"/>
              </w:rPr>
            </w:pP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 [***].</w:t>
            </w:r>
          </w:p>
        </w:tc>
        <w:tc>
          <w:tcPr>
            <w:tcW w:w="2280" w:type="dxa"/>
            <w:vAlign w:val="bottom"/>
            <w:gridSpan w:val="2"/>
            <w:shd w:val="clear" w:color="auto" w:fill="CCEEFF"/>
          </w:tcPr>
          <w:p>
            <w:pPr>
              <w:jc w:val="center"/>
              <w:ind w:left="1093"/>
              <w:spacing w:after="0"/>
              <w:rPr>
                <w:sz w:val="20"/>
                <w:szCs w:val="20"/>
                <w:color w:val="auto"/>
              </w:rPr>
            </w:pPr>
            <w:r>
              <w:rPr>
                <w:rFonts w:ascii="Times New Roman" w:cs="Times New Roman" w:eastAsia="Times New Roman" w:hAnsi="Times New Roman"/>
                <w:sz w:val="18"/>
                <w:szCs w:val="18"/>
                <w:color w:val="auto"/>
                <w:w w:val="97"/>
              </w:rPr>
              <w:t>[***]</w:t>
            </w:r>
          </w:p>
        </w:tc>
        <w:tc>
          <w:tcPr>
            <w:tcW w:w="1140" w:type="dxa"/>
            <w:vAlign w:val="bottom"/>
            <w:shd w:val="clear" w:color="auto" w:fill="CCEEFF"/>
          </w:tcPr>
          <w:p>
            <w:pPr>
              <w:spacing w:after="0"/>
              <w:rPr>
                <w:sz w:val="18"/>
                <w:szCs w:val="18"/>
                <w:color w:val="auto"/>
              </w:rPr>
            </w:pP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w:t>
            </w:r>
          </w:p>
        </w:tc>
        <w:tc>
          <w:tcPr>
            <w:tcW w:w="2280" w:type="dxa"/>
            <w:vAlign w:val="bottom"/>
            <w:gridSpan w:val="2"/>
          </w:tcPr>
          <w:p>
            <w:pPr>
              <w:jc w:val="center"/>
              <w:ind w:left="1093"/>
              <w:spacing w:after="0"/>
              <w:rPr>
                <w:sz w:val="20"/>
                <w:szCs w:val="20"/>
                <w:color w:val="auto"/>
              </w:rPr>
            </w:pPr>
            <w:r>
              <w:rPr>
                <w:rFonts w:ascii="Times New Roman" w:cs="Times New Roman" w:eastAsia="Times New Roman" w:hAnsi="Times New Roman"/>
                <w:sz w:val="18"/>
                <w:szCs w:val="18"/>
                <w:color w:val="auto"/>
                <w:w w:val="97"/>
              </w:rPr>
              <w:t>[***]</w:t>
            </w:r>
          </w:p>
        </w:tc>
        <w:tc>
          <w:tcPr>
            <w:tcW w:w="1140" w:type="dxa"/>
            <w:vAlign w:val="bottom"/>
          </w:tcPr>
          <w:p>
            <w:pPr>
              <w:spacing w:after="0"/>
              <w:rPr>
                <w:sz w:val="18"/>
                <w:szCs w:val="18"/>
                <w:color w:val="auto"/>
              </w:rPr>
            </w:pP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Potential Milestone Payments:</w:t>
            </w:r>
          </w:p>
        </w:tc>
        <w:tc>
          <w:tcPr>
            <w:tcW w:w="2280" w:type="dxa"/>
            <w:vAlign w:val="bottom"/>
            <w:gridSpan w:val="2"/>
            <w:shd w:val="clear" w:color="auto" w:fill="CCEEFF"/>
          </w:tcPr>
          <w:p>
            <w:pPr>
              <w:jc w:val="center"/>
              <w:ind w:left="1093"/>
              <w:spacing w:after="0"/>
              <w:rPr>
                <w:sz w:val="20"/>
                <w:szCs w:val="20"/>
                <w:color w:val="auto"/>
              </w:rPr>
            </w:pPr>
            <w:r>
              <w:rPr>
                <w:rFonts w:ascii="Times New Roman" w:cs="Times New Roman" w:eastAsia="Times New Roman" w:hAnsi="Times New Roman"/>
                <w:sz w:val="18"/>
                <w:szCs w:val="18"/>
                <w:color w:val="auto"/>
                <w:w w:val="97"/>
              </w:rPr>
              <w:t>[***]</w:t>
            </w:r>
          </w:p>
        </w:tc>
        <w:tc>
          <w:tcPr>
            <w:tcW w:w="1140" w:type="dxa"/>
            <w:vAlign w:val="bottom"/>
            <w:shd w:val="clear" w:color="auto" w:fill="CCEEFF"/>
          </w:tcPr>
          <w:p>
            <w:pPr>
              <w:spacing w:after="0"/>
              <w:rPr>
                <w:sz w:val="18"/>
                <w:szCs w:val="18"/>
                <w:color w:val="auto"/>
              </w:rPr>
            </w:pPr>
          </w:p>
        </w:tc>
      </w:tr>
    </w:tbl>
    <w:p>
      <w:pPr>
        <w:spacing w:after="0" w:line="192" w:lineRule="exact"/>
        <w:rPr>
          <w:sz w:val="20"/>
          <w:szCs w:val="20"/>
          <w:color w:val="auto"/>
        </w:rPr>
      </w:pPr>
    </w:p>
    <w:p>
      <w:pPr>
        <w:ind w:left="2" w:firstLine="973"/>
        <w:spacing w:after="0" w:line="269" w:lineRule="auto"/>
        <w:rPr>
          <w:sz w:val="20"/>
          <w:szCs w:val="20"/>
          <w:color w:val="auto"/>
        </w:rPr>
      </w:pPr>
      <w:r>
        <w:rPr>
          <w:rFonts w:ascii="Times New Roman" w:cs="Times New Roman" w:eastAsia="Times New Roman" w:hAnsi="Times New Roman"/>
          <w:sz w:val="17"/>
          <w:szCs w:val="17"/>
          <w:b w:val="1"/>
          <w:bCs w:val="1"/>
          <w:color w:val="auto"/>
        </w:rPr>
        <w:t>7.3.2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Notice of Achievement; Timing of Payments</w:t>
      </w:r>
      <w:r>
        <w:rPr>
          <w:rFonts w:ascii="Times New Roman" w:cs="Times New Roman" w:eastAsia="Times New Roman" w:hAnsi="Times New Roman"/>
          <w:sz w:val="17"/>
          <w:szCs w:val="17"/>
          <w:color w:val="auto"/>
        </w:rPr>
        <w:t>. With respect to each milestone referred to in</w:t>
      </w:r>
      <w:r>
        <w:rPr>
          <w:rFonts w:ascii="Times New Roman" w:cs="Times New Roman" w:eastAsia="Times New Roman" w:hAnsi="Times New Roman"/>
          <w:sz w:val="17"/>
          <w:szCs w:val="17"/>
          <w:b w:val="1"/>
          <w:bCs w:val="1"/>
          <w:color w:val="auto"/>
        </w:rPr>
        <w:t xml:space="preserve"> Section 7.3 (Development and Commercial Milestone Payments)</w:t>
      </w:r>
      <w:r>
        <w:rPr>
          <w:rFonts w:ascii="Times New Roman" w:cs="Times New Roman" w:eastAsia="Times New Roman" w:hAnsi="Times New Roman"/>
          <w:sz w:val="17"/>
          <w:szCs w:val="17"/>
          <w:color w:val="auto"/>
        </w:rPr>
        <w:t>, Kissei (or its sublicensee, if applicable) shall promptly, and in any event within [***], inform CG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achievement of such event. The corresponding milestone payment shall be due within [***] after achievement of a milestone in </w:t>
      </w:r>
      <w:r>
        <w:rPr>
          <w:rFonts w:ascii="Times New Roman" w:cs="Times New Roman" w:eastAsia="Times New Roman" w:hAnsi="Times New Roman"/>
          <w:sz w:val="17"/>
          <w:szCs w:val="17"/>
          <w:b w:val="1"/>
          <w:bCs w:val="1"/>
          <w:color w:val="auto"/>
        </w:rPr>
        <w:t>Section 7.3.1(a)</w:t>
      </w:r>
      <w:r>
        <w:rPr>
          <w:rFonts w:ascii="Times New Roman" w:cs="Times New Roman" w:eastAsia="Times New Roman" w:hAnsi="Times New Roman"/>
          <w:sz w:val="17"/>
          <w:szCs w:val="17"/>
          <w:color w:val="auto"/>
        </w:rPr>
        <w:t xml:space="preserve"> through</w:t>
      </w:r>
    </w:p>
    <w:p>
      <w:pPr>
        <w:jc w:val="both"/>
        <w:ind w:left="2" w:right="180" w:hanging="2"/>
        <w:spacing w:after="0" w:line="247" w:lineRule="auto"/>
        <w:tabs>
          <w:tab w:leader="none" w:pos="242"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(Milestones) </w:t>
      </w:r>
      <w:r>
        <w:rPr>
          <w:rFonts w:ascii="Times New Roman" w:cs="Times New Roman" w:eastAsia="Times New Roman" w:hAnsi="Times New Roman"/>
          <w:sz w:val="18"/>
          <w:szCs w:val="18"/>
          <w:color w:val="auto"/>
        </w:rPr>
        <w:t>or within [***] after the end of quarter of achieving the milestone in</w:t>
      </w:r>
      <w:r>
        <w:rPr>
          <w:rFonts w:ascii="Times New Roman" w:cs="Times New Roman" w:eastAsia="Times New Roman" w:hAnsi="Times New Roman"/>
          <w:sz w:val="18"/>
          <w:szCs w:val="18"/>
          <w:b w:val="1"/>
          <w:bCs w:val="1"/>
          <w:color w:val="auto"/>
        </w:rPr>
        <w:t xml:space="preserve"> Section 7.3.1(f) through (j) (Milestones)</w:t>
      </w:r>
      <w:r>
        <w:rPr>
          <w:rFonts w:ascii="Times New Roman" w:cs="Times New Roman" w:eastAsia="Times New Roman" w:hAnsi="Times New Roman"/>
          <w:sz w:val="18"/>
          <w:szCs w:val="18"/>
          <w:color w:val="auto"/>
        </w:rPr>
        <w:t>. Upon written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Kissei, CG shall issue an invoice for each such milestone payment, provided that Kissei’s obligation to remit payment is not contingent upon CG’s issuance of an invoice. For the avoidance of doubt, if more than one milestone is achieved in any calendar year, a milestone payment for each such milestone will be due in such calendar year.</w:t>
      </w:r>
    </w:p>
    <w:p>
      <w:pPr>
        <w:spacing w:after="0" w:line="12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02"/>
          </w:cols>
          <w:pgMar w:left="538" w:top="267" w:right="559" w:bottom="1440" w:gutter="0" w:footer="0" w:header="0"/>
        </w:sectPr>
      </w:pPr>
    </w:p>
    <w:bookmarkStart w:id="490" w:name="page491"/>
    <w:bookmarkEnd w:id="49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Royalty Payments for Products by Kissei</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4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7.4.1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Products in Territory</w:t>
      </w:r>
      <w:r>
        <w:rPr>
          <w:rFonts w:ascii="Times New Roman" w:cs="Times New Roman" w:eastAsia="Times New Roman" w:hAnsi="Times New Roman"/>
          <w:sz w:val="18"/>
          <w:szCs w:val="18"/>
          <w:color w:val="auto"/>
        </w:rPr>
        <w:t>. Subject to the terms of</w:t>
      </w:r>
      <w:r>
        <w:rPr>
          <w:rFonts w:ascii="Times New Roman" w:cs="Times New Roman" w:eastAsia="Times New Roman" w:hAnsi="Times New Roman"/>
          <w:sz w:val="18"/>
          <w:szCs w:val="18"/>
          <w:b w:val="1"/>
          <w:bCs w:val="1"/>
          <w:color w:val="auto"/>
        </w:rPr>
        <w:t xml:space="preserve"> Sections 7.4.2 (Products not Covered by a Valid Claim)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b w:val="1"/>
          <w:bCs w:val="1"/>
          <w:color w:val="auto"/>
        </w:rPr>
        <w:t xml:space="preserve"> 7.4.6 (Other Indications)</w:t>
      </w:r>
      <w:r>
        <w:rPr>
          <w:rFonts w:ascii="Times New Roman" w:cs="Times New Roman" w:eastAsia="Times New Roman" w:hAnsi="Times New Roman"/>
          <w:sz w:val="18"/>
          <w:szCs w:val="18"/>
          <w:color w:val="auto"/>
        </w:rPr>
        <w:t>, Kissei shall pay CG, on a quarterly basis, [***] of Net Sales in the Territory of the applicable Product by Kissei (or its Affiliate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 hereunder) during the Product Royalty Term:</w:t>
      </w:r>
    </w:p>
    <w:p>
      <w:pPr>
        <w:spacing w:after="0" w:line="173" w:lineRule="exact"/>
        <w:rPr>
          <w:sz w:val="20"/>
          <w:szCs w:val="20"/>
          <w:color w:val="auto"/>
        </w:rPr>
      </w:pPr>
    </w:p>
    <w:p>
      <w:pPr>
        <w:ind w:right="60"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7.4.2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Products not Covered by a Valid Claim</w:t>
      </w:r>
      <w:r>
        <w:rPr>
          <w:rFonts w:ascii="Times New Roman" w:cs="Times New Roman" w:eastAsia="Times New Roman" w:hAnsi="Times New Roman"/>
          <w:sz w:val="18"/>
          <w:szCs w:val="18"/>
          <w:color w:val="auto"/>
        </w:rPr>
        <w:t>. Subject to the terms of</w:t>
      </w:r>
      <w:r>
        <w:rPr>
          <w:rFonts w:ascii="Times New Roman" w:cs="Times New Roman" w:eastAsia="Times New Roman" w:hAnsi="Times New Roman"/>
          <w:sz w:val="18"/>
          <w:szCs w:val="18"/>
          <w:b w:val="1"/>
          <w:bCs w:val="1"/>
          <w:color w:val="auto"/>
        </w:rPr>
        <w:t xml:space="preserve"> Section 7.4.3 (Royalty Payment Offsets)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b w:val="1"/>
          <w:bCs w:val="1"/>
          <w:color w:val="auto"/>
        </w:rPr>
        <w:t xml:space="preserve"> 7.4.6 (Other Indications)</w:t>
      </w:r>
      <w:r>
        <w:rPr>
          <w:rFonts w:ascii="Times New Roman" w:cs="Times New Roman" w:eastAsia="Times New Roman" w:hAnsi="Times New Roman"/>
          <w:sz w:val="18"/>
          <w:szCs w:val="18"/>
          <w:color w:val="auto"/>
        </w:rPr>
        <w:t>, the royalty amounts payable in accordance with</w:t>
      </w:r>
      <w:r>
        <w:rPr>
          <w:rFonts w:ascii="Times New Roman" w:cs="Times New Roman" w:eastAsia="Times New Roman" w:hAnsi="Times New Roman"/>
          <w:sz w:val="18"/>
          <w:szCs w:val="18"/>
          <w:b w:val="1"/>
          <w:bCs w:val="1"/>
          <w:color w:val="auto"/>
        </w:rPr>
        <w:t xml:space="preserve"> Section 7.4.1 (Products in Territory) </w:t>
      </w:r>
      <w:r>
        <w:rPr>
          <w:rFonts w:ascii="Times New Roman" w:cs="Times New Roman" w:eastAsia="Times New Roman" w:hAnsi="Times New Roman"/>
          <w:sz w:val="18"/>
          <w:szCs w:val="18"/>
          <w:color w:val="auto"/>
        </w:rPr>
        <w:t>shall be reduced on a Product-by-Product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country-by-country basis by [***] of the amounts otherwise payable pursuant to </w:t>
      </w:r>
      <w:r>
        <w:rPr>
          <w:rFonts w:ascii="Times New Roman" w:cs="Times New Roman" w:eastAsia="Times New Roman" w:hAnsi="Times New Roman"/>
          <w:sz w:val="18"/>
          <w:szCs w:val="18"/>
          <w:b w:val="1"/>
          <w:bCs w:val="1"/>
          <w:color w:val="auto"/>
        </w:rPr>
        <w:t>Section 7.4.1 (Products in Territory)</w:t>
      </w:r>
      <w:r>
        <w:rPr>
          <w:rFonts w:ascii="Times New Roman" w:cs="Times New Roman" w:eastAsia="Times New Roman" w:hAnsi="Times New Roman"/>
          <w:sz w:val="18"/>
          <w:szCs w:val="18"/>
          <w:color w:val="auto"/>
        </w:rPr>
        <w:t>, as applicable, during any portion of the Product Royalty Term, in which there is not at least one Valid Claim that Covers the sale of such Product in such country.</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7.4.3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Royalty Payment Offsets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Third Party Payments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320" w:firstLine="1946"/>
        <w:spacing w:after="0" w:line="27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CG</w:t>
      </w:r>
      <w:r>
        <w:rPr>
          <w:rFonts w:ascii="Times New Roman" w:cs="Times New Roman" w:eastAsia="Times New Roman" w:hAnsi="Times New Roman"/>
          <w:sz w:val="18"/>
          <w:szCs w:val="18"/>
          <w:color w:val="auto"/>
        </w:rPr>
        <w:t>. CG shall have the obligation to make payments owed under written agreements entered into by CG with Third Parties, as of the Effective Date or during the Term.</w:t>
      </w:r>
    </w:p>
    <w:p>
      <w:pPr>
        <w:spacing w:after="0" w:line="160" w:lineRule="exact"/>
        <w:rPr>
          <w:sz w:val="20"/>
          <w:szCs w:val="20"/>
          <w:color w:val="auto"/>
        </w:rPr>
      </w:pPr>
    </w:p>
    <w:p>
      <w:pPr>
        <w:ind w:firstLine="1946"/>
        <w:spacing w:after="0" w:line="269"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b w:val="1"/>
          <w:bCs w:val="1"/>
          <w:color w:val="auto"/>
        </w:rPr>
        <w:t>Supply Payments</w:t>
      </w:r>
      <w:r>
        <w:rPr>
          <w:rFonts w:ascii="Times New Roman" w:cs="Times New Roman" w:eastAsia="Times New Roman" w:hAnsi="Times New Roman"/>
          <w:sz w:val="17"/>
          <w:szCs w:val="17"/>
          <w:color w:val="auto"/>
        </w:rPr>
        <w:t>. On a quarter-by-quarter basis, Kissei shall have the right to offset one-hundred percent (100%) of royalty payments due and payable by Kissei (or its Affiliates or sublicensees) to CG with respect to the supply of Product under the Commercial Supply Agreement in a calendar quarter. In the event the amounts paid by Kissei for supply of Product in the Commercial Supply Agreement exceed the royalty amounts owed by Kissei in this Agreement, such excess amount (“</w:t>
      </w:r>
      <w:r>
        <w:rPr>
          <w:rFonts w:ascii="Times New Roman" w:cs="Times New Roman" w:eastAsia="Times New Roman" w:hAnsi="Times New Roman"/>
          <w:sz w:val="17"/>
          <w:szCs w:val="17"/>
          <w:b w:val="1"/>
          <w:bCs w:val="1"/>
          <w:color w:val="auto"/>
        </w:rPr>
        <w:t>Carry-Forward Amount</w:t>
      </w:r>
      <w:r>
        <w:rPr>
          <w:rFonts w:ascii="Times New Roman" w:cs="Times New Roman" w:eastAsia="Times New Roman" w:hAnsi="Times New Roman"/>
          <w:sz w:val="17"/>
          <w:szCs w:val="17"/>
          <w:color w:val="auto"/>
        </w:rPr>
        <w:t>”) shall carry forward and be deducted from the royalty payments due under the next quarter, and for each subsequent quarter, until Kissei has offset one-hundred percent (100%) of payments paid for the supply of Product under the Commercial Supply Agreement. For clarity, in no event shall CG be obligated to pay or refund the Carry-Forward Amount.</w:t>
      </w:r>
    </w:p>
    <w:p>
      <w:pPr>
        <w:spacing w:after="0" w:line="169" w:lineRule="exact"/>
        <w:rPr>
          <w:sz w:val="20"/>
          <w:szCs w:val="20"/>
          <w:color w:val="auto"/>
        </w:rPr>
      </w:pPr>
    </w:p>
    <w:p>
      <w:pPr>
        <w:ind w:right="20" w:firstLine="1946"/>
        <w:spacing w:after="0" w:line="266" w:lineRule="auto"/>
        <w:rPr>
          <w:sz w:val="20"/>
          <w:szCs w:val="20"/>
          <w:color w:val="auto"/>
        </w:rPr>
      </w:pPr>
      <w:r>
        <w:rPr>
          <w:rFonts w:ascii="Times New Roman" w:cs="Times New Roman" w:eastAsia="Times New Roman" w:hAnsi="Times New Roman"/>
          <w:sz w:val="17"/>
          <w:szCs w:val="17"/>
          <w:color w:val="auto"/>
        </w:rPr>
        <w:t xml:space="preserve">(iii)  </w:t>
      </w:r>
      <w:r>
        <w:rPr>
          <w:rFonts w:ascii="Times New Roman" w:cs="Times New Roman" w:eastAsia="Times New Roman" w:hAnsi="Times New Roman"/>
          <w:sz w:val="17"/>
          <w:szCs w:val="17"/>
          <w:b w:val="1"/>
          <w:bCs w:val="1"/>
          <w:color w:val="auto"/>
        </w:rPr>
        <w:t>Kissei</w:t>
      </w:r>
      <w:r>
        <w:rPr>
          <w:rFonts w:ascii="Times New Roman" w:cs="Times New Roman" w:eastAsia="Times New Roman" w:hAnsi="Times New Roman"/>
          <w:sz w:val="17"/>
          <w:szCs w:val="17"/>
          <w:color w:val="auto"/>
        </w:rPr>
        <w:t>. If, after the Effective Date, the JDC determines that a license to a Patent owned or Controlled by a Third Party in the Territory is reasonably necessary for the making, using, selling, offering for sale or importing of a Product in or for the Territory and Kissei (or its sublicensee) obtains a right or license under such Patent of a Third Party, then Kissei may offset the royalty payments due and payable by Kissei to CG with respect to the Product in a calendar quarter by [***] of the amount of royalty payments paid by Kissei (or its sublicensee) to such Third Party for such right or license; provided, that (a) no such reduction may be taken with respect to any amounts paid for any Additional Active in a Combination and (b) in no event shall such reductions reduce a royalty payment owed to CG for such Product by more than [***] of what would otherwise be owed by Kissei to CG hereunder. For clarity, any such amount that would otherwise be offset if not for such [***] floor shall be applied to the subsequent royalty payment periods until such amount is fully offset, subject to the applicable floor in each such subsequent royalty payment period.</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60"/>
          </w:cols>
          <w:pgMar w:left="540" w:top="265" w:right="599" w:bottom="1440" w:gutter="0" w:footer="0" w:header="0"/>
        </w:sectPr>
      </w:pPr>
    </w:p>
    <w:bookmarkStart w:id="491" w:name="page492"/>
    <w:bookmarkEnd w:id="491"/>
    <w:p>
      <w:pPr>
        <w:ind w:right="60" w:firstLine="1406"/>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Biosimilar/Compulsory Competing Product</w:t>
      </w:r>
      <w:r>
        <w:rPr>
          <w:rFonts w:ascii="Times New Roman" w:cs="Times New Roman" w:eastAsia="Times New Roman" w:hAnsi="Times New Roman"/>
          <w:sz w:val="18"/>
          <w:szCs w:val="18"/>
          <w:color w:val="auto"/>
        </w:rPr>
        <w:t>. If following the first commercial sale of a Biosimilar or a Compulsory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Competing Product in a country, and, in each case, Net Sales of the Product incorporating the same reference product with the same active moiety as such Biosimilar or Compulsory Competing Product in such country in a given [***] period fall by [***] from the Net Sales of such Product in the [***] immediately preceding the [***] in which such launch of the Biosimilar or Compulsory Competing Product occurred, the royalties due and payable by Kissei under </w:t>
      </w:r>
      <w:r>
        <w:rPr>
          <w:rFonts w:ascii="Times New Roman" w:cs="Times New Roman" w:eastAsia="Times New Roman" w:hAnsi="Times New Roman"/>
          <w:sz w:val="18"/>
          <w:szCs w:val="18"/>
          <w:b w:val="1"/>
          <w:bCs w:val="1"/>
          <w:color w:val="auto"/>
        </w:rPr>
        <w:t>Section 7.4.1 (Products in Territory)</w:t>
      </w:r>
      <w:r>
        <w:rPr>
          <w:rFonts w:ascii="Times New Roman" w:cs="Times New Roman" w:eastAsia="Times New Roman" w:hAnsi="Times New Roman"/>
          <w:sz w:val="18"/>
          <w:szCs w:val="18"/>
          <w:color w:val="auto"/>
        </w:rPr>
        <w:t xml:space="preserve"> for such Product shall be reduced by [***] in such country.</w:t>
      </w:r>
    </w:p>
    <w:p>
      <w:pPr>
        <w:spacing w:after="0" w:line="181" w:lineRule="exact"/>
        <w:rPr>
          <w:sz w:val="20"/>
          <w:szCs w:val="20"/>
          <w:color w:val="auto"/>
        </w:rPr>
      </w:pPr>
    </w:p>
    <w:p>
      <w:pPr>
        <w:ind w:right="60" w:firstLine="1406"/>
        <w:spacing w:after="0" w:line="250"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Royalty Floor</w:t>
      </w:r>
      <w:r>
        <w:rPr>
          <w:rFonts w:ascii="Times New Roman" w:cs="Times New Roman" w:eastAsia="Times New Roman" w:hAnsi="Times New Roman"/>
          <w:sz w:val="18"/>
          <w:szCs w:val="18"/>
          <w:color w:val="auto"/>
        </w:rPr>
        <w:t>. Except as expressly set forth in this</w:t>
      </w:r>
      <w:r>
        <w:rPr>
          <w:rFonts w:ascii="Times New Roman" w:cs="Times New Roman" w:eastAsia="Times New Roman" w:hAnsi="Times New Roman"/>
          <w:sz w:val="18"/>
          <w:szCs w:val="18"/>
          <w:b w:val="1"/>
          <w:bCs w:val="1"/>
          <w:color w:val="auto"/>
        </w:rPr>
        <w:t xml:space="preserve"> Section 7.4.3(c) (Royalty Floor)</w:t>
      </w:r>
      <w:r>
        <w:rPr>
          <w:rFonts w:ascii="Times New Roman" w:cs="Times New Roman" w:eastAsia="Times New Roman" w:hAnsi="Times New Roman"/>
          <w:sz w:val="18"/>
          <w:szCs w:val="18"/>
          <w:color w:val="auto"/>
        </w:rPr>
        <w:t>, in no event shall the royalties payable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CG in accordance with the provisions of </w:t>
      </w:r>
      <w:r>
        <w:rPr>
          <w:rFonts w:ascii="Times New Roman" w:cs="Times New Roman" w:eastAsia="Times New Roman" w:hAnsi="Times New Roman"/>
          <w:sz w:val="18"/>
          <w:szCs w:val="18"/>
          <w:b w:val="1"/>
          <w:bCs w:val="1"/>
          <w:color w:val="auto"/>
        </w:rPr>
        <w:t>Section 7.4.1 (Products in Territory)</w:t>
      </w:r>
      <w:r>
        <w:rPr>
          <w:rFonts w:ascii="Times New Roman" w:cs="Times New Roman" w:eastAsia="Times New Roman" w:hAnsi="Times New Roman"/>
          <w:sz w:val="18"/>
          <w:szCs w:val="18"/>
          <w:color w:val="auto"/>
        </w:rPr>
        <w:t xml:space="preserve"> for any Product in any country in any calendar quarter be reduced, pursuant to </w:t>
      </w:r>
      <w:r>
        <w:rPr>
          <w:rFonts w:ascii="Times New Roman" w:cs="Times New Roman" w:eastAsia="Times New Roman" w:hAnsi="Times New Roman"/>
          <w:sz w:val="18"/>
          <w:szCs w:val="18"/>
          <w:b w:val="1"/>
          <w:bCs w:val="1"/>
          <w:color w:val="auto"/>
        </w:rPr>
        <w:t>Section 7.4.2 (Products not Covered by a Valid Claim)</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b w:val="1"/>
          <w:bCs w:val="1"/>
          <w:color w:val="auto"/>
        </w:rPr>
        <w:t>Section 7.4.3 (Royalty Payment Offsets)</w:t>
      </w:r>
      <w:r>
        <w:rPr>
          <w:rFonts w:ascii="Times New Roman" w:cs="Times New Roman" w:eastAsia="Times New Roman" w:hAnsi="Times New Roman"/>
          <w:sz w:val="18"/>
          <w:szCs w:val="18"/>
          <w:color w:val="auto"/>
        </w:rPr>
        <w:t xml:space="preserve">, to less than [***] of the amount that would otherwise be payable to CG in accordance with the provisions of </w:t>
      </w:r>
      <w:r>
        <w:rPr>
          <w:rFonts w:ascii="Times New Roman" w:cs="Times New Roman" w:eastAsia="Times New Roman" w:hAnsi="Times New Roman"/>
          <w:sz w:val="18"/>
          <w:szCs w:val="18"/>
          <w:b w:val="1"/>
          <w:bCs w:val="1"/>
          <w:color w:val="auto"/>
        </w:rPr>
        <w:t>Section 7.4.1 (Products in Territory)</w:t>
      </w:r>
      <w:r>
        <w:rPr>
          <w:rFonts w:ascii="Times New Roman" w:cs="Times New Roman" w:eastAsia="Times New Roman" w:hAnsi="Times New Roman"/>
          <w:sz w:val="18"/>
          <w:szCs w:val="18"/>
          <w:color w:val="auto"/>
        </w:rPr>
        <w:t>, for such Product in such country in such calendar quarter. For clarity, any such amount that would otherwise be offset if not for such quarterly [***] floor shall be applied to the subsequent royalty payment periods until such amount is fully offset, subject to the applicable floor in each such subsequent royalty payment period; provided, however, that no offsetting shall be allowed at any time subsequent to the expiration of the Product Royalty Term.</w:t>
      </w:r>
    </w:p>
    <w:p>
      <w:pPr>
        <w:spacing w:after="0" w:line="189"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18"/>
          <w:szCs w:val="18"/>
          <w:color w:val="auto"/>
        </w:rPr>
        <w:t xml:space="preserve">Notwithstanding the foregoing, if in any calendar quarter that Kissei owes a royalty payment to CG, Kissei has actually taken sufficient deductions permitted by the first paragraph of this </w:t>
      </w:r>
      <w:r>
        <w:rPr>
          <w:rFonts w:ascii="Times New Roman" w:cs="Times New Roman" w:eastAsia="Times New Roman" w:hAnsi="Times New Roman"/>
          <w:sz w:val="18"/>
          <w:szCs w:val="18"/>
          <w:b w:val="1"/>
          <w:bCs w:val="1"/>
          <w:color w:val="auto"/>
        </w:rPr>
        <w:t>Section 7.4.3(d) (Royalty Floor)</w:t>
      </w:r>
      <w:r>
        <w:rPr>
          <w:rFonts w:ascii="Times New Roman" w:cs="Times New Roman" w:eastAsia="Times New Roman" w:hAnsi="Times New Roman"/>
          <w:sz w:val="18"/>
          <w:szCs w:val="18"/>
          <w:color w:val="auto"/>
        </w:rPr>
        <w:t xml:space="preserve"> to reach the [***] floor, and the Supply and Sales Fraction exceeds [***], Kissei shall have the right to reduce the Effective Royalty Rate by a ratio of [***]. If the Supply and Sales Fraction equals or exceeds 35% in such quarter, then the Effective Royalty Rate shall equal [***], but CG will have no obligation to pay, refund or reimburse Kissei as a result of any such reduction. If the Supply and Sales Fraction equals or exceeds [***] in such quarter, the Parties shall meet and discuss a reasonable reduction to the calculation of payments owed to CG for supply of Products for commercial use in </w:t>
      </w:r>
      <w:r>
        <w:rPr>
          <w:rFonts w:ascii="Times New Roman" w:cs="Times New Roman" w:eastAsia="Times New Roman" w:hAnsi="Times New Roman"/>
          <w:sz w:val="18"/>
          <w:szCs w:val="18"/>
          <w:b w:val="1"/>
          <w:bCs w:val="1"/>
          <w:color w:val="auto"/>
        </w:rPr>
        <w:t>Section 7.4.3(a)(ii) (Supply Payment)</w:t>
      </w:r>
      <w:r>
        <w:rPr>
          <w:rFonts w:ascii="Times New Roman" w:cs="Times New Roman" w:eastAsia="Times New Roman" w:hAnsi="Times New Roman"/>
          <w:sz w:val="18"/>
          <w:szCs w:val="18"/>
          <w:color w:val="auto"/>
        </w:rPr>
        <w:t xml:space="preserve">. For any such quarter that the Supply and Sales Fraction exceeds [***], the Effective Royalty Rate for such quarter shall replace the [***] royalty rate set forth in </w:t>
      </w:r>
      <w:r>
        <w:rPr>
          <w:rFonts w:ascii="Times New Roman" w:cs="Times New Roman" w:eastAsia="Times New Roman" w:hAnsi="Times New Roman"/>
          <w:sz w:val="18"/>
          <w:szCs w:val="18"/>
          <w:b w:val="1"/>
          <w:bCs w:val="1"/>
          <w:color w:val="auto"/>
        </w:rPr>
        <w:t>Section 7.4.1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(Products in Territory) </w:t>
      </w:r>
      <w:r>
        <w:rPr>
          <w:rFonts w:ascii="Times New Roman" w:cs="Times New Roman" w:eastAsia="Times New Roman" w:hAnsi="Times New Roman"/>
          <w:sz w:val="18"/>
          <w:szCs w:val="18"/>
          <w:color w:val="auto"/>
        </w:rPr>
        <w:t>for purposes of calculating the royalty payment owed to CG.</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Section, the following terms shall mean:</w:t>
      </w:r>
    </w:p>
    <w:p>
      <w:pPr>
        <w:spacing w:after="0" w:line="215" w:lineRule="exact"/>
        <w:rPr>
          <w:sz w:val="20"/>
          <w:szCs w:val="20"/>
          <w:color w:val="auto"/>
        </w:rPr>
      </w:pPr>
    </w:p>
    <w:p>
      <w:pPr>
        <w:ind w:right="220" w:firstLine="432"/>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Average Net Sales per Product</w:t>
      </w:r>
      <w:r>
        <w:rPr>
          <w:rFonts w:ascii="Times New Roman" w:cs="Times New Roman" w:eastAsia="Times New Roman" w:hAnsi="Times New Roman"/>
          <w:sz w:val="18"/>
          <w:szCs w:val="18"/>
          <w:color w:val="auto"/>
        </w:rPr>
        <w:t>” means the total Net Sales for a Product in a calendar quarter divided by the total units of Products accounted for in Net Sales in the same quarter.</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Royalty Rate</w:t>
      </w:r>
      <w:r>
        <w:rPr>
          <w:rFonts w:ascii="Times New Roman" w:cs="Times New Roman" w:eastAsia="Times New Roman" w:hAnsi="Times New Roman"/>
          <w:sz w:val="18"/>
          <w:szCs w:val="18"/>
          <w:color w:val="auto"/>
        </w:rPr>
        <w:t>” means a percentage calculated by the formula [***].</w:t>
      </w:r>
    </w:p>
    <w:p>
      <w:pPr>
        <w:spacing w:after="0" w:line="217" w:lineRule="exact"/>
        <w:rPr>
          <w:sz w:val="20"/>
          <w:szCs w:val="20"/>
          <w:color w:val="auto"/>
        </w:rPr>
      </w:pPr>
    </w:p>
    <w:p>
      <w:pPr>
        <w:ind w:right="120" w:firstLine="432"/>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Supply and Sales Fraction</w:t>
      </w:r>
      <w:r>
        <w:rPr>
          <w:rFonts w:ascii="Times New Roman" w:cs="Times New Roman" w:eastAsia="Times New Roman" w:hAnsi="Times New Roman"/>
          <w:sz w:val="18"/>
          <w:szCs w:val="18"/>
          <w:color w:val="auto"/>
        </w:rPr>
        <w:t>” means the Supply Payment in a given a calendar quarter divided by the Average Net Sales per Product in the same quarter, expressed as a percentage.</w:t>
      </w:r>
    </w:p>
    <w:p>
      <w:pPr>
        <w:spacing w:after="0" w:line="160" w:lineRule="exact"/>
        <w:rPr>
          <w:sz w:val="20"/>
          <w:szCs w:val="20"/>
          <w:color w:val="auto"/>
        </w:rPr>
      </w:pPr>
    </w:p>
    <w:p>
      <w:pPr>
        <w:ind w:right="40" w:firstLine="432"/>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Supply Payment</w:t>
      </w:r>
      <w:r>
        <w:rPr>
          <w:rFonts w:ascii="Times New Roman" w:cs="Times New Roman" w:eastAsia="Times New Roman" w:hAnsi="Times New Roman"/>
          <w:sz w:val="18"/>
          <w:szCs w:val="18"/>
          <w:color w:val="auto"/>
        </w:rPr>
        <w:t xml:space="preserve">” means the total amount paid by Kissei pursuant to </w:t>
      </w:r>
      <w:r>
        <w:rPr>
          <w:rFonts w:ascii="Times New Roman" w:cs="Times New Roman" w:eastAsia="Times New Roman" w:hAnsi="Times New Roman"/>
          <w:sz w:val="18"/>
          <w:szCs w:val="18"/>
          <w:b w:val="1"/>
          <w:bCs w:val="1"/>
          <w:color w:val="auto"/>
        </w:rPr>
        <w:t>Section 7.4.3 (a)(ii)(Supply Payment)</w:t>
      </w:r>
      <w:r>
        <w:rPr>
          <w:rFonts w:ascii="Times New Roman" w:cs="Times New Roman" w:eastAsia="Times New Roman" w:hAnsi="Times New Roman"/>
          <w:sz w:val="18"/>
          <w:szCs w:val="18"/>
          <w:color w:val="auto"/>
        </w:rPr>
        <w:t xml:space="preserve"> in a calendar quarter divided by the total units of Products purchased by Kissei in the same quarter.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00"/>
          </w:cols>
          <w:pgMar w:left="540" w:top="265" w:right="559" w:bottom="1440" w:gutter="0" w:footer="0" w:header="0"/>
        </w:sectPr>
      </w:pPr>
    </w:p>
    <w:bookmarkStart w:id="492" w:name="page493"/>
    <w:bookmarkEnd w:id="492"/>
    <w:p>
      <w:pPr>
        <w:ind w:right="520"/>
        <w:spacing w:after="0" w:line="27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Schedule 7.4.3(d) </w:t>
      </w:r>
      <w:r>
        <w:rPr>
          <w:rFonts w:ascii="Times New Roman" w:cs="Times New Roman" w:eastAsia="Times New Roman" w:hAnsi="Times New Roman"/>
          <w:sz w:val="18"/>
          <w:szCs w:val="18"/>
          <w:color w:val="auto"/>
        </w:rPr>
        <w:t>provides (i) a table showing the relationship between the Supply and Sales Fraction and the Effective Royalty Rate, and (ii)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example to demonstrate the calculations of this </w:t>
      </w:r>
      <w:r>
        <w:rPr>
          <w:rFonts w:ascii="Times New Roman" w:cs="Times New Roman" w:eastAsia="Times New Roman" w:hAnsi="Times New Roman"/>
          <w:sz w:val="18"/>
          <w:szCs w:val="18"/>
          <w:b w:val="1"/>
          <w:bCs w:val="1"/>
          <w:color w:val="auto"/>
        </w:rPr>
        <w:t>Section 7.4.3(d) (Royalty Floor)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4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7.4.4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Single Royalty</w:t>
      </w:r>
      <w:r>
        <w:rPr>
          <w:rFonts w:ascii="Times New Roman" w:cs="Times New Roman" w:eastAsia="Times New Roman" w:hAnsi="Times New Roman"/>
          <w:sz w:val="18"/>
          <w:szCs w:val="18"/>
          <w:color w:val="auto"/>
        </w:rPr>
        <w:t>. No more than one royalty payment shall be due under this</w:t>
      </w:r>
      <w:r>
        <w:rPr>
          <w:rFonts w:ascii="Times New Roman" w:cs="Times New Roman" w:eastAsia="Times New Roman" w:hAnsi="Times New Roman"/>
          <w:sz w:val="18"/>
          <w:szCs w:val="18"/>
          <w:b w:val="1"/>
          <w:bCs w:val="1"/>
          <w:color w:val="auto"/>
        </w:rPr>
        <w:t xml:space="preserve"> Section 7.4 (Royalty Payments for Products by Kissei) </w:t>
      </w:r>
      <w:r>
        <w:rPr>
          <w:rFonts w:ascii="Times New Roman" w:cs="Times New Roman" w:eastAsia="Times New Roman" w:hAnsi="Times New Roman"/>
          <w:sz w:val="18"/>
          <w:szCs w:val="18"/>
          <w:color w:val="auto"/>
        </w:rPr>
        <w:t>with respect to a sale of a particular Product. For the avoidance of doubt, multiple royalties shall not be payable because the sale of a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is Covered by more than one (1) Valid Claim in the country in which such Product is sold.</w:t>
      </w:r>
    </w:p>
    <w:p>
      <w:pPr>
        <w:spacing w:after="0" w:line="173" w:lineRule="exact"/>
        <w:rPr>
          <w:sz w:val="20"/>
          <w:szCs w:val="20"/>
          <w:color w:val="auto"/>
        </w:rPr>
      </w:pPr>
    </w:p>
    <w:p>
      <w:pPr>
        <w:ind w:right="140"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7.4.5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Royalty Term</w:t>
      </w:r>
      <w:r>
        <w:rPr>
          <w:rFonts w:ascii="Times New Roman" w:cs="Times New Roman" w:eastAsia="Times New Roman" w:hAnsi="Times New Roman"/>
          <w:sz w:val="18"/>
          <w:szCs w:val="18"/>
          <w:color w:val="auto"/>
        </w:rPr>
        <w:t>. For any Product, the royalty obligations set forth in</w:t>
      </w:r>
      <w:r>
        <w:rPr>
          <w:rFonts w:ascii="Times New Roman" w:cs="Times New Roman" w:eastAsia="Times New Roman" w:hAnsi="Times New Roman"/>
          <w:sz w:val="18"/>
          <w:szCs w:val="18"/>
          <w:b w:val="1"/>
          <w:bCs w:val="1"/>
          <w:color w:val="auto"/>
        </w:rPr>
        <w:t xml:space="preserve"> Section 7.4.1 (Products in Territory) </w:t>
      </w:r>
      <w:r>
        <w:rPr>
          <w:rFonts w:ascii="Times New Roman" w:cs="Times New Roman" w:eastAsia="Times New Roman" w:hAnsi="Times New Roman"/>
          <w:sz w:val="18"/>
          <w:szCs w:val="18"/>
          <w:color w:val="auto"/>
        </w:rPr>
        <w:t>will commence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country-by-country basis upon the First Commercial Sale of such Product in such country by or under the authority of Kissei, its Affiliates or any of their sublicensees, and expire on a country-by-country basis upon the later of (i) the expiration of the last to expire Valid Claim Covering such Product in such country, and (ii) the twelve (12th) anniversary of the date of First Commercial Sale of such Product in such country (the “</w:t>
      </w:r>
      <w:r>
        <w:rPr>
          <w:rFonts w:ascii="Times New Roman" w:cs="Times New Roman" w:eastAsia="Times New Roman" w:hAnsi="Times New Roman"/>
          <w:sz w:val="18"/>
          <w:szCs w:val="18"/>
          <w:b w:val="1"/>
          <w:bCs w:val="1"/>
          <w:color w:val="auto"/>
        </w:rPr>
        <w:t>Product 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6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7.4.6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Other Indications</w:t>
      </w:r>
      <w:r>
        <w:rPr>
          <w:rFonts w:ascii="Times New Roman" w:cs="Times New Roman" w:eastAsia="Times New Roman" w:hAnsi="Times New Roman"/>
          <w:sz w:val="18"/>
          <w:szCs w:val="18"/>
          <w:color w:val="auto"/>
        </w:rPr>
        <w:t>. For clarity, the applicable royalties in this</w:t>
      </w:r>
      <w:r>
        <w:rPr>
          <w:rFonts w:ascii="Times New Roman" w:cs="Times New Roman" w:eastAsia="Times New Roman" w:hAnsi="Times New Roman"/>
          <w:sz w:val="18"/>
          <w:szCs w:val="18"/>
          <w:b w:val="1"/>
          <w:bCs w:val="1"/>
          <w:color w:val="auto"/>
        </w:rPr>
        <w:t xml:space="preserve"> Section 7.4 (Royalty Payments for Products by Kissei) </w:t>
      </w:r>
      <w:r>
        <w:rPr>
          <w:rFonts w:ascii="Times New Roman" w:cs="Times New Roman" w:eastAsia="Times New Roman" w:hAnsi="Times New Roman"/>
          <w:sz w:val="18"/>
          <w:szCs w:val="18"/>
          <w:color w:val="auto"/>
        </w:rPr>
        <w:t>will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each Product for the Field whether for the Initial Indication or any Other Indication.</w:t>
      </w:r>
    </w:p>
    <w:p>
      <w:pPr>
        <w:spacing w:after="0" w:line="160" w:lineRule="exact"/>
        <w:rPr>
          <w:sz w:val="20"/>
          <w:szCs w:val="20"/>
          <w:color w:val="auto"/>
        </w:rPr>
      </w:pPr>
    </w:p>
    <w:p>
      <w:pPr>
        <w:ind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7.4.7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Certain Net Sales</w:t>
      </w:r>
      <w:r>
        <w:rPr>
          <w:rFonts w:ascii="Times New Roman" w:cs="Times New Roman" w:eastAsia="Times New Roman" w:hAnsi="Times New Roman"/>
          <w:sz w:val="18"/>
          <w:szCs w:val="18"/>
          <w:color w:val="auto"/>
        </w:rPr>
        <w:t>. Notwithstanding anything to the contrary in this Agreement, on a Product-by-Product basis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country-by-country basis, all Net Sales of a Product in a country prior to obtaining required governmental pricing and reimbursement approval in such country shall be accrued and Kissei shall make royalty payment on such Net Sales of such Product within [***] after the end of the first calendar quarter following obtaining such required governmental pricing and reimbursement approval in such country.</w:t>
      </w:r>
    </w:p>
    <w:p>
      <w:pPr>
        <w:spacing w:after="0" w:line="177" w:lineRule="exact"/>
        <w:rPr>
          <w:sz w:val="20"/>
          <w:szCs w:val="20"/>
          <w:color w:val="auto"/>
        </w:rPr>
      </w:pPr>
    </w:p>
    <w:p>
      <w:pPr>
        <w:ind w:right="220" w:firstLine="973"/>
        <w:spacing w:after="0" w:line="306" w:lineRule="auto"/>
        <w:rPr>
          <w:sz w:val="20"/>
          <w:szCs w:val="20"/>
          <w:color w:val="auto"/>
        </w:rPr>
      </w:pPr>
      <w:r>
        <w:rPr>
          <w:rFonts w:ascii="Times New Roman" w:cs="Times New Roman" w:eastAsia="Times New Roman" w:hAnsi="Times New Roman"/>
          <w:sz w:val="17"/>
          <w:szCs w:val="17"/>
          <w:b w:val="1"/>
          <w:bCs w:val="1"/>
          <w:color w:val="auto"/>
        </w:rPr>
        <w:t>7.4.8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Rights Following Expiration of Royalty Term</w:t>
      </w:r>
      <w:r>
        <w:rPr>
          <w:rFonts w:ascii="Times New Roman" w:cs="Times New Roman" w:eastAsia="Times New Roman" w:hAnsi="Times New Roman"/>
          <w:sz w:val="17"/>
          <w:szCs w:val="17"/>
          <w:color w:val="auto"/>
        </w:rPr>
        <w:t>. Upon expiry of its payment obligation hereunder with respect to a Product in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country, the license in </w:t>
      </w:r>
      <w:r>
        <w:rPr>
          <w:rFonts w:ascii="Times New Roman" w:cs="Times New Roman" w:eastAsia="Times New Roman" w:hAnsi="Times New Roman"/>
          <w:sz w:val="17"/>
          <w:szCs w:val="17"/>
          <w:b w:val="1"/>
          <w:bCs w:val="1"/>
          <w:color w:val="auto"/>
        </w:rPr>
        <w:t>Section 4.1 (License Grants to Kissei)</w:t>
      </w:r>
      <w:r>
        <w:rPr>
          <w:rFonts w:ascii="Times New Roman" w:cs="Times New Roman" w:eastAsia="Times New Roman" w:hAnsi="Times New Roman"/>
          <w:sz w:val="17"/>
          <w:szCs w:val="17"/>
          <w:color w:val="auto"/>
        </w:rPr>
        <w:t xml:space="preserve"> shall be non-exclusive and fully paid-up in respect of such Product in that country.</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Royalty Payments for Products by CG</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100"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7.5.1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Products in CG Territory</w:t>
      </w:r>
      <w:r>
        <w:rPr>
          <w:rFonts w:ascii="Times New Roman" w:cs="Times New Roman" w:eastAsia="Times New Roman" w:hAnsi="Times New Roman"/>
          <w:sz w:val="18"/>
          <w:szCs w:val="18"/>
          <w:color w:val="auto"/>
        </w:rPr>
        <w:t>. Subject to the terms of</w:t>
      </w:r>
      <w:r>
        <w:rPr>
          <w:rFonts w:ascii="Times New Roman" w:cs="Times New Roman" w:eastAsia="Times New Roman" w:hAnsi="Times New Roman"/>
          <w:sz w:val="18"/>
          <w:szCs w:val="18"/>
          <w:b w:val="1"/>
          <w:bCs w:val="1"/>
          <w:color w:val="auto"/>
        </w:rPr>
        <w:t xml:space="preserve"> Sections 7.5.2 (Products not Covered by a Valid Claim)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b w:val="1"/>
          <w:bCs w:val="1"/>
          <w:color w:val="auto"/>
        </w:rPr>
        <w:t xml:space="preserve"> 7.5.6 (Other Indications)</w:t>
      </w:r>
      <w:r>
        <w:rPr>
          <w:rFonts w:ascii="Times New Roman" w:cs="Times New Roman" w:eastAsia="Times New Roman" w:hAnsi="Times New Roman"/>
          <w:sz w:val="18"/>
          <w:szCs w:val="18"/>
          <w:color w:val="auto"/>
        </w:rPr>
        <w:t>, CG shall pay Kissei, on a quarterly basis, [***] of Net Sales of the applicable Product in the CG Territory, excluding the Lepu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Territory, by CG (or its Affiliate or sublicensee hereunder). For avoidance of doubt, no payment shall be due under this </w:t>
      </w:r>
      <w:r>
        <w:rPr>
          <w:rFonts w:ascii="Times New Roman" w:cs="Times New Roman" w:eastAsia="Times New Roman" w:hAnsi="Times New Roman"/>
          <w:sz w:val="18"/>
          <w:szCs w:val="18"/>
          <w:b w:val="1"/>
          <w:bCs w:val="1"/>
          <w:color w:val="auto"/>
        </w:rPr>
        <w:t>Section 7.5.1 (Products in CG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Territory) </w:t>
      </w:r>
      <w:r>
        <w:rPr>
          <w:rFonts w:ascii="Times New Roman" w:cs="Times New Roman" w:eastAsia="Times New Roman" w:hAnsi="Times New Roman"/>
          <w:sz w:val="18"/>
          <w:szCs w:val="18"/>
          <w:color w:val="auto"/>
        </w:rPr>
        <w:t>for sales of the Product made in the CG Territory and intended for distribution outside of the CG Territory.</w:t>
      </w:r>
    </w:p>
    <w:p>
      <w:pPr>
        <w:spacing w:after="0" w:line="177" w:lineRule="exact"/>
        <w:rPr>
          <w:sz w:val="20"/>
          <w:szCs w:val="20"/>
          <w:color w:val="auto"/>
        </w:rPr>
      </w:pPr>
    </w:p>
    <w:p>
      <w:pPr>
        <w:ind w:right="80" w:firstLine="973"/>
        <w:spacing w:after="0" w:line="275" w:lineRule="auto"/>
        <w:rPr>
          <w:sz w:val="20"/>
          <w:szCs w:val="20"/>
          <w:color w:val="auto"/>
        </w:rPr>
      </w:pPr>
      <w:r>
        <w:rPr>
          <w:rFonts w:ascii="Times New Roman" w:cs="Times New Roman" w:eastAsia="Times New Roman" w:hAnsi="Times New Roman"/>
          <w:sz w:val="17"/>
          <w:szCs w:val="17"/>
          <w:b w:val="1"/>
          <w:bCs w:val="1"/>
          <w:color w:val="auto"/>
        </w:rPr>
        <w:t>7.5.2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Products not Covered by a Valid Claim</w:t>
      </w:r>
      <w:r>
        <w:rPr>
          <w:rFonts w:ascii="Times New Roman" w:cs="Times New Roman" w:eastAsia="Times New Roman" w:hAnsi="Times New Roman"/>
          <w:sz w:val="17"/>
          <w:szCs w:val="17"/>
          <w:color w:val="auto"/>
        </w:rPr>
        <w:t>. Subject to the terms of</w:t>
      </w:r>
      <w:r>
        <w:rPr>
          <w:rFonts w:ascii="Times New Roman" w:cs="Times New Roman" w:eastAsia="Times New Roman" w:hAnsi="Times New Roman"/>
          <w:sz w:val="17"/>
          <w:szCs w:val="17"/>
          <w:b w:val="1"/>
          <w:bCs w:val="1"/>
          <w:color w:val="auto"/>
        </w:rPr>
        <w:t xml:space="preserve"> Section 7.5.3 (Royalty Payment Offsets) </w:t>
      </w:r>
      <w:r>
        <w:rPr>
          <w:rFonts w:ascii="Times New Roman" w:cs="Times New Roman" w:eastAsia="Times New Roman" w:hAnsi="Times New Roman"/>
          <w:sz w:val="17"/>
          <w:szCs w:val="17"/>
          <w:color w:val="auto"/>
        </w:rPr>
        <w:t>through</w:t>
      </w:r>
      <w:r>
        <w:rPr>
          <w:rFonts w:ascii="Times New Roman" w:cs="Times New Roman" w:eastAsia="Times New Roman" w:hAnsi="Times New Roman"/>
          <w:sz w:val="17"/>
          <w:szCs w:val="17"/>
          <w:b w:val="1"/>
          <w:bCs w:val="1"/>
          <w:color w:val="auto"/>
        </w:rPr>
        <w:t xml:space="preserve"> 7.5.6 (Other Indications)</w:t>
      </w:r>
      <w:r>
        <w:rPr>
          <w:rFonts w:ascii="Times New Roman" w:cs="Times New Roman" w:eastAsia="Times New Roman" w:hAnsi="Times New Roman"/>
          <w:sz w:val="17"/>
          <w:szCs w:val="17"/>
          <w:color w:val="auto"/>
        </w:rPr>
        <w:t>, the royalty amounts payable in accordance with</w:t>
      </w:r>
      <w:r>
        <w:rPr>
          <w:rFonts w:ascii="Times New Roman" w:cs="Times New Roman" w:eastAsia="Times New Roman" w:hAnsi="Times New Roman"/>
          <w:sz w:val="17"/>
          <w:szCs w:val="17"/>
          <w:b w:val="1"/>
          <w:bCs w:val="1"/>
          <w:color w:val="auto"/>
        </w:rPr>
        <w:t xml:space="preserve"> Section 7.5.1 (Products in CG Territory) </w:t>
      </w:r>
      <w:r>
        <w:rPr>
          <w:rFonts w:ascii="Times New Roman" w:cs="Times New Roman" w:eastAsia="Times New Roman" w:hAnsi="Times New Roman"/>
          <w:sz w:val="17"/>
          <w:szCs w:val="17"/>
          <w:color w:val="auto"/>
        </w:rPr>
        <w:t>shall be reduced on a Product-by-Product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country-by-country basis by [***] of the amounts otherwise payable pursuant to </w:t>
      </w:r>
      <w:r>
        <w:rPr>
          <w:rFonts w:ascii="Times New Roman" w:cs="Times New Roman" w:eastAsia="Times New Roman" w:hAnsi="Times New Roman"/>
          <w:sz w:val="17"/>
          <w:szCs w:val="17"/>
          <w:b w:val="1"/>
          <w:bCs w:val="1"/>
          <w:color w:val="auto"/>
        </w:rPr>
        <w:t>Section 7.5.1 (Products in CG Territory)</w:t>
      </w:r>
      <w:r>
        <w:rPr>
          <w:rFonts w:ascii="Times New Roman" w:cs="Times New Roman" w:eastAsia="Times New Roman" w:hAnsi="Times New Roman"/>
          <w:sz w:val="17"/>
          <w:szCs w:val="17"/>
          <w:color w:val="auto"/>
        </w:rPr>
        <w:t>, as applicable, during any portion of the Product Royalty Term, in which there is not at least one Valid Claim that Covers the sale of such Product in such country.</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80"/>
          </w:cols>
          <w:pgMar w:left="540" w:top="265" w:right="579" w:bottom="1440" w:gutter="0" w:footer="0" w:header="0"/>
        </w:sectPr>
      </w:pPr>
    </w:p>
    <w:bookmarkStart w:id="493" w:name="page494"/>
    <w:bookmarkEnd w:id="493"/>
    <w:p>
      <w:pPr>
        <w:ind w:left="98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7.5.3   Royalty Payment Offsets.</w:t>
      </w:r>
    </w:p>
    <w:p>
      <w:pPr>
        <w:spacing w:after="0" w:line="217"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Third Party Payments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right="180" w:firstLine="1946"/>
        <w:spacing w:after="0" w:line="27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Kissei</w:t>
      </w:r>
      <w:r>
        <w:rPr>
          <w:rFonts w:ascii="Times New Roman" w:cs="Times New Roman" w:eastAsia="Times New Roman" w:hAnsi="Times New Roman"/>
          <w:sz w:val="18"/>
          <w:szCs w:val="18"/>
          <w:color w:val="auto"/>
        </w:rPr>
        <w:t>. Kissei shall have the obligation to make payments owed under written agreements entered into by Kissei with Third Parties, as of the Effective Date or during the Term.</w:t>
      </w:r>
    </w:p>
    <w:p>
      <w:pPr>
        <w:spacing w:after="0" w:line="160" w:lineRule="exact"/>
        <w:rPr>
          <w:sz w:val="20"/>
          <w:szCs w:val="20"/>
          <w:color w:val="auto"/>
        </w:rPr>
      </w:pPr>
    </w:p>
    <w:p>
      <w:pPr>
        <w:ind w:left="2" w:firstLine="1946"/>
        <w:spacing w:after="0" w:line="266"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b w:val="1"/>
          <w:bCs w:val="1"/>
          <w:color w:val="auto"/>
        </w:rPr>
        <w:t>CG</w:t>
      </w:r>
      <w:r>
        <w:rPr>
          <w:rFonts w:ascii="Times New Roman" w:cs="Times New Roman" w:eastAsia="Times New Roman" w:hAnsi="Times New Roman"/>
          <w:sz w:val="17"/>
          <w:szCs w:val="17"/>
          <w:color w:val="auto"/>
        </w:rPr>
        <w:t>. If, after the Effective Date, CG (or its sublicensee) obtains a right or license under any Patent of a Third Party (which right or license includes one or more Patents), where CG (or its sublicensee) determines that such Patent is reasonably necessary for the making, using, selling, offering for sale or importing of a Product, then CG may offset the payments due and payable by CG to Kissei with respect to the Product in a calendar quarter by [***] of the amount of payments paid by CG (or its sublicensee) to such Third Party for such right or license; provided, that</w:t>
      </w:r>
    </w:p>
    <w:p>
      <w:pPr>
        <w:spacing w:after="0" w:line="3" w:lineRule="exact"/>
        <w:rPr>
          <w:sz w:val="20"/>
          <w:szCs w:val="20"/>
          <w:color w:val="auto"/>
        </w:rPr>
      </w:pPr>
    </w:p>
    <w:p>
      <w:pPr>
        <w:ind w:left="2" w:right="140" w:hanging="2"/>
        <w:spacing w:after="0" w:line="247" w:lineRule="auto"/>
        <w:tabs>
          <w:tab w:leader="none" w:pos="24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reduction may be taken with respect to any amounts paid for any Additional Active in a Combination and (b) in no event shall such reductions reduce a payment owed to Kissei for such Product by more than [***] of what would otherwise be owed by CG to Kissei hereunder. For clarity, any such amount that would otherwise be offset if not for such quarterly [***] floor shall be applied to the subsequent royalty payment periods until such amount is fully offset, subject to the applicable floor in each such subsequent royalty payment period.</w:t>
      </w:r>
    </w:p>
    <w:p>
      <w:pPr>
        <w:spacing w:after="0" w:line="187" w:lineRule="exact"/>
        <w:rPr>
          <w:sz w:val="20"/>
          <w:szCs w:val="20"/>
          <w:color w:val="auto"/>
        </w:rPr>
      </w:pPr>
    </w:p>
    <w:p>
      <w:pPr>
        <w:ind w:left="2" w:right="20" w:firstLine="1406"/>
        <w:spacing w:after="0" w:line="253"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Biosimilar/Compulsory Competing Product</w:t>
      </w:r>
      <w:r>
        <w:rPr>
          <w:rFonts w:ascii="Times New Roman" w:cs="Times New Roman" w:eastAsia="Times New Roman" w:hAnsi="Times New Roman"/>
          <w:sz w:val="18"/>
          <w:szCs w:val="18"/>
          <w:color w:val="auto"/>
        </w:rPr>
        <w:t>. If following the first commercial sale of a Biosimilar or a Compulsory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Competing Product in a country, and, in eachcase, Net Sales of the Product incorporating the same reference product with the same active moiety as such Biosimilar or Compulsory Competing Product in such country in a given [***] period fall by [***] from the Net Sales of such Product in the [***] immediately preceding the [***] in which such launch of the Biosimilar or Compulsory Competing Product occurred, the royalties due and payable by Kissei under </w:t>
      </w:r>
      <w:r>
        <w:rPr>
          <w:rFonts w:ascii="Times New Roman" w:cs="Times New Roman" w:eastAsia="Times New Roman" w:hAnsi="Times New Roman"/>
          <w:sz w:val="18"/>
          <w:szCs w:val="18"/>
          <w:b w:val="1"/>
          <w:bCs w:val="1"/>
          <w:color w:val="auto"/>
        </w:rPr>
        <w:t>Section 7.5.1 (Products in CG Territory)</w:t>
      </w:r>
      <w:r>
        <w:rPr>
          <w:rFonts w:ascii="Times New Roman" w:cs="Times New Roman" w:eastAsia="Times New Roman" w:hAnsi="Times New Roman"/>
          <w:sz w:val="18"/>
          <w:szCs w:val="18"/>
          <w:color w:val="auto"/>
        </w:rPr>
        <w:t xml:space="preserve"> for such Product shall be reduced by [***] in such country.</w:t>
      </w:r>
    </w:p>
    <w:p>
      <w:pPr>
        <w:spacing w:after="0" w:line="181" w:lineRule="exact"/>
        <w:rPr>
          <w:sz w:val="20"/>
          <w:szCs w:val="20"/>
          <w:color w:val="auto"/>
        </w:rPr>
      </w:pPr>
    </w:p>
    <w:p>
      <w:pPr>
        <w:ind w:left="2" w:right="20" w:firstLine="1406"/>
        <w:spacing w:after="0" w:line="250"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Royalty Floor</w:t>
      </w:r>
      <w:r>
        <w:rPr>
          <w:rFonts w:ascii="Times New Roman" w:cs="Times New Roman" w:eastAsia="Times New Roman" w:hAnsi="Times New Roman"/>
          <w:sz w:val="18"/>
          <w:szCs w:val="18"/>
          <w:color w:val="auto"/>
        </w:rPr>
        <w:t>. Notwithstanding anything to the contrary in this Agreement, in no event shall the royalties payable to Kissei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the provisions of </w:t>
      </w:r>
      <w:r>
        <w:rPr>
          <w:rFonts w:ascii="Times New Roman" w:cs="Times New Roman" w:eastAsia="Times New Roman" w:hAnsi="Times New Roman"/>
          <w:sz w:val="18"/>
          <w:szCs w:val="18"/>
          <w:b w:val="1"/>
          <w:bCs w:val="1"/>
          <w:color w:val="auto"/>
        </w:rPr>
        <w:t>Section 7.5.1 (Products in CG Territory)</w:t>
      </w:r>
      <w:r>
        <w:rPr>
          <w:rFonts w:ascii="Times New Roman" w:cs="Times New Roman" w:eastAsia="Times New Roman" w:hAnsi="Times New Roman"/>
          <w:sz w:val="18"/>
          <w:szCs w:val="18"/>
          <w:color w:val="auto"/>
        </w:rPr>
        <w:t xml:space="preserve"> for any Product in any country in any calendar quarter be reduced, pursuant to </w:t>
      </w:r>
      <w:r>
        <w:rPr>
          <w:rFonts w:ascii="Times New Roman" w:cs="Times New Roman" w:eastAsia="Times New Roman" w:hAnsi="Times New Roman"/>
          <w:sz w:val="18"/>
          <w:szCs w:val="18"/>
          <w:b w:val="1"/>
          <w:bCs w:val="1"/>
          <w:color w:val="auto"/>
        </w:rPr>
        <w:t>Section 7.5.2 (Products not Covered by a Valid Claim)</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b w:val="1"/>
          <w:bCs w:val="1"/>
          <w:color w:val="auto"/>
        </w:rPr>
        <w:t>Section 7.5.3 (Royalty Payment Offsets)</w:t>
      </w:r>
      <w:r>
        <w:rPr>
          <w:rFonts w:ascii="Times New Roman" w:cs="Times New Roman" w:eastAsia="Times New Roman" w:hAnsi="Times New Roman"/>
          <w:sz w:val="18"/>
          <w:szCs w:val="18"/>
          <w:color w:val="auto"/>
        </w:rPr>
        <w:t xml:space="preserve">, to less than [***] of the amount that would otherwise be payable to Kissei in accordance with the provisions of </w:t>
      </w:r>
      <w:r>
        <w:rPr>
          <w:rFonts w:ascii="Times New Roman" w:cs="Times New Roman" w:eastAsia="Times New Roman" w:hAnsi="Times New Roman"/>
          <w:sz w:val="18"/>
          <w:szCs w:val="18"/>
          <w:b w:val="1"/>
          <w:bCs w:val="1"/>
          <w:color w:val="auto"/>
        </w:rPr>
        <w:t>Section 7.5.1 (Products in CG Territory)</w:t>
      </w:r>
      <w:r>
        <w:rPr>
          <w:rFonts w:ascii="Times New Roman" w:cs="Times New Roman" w:eastAsia="Times New Roman" w:hAnsi="Times New Roman"/>
          <w:sz w:val="18"/>
          <w:szCs w:val="18"/>
          <w:color w:val="auto"/>
        </w:rPr>
        <w:t xml:space="preserve">, for such Product in such country in such calendar quarter. For clarity, any such amount that would otherwise be offset if not for such quarterly [***] floor shall be applied to the subsequent royalty payment periods until such amount is fully offset, subject to the applicable floor in each such subsequent royalty payment period; provided, however, that no offsetting shall be allowed at any time subsequent to the expiration of the CG Product Royalty Term (as defined in </w:t>
      </w:r>
      <w:r>
        <w:rPr>
          <w:rFonts w:ascii="Times New Roman" w:cs="Times New Roman" w:eastAsia="Times New Roman" w:hAnsi="Times New Roman"/>
          <w:sz w:val="18"/>
          <w:szCs w:val="18"/>
          <w:b w:val="1"/>
          <w:bCs w:val="1"/>
          <w:color w:val="auto"/>
        </w:rPr>
        <w:t xml:space="preserve">Section 7.5.5 (CG Royalty Term) </w:t>
      </w:r>
      <w:r>
        <w:rPr>
          <w:rFonts w:ascii="Times New Roman" w:cs="Times New Roman" w:eastAsia="Times New Roman" w:hAnsi="Times New Roman"/>
          <w:sz w:val="18"/>
          <w:szCs w:val="18"/>
          <w:color w:val="auto"/>
        </w:rPr>
        <w:t>below).</w:t>
      </w:r>
    </w:p>
    <w:p>
      <w:pPr>
        <w:spacing w:after="0" w:line="119"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62"/>
          </w:cols>
          <w:pgMar w:left="538" w:top="265" w:right="599" w:bottom="1440" w:gutter="0" w:footer="0" w:header="0"/>
        </w:sectPr>
      </w:pPr>
    </w:p>
    <w:bookmarkStart w:id="494" w:name="page495"/>
    <w:bookmarkEnd w:id="494"/>
    <w:p>
      <w:pPr>
        <w:jc w:val="both"/>
        <w:ind w:right="8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7.5.4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Single Royalty</w:t>
      </w:r>
      <w:r>
        <w:rPr>
          <w:rFonts w:ascii="Times New Roman" w:cs="Times New Roman" w:eastAsia="Times New Roman" w:hAnsi="Times New Roman"/>
          <w:sz w:val="18"/>
          <w:szCs w:val="18"/>
          <w:color w:val="auto"/>
        </w:rPr>
        <w:t>. No more than one royalty payment shall be due under this</w:t>
      </w:r>
      <w:r>
        <w:rPr>
          <w:rFonts w:ascii="Times New Roman" w:cs="Times New Roman" w:eastAsia="Times New Roman" w:hAnsi="Times New Roman"/>
          <w:sz w:val="18"/>
          <w:szCs w:val="18"/>
          <w:b w:val="1"/>
          <w:bCs w:val="1"/>
          <w:color w:val="auto"/>
        </w:rPr>
        <w:t xml:space="preserve"> Section 7.5 (Royalty Payments for Products by CG) </w:t>
      </w:r>
      <w:r>
        <w:rPr>
          <w:rFonts w:ascii="Times New Roman" w:cs="Times New Roman" w:eastAsia="Times New Roman" w:hAnsi="Times New Roman"/>
          <w:sz w:val="18"/>
          <w:szCs w:val="18"/>
          <w:color w:val="auto"/>
        </w:rPr>
        <w:t>with respect to a sale of a particular Product. For the avoidance of doubt, multiple royalties shall not be payable because the sale of a particular Product is Covered by more than one (1) Valid Claim in the country in which such Product is sold.</w:t>
      </w:r>
    </w:p>
    <w:p>
      <w:pPr>
        <w:spacing w:after="0" w:line="173" w:lineRule="exact"/>
        <w:rPr>
          <w:sz w:val="20"/>
          <w:szCs w:val="20"/>
          <w:color w:val="auto"/>
        </w:rPr>
      </w:pPr>
    </w:p>
    <w:p>
      <w:pPr>
        <w:ind w:right="20"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7.5.5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Royalty Term</w:t>
      </w:r>
      <w:r>
        <w:rPr>
          <w:rFonts w:ascii="Times New Roman" w:cs="Times New Roman" w:eastAsia="Times New Roman" w:hAnsi="Times New Roman"/>
          <w:sz w:val="18"/>
          <w:szCs w:val="18"/>
          <w:color w:val="auto"/>
        </w:rPr>
        <w:t>. For any Product, the royalty obligations set forth in</w:t>
      </w:r>
      <w:r>
        <w:rPr>
          <w:rFonts w:ascii="Times New Roman" w:cs="Times New Roman" w:eastAsia="Times New Roman" w:hAnsi="Times New Roman"/>
          <w:sz w:val="18"/>
          <w:szCs w:val="18"/>
          <w:b w:val="1"/>
          <w:bCs w:val="1"/>
          <w:color w:val="auto"/>
        </w:rPr>
        <w:t xml:space="preserve"> Section 7.5.1 (Products in CG Territory) </w:t>
      </w:r>
      <w:r>
        <w:rPr>
          <w:rFonts w:ascii="Times New Roman" w:cs="Times New Roman" w:eastAsia="Times New Roman" w:hAnsi="Times New Roman"/>
          <w:sz w:val="18"/>
          <w:szCs w:val="18"/>
          <w:color w:val="auto"/>
        </w:rPr>
        <w:t>will commence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 country-by-country basis upon the First Commercial Sale of such Product in such country in the CG Territory by or under the authority of CG, its Affiliates or any of their sublicensees, and expire on a country-by-country basis upon the later of (i) the expiration of the last to expire Valid Claim Covering such Product in such country, and (ii) the twelve (12th) anniversary of the date of First Commercial Sale of such Product in such country (the “</w:t>
      </w:r>
      <w:r>
        <w:rPr>
          <w:rFonts w:ascii="Times New Roman" w:cs="Times New Roman" w:eastAsia="Times New Roman" w:hAnsi="Times New Roman"/>
          <w:sz w:val="18"/>
          <w:szCs w:val="18"/>
          <w:b w:val="1"/>
          <w:bCs w:val="1"/>
          <w:color w:val="auto"/>
        </w:rPr>
        <w:t>CG Product Royalty Term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right="2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7.5.6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Other Indications</w:t>
      </w:r>
      <w:r>
        <w:rPr>
          <w:rFonts w:ascii="Times New Roman" w:cs="Times New Roman" w:eastAsia="Times New Roman" w:hAnsi="Times New Roman"/>
          <w:sz w:val="18"/>
          <w:szCs w:val="18"/>
          <w:color w:val="auto"/>
        </w:rPr>
        <w:t>. For clarity, the applicable royalties in this</w:t>
      </w:r>
      <w:r>
        <w:rPr>
          <w:rFonts w:ascii="Times New Roman" w:cs="Times New Roman" w:eastAsia="Times New Roman" w:hAnsi="Times New Roman"/>
          <w:sz w:val="18"/>
          <w:szCs w:val="18"/>
          <w:b w:val="1"/>
          <w:bCs w:val="1"/>
          <w:color w:val="auto"/>
        </w:rPr>
        <w:t xml:space="preserve"> Section 7.5 (Royalty Payments for Products by CG ) </w:t>
      </w:r>
      <w:r>
        <w:rPr>
          <w:rFonts w:ascii="Times New Roman" w:cs="Times New Roman" w:eastAsia="Times New Roman" w:hAnsi="Times New Roman"/>
          <w:sz w:val="18"/>
          <w:szCs w:val="18"/>
          <w:color w:val="auto"/>
        </w:rPr>
        <w:t>will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Product for the Field whether for the Initial Indication or any Other Indication.</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7.5.7   Royalty Buy-Out.</w:t>
      </w:r>
    </w:p>
    <w:p>
      <w:pPr>
        <w:spacing w:after="0" w:line="217" w:lineRule="exact"/>
        <w:rPr>
          <w:sz w:val="20"/>
          <w:szCs w:val="20"/>
          <w:color w:val="auto"/>
        </w:rPr>
      </w:pPr>
    </w:p>
    <w:p>
      <w:pPr>
        <w:jc w:val="both"/>
        <w:ind w:firstLine="1406"/>
        <w:spacing w:after="0" w:line="261"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Change of Control</w:t>
      </w:r>
      <w:r>
        <w:rPr>
          <w:rFonts w:ascii="Times New Roman" w:cs="Times New Roman" w:eastAsia="Times New Roman" w:hAnsi="Times New Roman"/>
          <w:sz w:val="18"/>
          <w:szCs w:val="18"/>
          <w:color w:val="auto"/>
        </w:rPr>
        <w:t>. In the event of a Change of Control of CG during the Term, CG shall have the right to pay Kissei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lump-sum in order to terminate CG’s obligation to pay Kissei royalties pursuant to </w:t>
      </w:r>
      <w:r>
        <w:rPr>
          <w:rFonts w:ascii="Times New Roman" w:cs="Times New Roman" w:eastAsia="Times New Roman" w:hAnsi="Times New Roman"/>
          <w:sz w:val="18"/>
          <w:szCs w:val="18"/>
          <w:b w:val="1"/>
          <w:bCs w:val="1"/>
          <w:color w:val="auto"/>
        </w:rPr>
        <w:t>Section 7.5.1 (Products in CG Territory)</w:t>
      </w:r>
      <w:r>
        <w:rPr>
          <w:rFonts w:ascii="Times New Roman" w:cs="Times New Roman" w:eastAsia="Times New Roman" w:hAnsi="Times New Roman"/>
          <w:sz w:val="18"/>
          <w:szCs w:val="18"/>
          <w:color w:val="auto"/>
        </w:rPr>
        <w:t xml:space="preserve"> and convert all licenses in </w:t>
      </w:r>
      <w:r>
        <w:rPr>
          <w:rFonts w:ascii="Times New Roman" w:cs="Times New Roman" w:eastAsia="Times New Roman" w:hAnsi="Times New Roman"/>
          <w:sz w:val="18"/>
          <w:szCs w:val="18"/>
          <w:b w:val="1"/>
          <w:bCs w:val="1"/>
          <w:color w:val="auto"/>
        </w:rPr>
        <w:t xml:space="preserve">Section 4.2 (License Grants to CG) </w:t>
      </w:r>
      <w:r>
        <w:rPr>
          <w:rFonts w:ascii="Times New Roman" w:cs="Times New Roman" w:eastAsia="Times New Roman" w:hAnsi="Times New Roman"/>
          <w:sz w:val="18"/>
          <w:szCs w:val="18"/>
          <w:color w:val="auto"/>
        </w:rPr>
        <w:t>into fully-paid licenses (the “</w:t>
      </w:r>
      <w:r>
        <w:rPr>
          <w:rFonts w:ascii="Times New Roman" w:cs="Times New Roman" w:eastAsia="Times New Roman" w:hAnsi="Times New Roman"/>
          <w:sz w:val="18"/>
          <w:szCs w:val="18"/>
          <w:b w:val="1"/>
          <w:bCs w:val="1"/>
          <w:color w:val="auto"/>
        </w:rPr>
        <w:t>Buy-Out Option</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40" w:firstLine="1406"/>
        <w:spacing w:after="0" w:line="250"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Exercise</w:t>
      </w:r>
      <w:r>
        <w:rPr>
          <w:rFonts w:ascii="Times New Roman" w:cs="Times New Roman" w:eastAsia="Times New Roman" w:hAnsi="Times New Roman"/>
          <w:sz w:val="18"/>
          <w:szCs w:val="18"/>
          <w:color w:val="auto"/>
        </w:rPr>
        <w:t>. CG, itself or through a member of the Transacting Party Group, shall notify Kissei in writing if CG wishes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 its Buy-Out Option (“Election Notice”). If CG provides an Election Notice to Kissei, the amount payable by CG to Kissei in consideration for the Buy-Out Option, which shall be the fair market value, shall be determined by a Valuation Firm in accordance with </w:t>
      </w:r>
      <w:r>
        <w:rPr>
          <w:rFonts w:ascii="Times New Roman" w:cs="Times New Roman" w:eastAsia="Times New Roman" w:hAnsi="Times New Roman"/>
          <w:sz w:val="18"/>
          <w:szCs w:val="18"/>
          <w:b w:val="1"/>
          <w:bCs w:val="1"/>
          <w:color w:val="auto"/>
        </w:rPr>
        <w:t>Section 7.5.7(c) (Valuation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Firm) (the “Buy-Out Option Price”)</w:t>
      </w:r>
      <w:r>
        <w:rPr>
          <w:rFonts w:ascii="Times New Roman" w:cs="Times New Roman" w:eastAsia="Times New Roman" w:hAnsi="Times New Roman"/>
          <w:sz w:val="18"/>
          <w:szCs w:val="18"/>
          <w:color w:val="auto"/>
        </w:rPr>
        <w:t>. Following payment of the Buy-Out Option Price, which shall be within [***] from the date when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Buy-Out Option Price is so determined, CG’s obligations under </w:t>
      </w:r>
      <w:r>
        <w:rPr>
          <w:rFonts w:ascii="Times New Roman" w:cs="Times New Roman" w:eastAsia="Times New Roman" w:hAnsi="Times New Roman"/>
          <w:sz w:val="18"/>
          <w:szCs w:val="18"/>
          <w:b w:val="1"/>
          <w:bCs w:val="1"/>
          <w:color w:val="auto"/>
        </w:rPr>
        <w:t>Section 7.5 (Royalty Payments for Products by CG)</w:t>
      </w:r>
      <w:r>
        <w:rPr>
          <w:rFonts w:ascii="Times New Roman" w:cs="Times New Roman" w:eastAsia="Times New Roman" w:hAnsi="Times New Roman"/>
          <w:sz w:val="18"/>
          <w:szCs w:val="18"/>
          <w:color w:val="auto"/>
        </w:rPr>
        <w:t xml:space="preserve"> shall be terminated. CG may exercise the Buy-Out Option right only once during the Term, but CG’s non-exercise of the Buy-Out Option for any particular Change of Control does not waive the Buy-Out Option for any subsequent Change of Control. CG must exercise the Buy-Out Option within [***] after the Change of Control occurs or the Buy-Out Option will be deemed waived solely with respect to that Change of Control.</w:t>
      </w:r>
    </w:p>
    <w:p>
      <w:pPr>
        <w:spacing w:after="0" w:line="183" w:lineRule="exact"/>
        <w:rPr>
          <w:sz w:val="20"/>
          <w:szCs w:val="20"/>
          <w:color w:val="auto"/>
        </w:rPr>
      </w:pPr>
    </w:p>
    <w:p>
      <w:pPr>
        <w:ind w:right="40" w:firstLine="1406"/>
        <w:spacing w:after="0" w:line="251"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Valuation Firm</w:t>
      </w:r>
      <w:r>
        <w:rPr>
          <w:rFonts w:ascii="Times New Roman" w:cs="Times New Roman" w:eastAsia="Times New Roman" w:hAnsi="Times New Roman"/>
          <w:sz w:val="18"/>
          <w:szCs w:val="18"/>
          <w:color w:val="auto"/>
        </w:rPr>
        <w:t>. The Buy-Out Option Price shall be finally determined by a reputable, independent third-party valuation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Firm</w:t>
      </w:r>
      <w:r>
        <w:rPr>
          <w:rFonts w:ascii="Times New Roman" w:cs="Times New Roman" w:eastAsia="Times New Roman" w:hAnsi="Times New Roman"/>
          <w:sz w:val="18"/>
          <w:szCs w:val="18"/>
          <w:color w:val="auto"/>
        </w:rPr>
        <w:t xml:space="preserve">”), at CG’s expense. The Parties shall mutually agree upon a list of no more than [***] valuation firms, and CG shall have the sole right to choose the Valuation Firm from such list; provided that if the Parties, using good faith efforts, cannot agree on a list within [***] of the Election Notice, CG shall choose the Valuation Firm. Prior to disclosing any Confidential Information to the Valuation Firm, CG, alone or in a three-way agreement with Kissei, at Kissei’s reasonable option, shall enter into a confidentiality agreement consistent with </w:t>
      </w:r>
      <w:r>
        <w:rPr>
          <w:rFonts w:ascii="Times New Roman" w:cs="Times New Roman" w:eastAsia="Times New Roman" w:hAnsi="Times New Roman"/>
          <w:sz w:val="18"/>
          <w:szCs w:val="18"/>
          <w:b w:val="1"/>
          <w:bCs w:val="1"/>
          <w:color w:val="auto"/>
        </w:rPr>
        <w:t>Article 10 (Confidentiality)</w:t>
      </w:r>
      <w:r>
        <w:rPr>
          <w:rFonts w:ascii="Times New Roman" w:cs="Times New Roman" w:eastAsia="Times New Roman" w:hAnsi="Times New Roman"/>
          <w:sz w:val="18"/>
          <w:szCs w:val="18"/>
          <w:color w:val="auto"/>
        </w:rPr>
        <w:t xml:space="preserve"> to facilitate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80"/>
          </w:cols>
          <w:pgMar w:left="540" w:top="264" w:right="579" w:bottom="1440" w:gutter="0" w:footer="0" w:header="0"/>
        </w:sectPr>
      </w:pPr>
    </w:p>
    <w:bookmarkStart w:id="495" w:name="page496"/>
    <w:bookmarkEnd w:id="495"/>
    <w:p>
      <w:pPr>
        <w:ind w:right="380"/>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disclosure of information to the Valuation Firm. The Valuation Firm shall develop and deliver a report of evidencing its calculations of the Buy-Out Option Price, in accordance with </w:t>
      </w:r>
      <w:r>
        <w:rPr>
          <w:rFonts w:ascii="Times New Roman" w:cs="Times New Roman" w:eastAsia="Times New Roman" w:hAnsi="Times New Roman"/>
          <w:sz w:val="18"/>
          <w:szCs w:val="18"/>
          <w:b w:val="1"/>
          <w:bCs w:val="1"/>
          <w:color w:val="auto"/>
        </w:rPr>
        <w:t>Section 7.5.7(b)</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right="20" w:firstLine="1406"/>
        <w:spacing w:after="0" w:line="261"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Obligation</w:t>
      </w:r>
      <w:r>
        <w:rPr>
          <w:rFonts w:ascii="Times New Roman" w:cs="Times New Roman" w:eastAsia="Times New Roman" w:hAnsi="Times New Roman"/>
          <w:sz w:val="18"/>
          <w:szCs w:val="18"/>
          <w:color w:val="auto"/>
        </w:rPr>
        <w:t>. CG and the Transacting Party Group shall have no obligation to exercise the Buy-Out Option,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solicitation of information or pricing from a Valuation Firm shall not constitute the Election Notice. CG and the Transacting Party Group shall only have the obligation to pay the Buy-Out Option Price to Kissei once CG or the Transacting Party Group provides the Election Notice to Kissei.</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 TERMS; REPORTS; AUDITS</w:t>
      </w:r>
    </w:p>
    <w:p>
      <w:pPr>
        <w:spacing w:after="0" w:line="217" w:lineRule="exact"/>
        <w:rPr>
          <w:sz w:val="20"/>
          <w:szCs w:val="20"/>
          <w:color w:val="auto"/>
        </w:rPr>
      </w:pPr>
    </w:p>
    <w:p>
      <w:pPr>
        <w:ind w:right="22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Timing of Royalty Payment</w:t>
      </w:r>
      <w:r>
        <w:rPr>
          <w:rFonts w:ascii="Times New Roman" w:cs="Times New Roman" w:eastAsia="Times New Roman" w:hAnsi="Times New Roman"/>
          <w:sz w:val="18"/>
          <w:szCs w:val="18"/>
          <w:color w:val="auto"/>
        </w:rPr>
        <w:t>. All royalty payments shall be made by each Party within [***] of the end of each calendar quarter in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was made.</w:t>
      </w:r>
    </w:p>
    <w:p>
      <w:pPr>
        <w:spacing w:after="0" w:line="160"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Royalty Report</w:t>
      </w:r>
      <w:r>
        <w:rPr>
          <w:rFonts w:ascii="Times New Roman" w:cs="Times New Roman" w:eastAsia="Times New Roman" w:hAnsi="Times New Roman"/>
          <w:sz w:val="18"/>
          <w:szCs w:val="18"/>
          <w:color w:val="auto"/>
        </w:rPr>
        <w:t>. For each calendar quarter for which a Party has an obligation to make royalty payments, such payments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accompanied by a report that specifies for such calendar quarter the following information on a country-by-country basis, in sufficient detail to allow such the other Party to verify the amount of royalties paid with respect to such calendar quarter (“</w:t>
      </w:r>
      <w:r>
        <w:rPr>
          <w:rFonts w:ascii="Times New Roman" w:cs="Times New Roman" w:eastAsia="Times New Roman" w:hAnsi="Times New Roman"/>
          <w:sz w:val="18"/>
          <w:szCs w:val="18"/>
          <w:b w:val="1"/>
          <w:bCs w:val="1"/>
          <w:color w:val="auto"/>
        </w:rPr>
        <w:t>Net Sales Report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   [***];</w:t>
      </w:r>
    </w:p>
    <w:p>
      <w:pPr>
        <w:spacing w:after="0" w:line="21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(ii)   [***]; and</w:t>
      </w:r>
    </w:p>
    <w:p>
      <w:pPr>
        <w:spacing w:after="0" w:line="21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(iii)   [***].</w:t>
      </w:r>
    </w:p>
    <w:p>
      <w:pPr>
        <w:spacing w:after="0" w:line="21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Mode of Payment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If a Party is reporting Net Sales for more than one Product, the foregoing information shall be reported on a Product-by-Product basis</w:t>
      </w:r>
      <w:r>
        <w:rPr>
          <w:rFonts w:ascii="Times New Roman" w:cs="Times New Roman" w:eastAsia="Times New Roman" w:hAnsi="Times New Roman"/>
          <w:sz w:val="18"/>
          <w:szCs w:val="18"/>
          <w:color w:val="auto"/>
        </w:rPr>
        <w:t>. All payments hereunder shall be made in immediately available funds to such account as CG or Kissei, as applicable,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 from time to time.</w:t>
      </w:r>
    </w:p>
    <w:p>
      <w:pPr>
        <w:spacing w:after="0" w:line="173"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Currency of Payments</w:t>
      </w:r>
      <w:r>
        <w:rPr>
          <w:rFonts w:ascii="Times New Roman" w:cs="Times New Roman" w:eastAsia="Times New Roman" w:hAnsi="Times New Roman"/>
          <w:sz w:val="18"/>
          <w:szCs w:val="18"/>
          <w:color w:val="auto"/>
        </w:rPr>
        <w:t>. All payments under this Agreement shall be made in US dollars. The portion of Net Sales outside of the US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determined in the currency in which they are earned and shall then be converted into an amount in US dollars as follows: (i) with respect to sales by or on behalf of a Party or its Affiliates, using the selling-Party’s customary and usual conversion procedures, to the extent consistent with the then-current Accounting Standard and consistently applied, and (ii) with respect to sales of a Product by or on behalf of a given sublicensee, using the conversion procedures applicable to payments by such sublicensee to Kissei or CG, as applicable, for such sales, provided, that such procedures are reasonable and consistent with industry standards.</w:t>
      </w:r>
    </w:p>
    <w:p>
      <w:pPr>
        <w:spacing w:after="0" w:line="185"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Blocked Currency</w:t>
      </w:r>
      <w:r>
        <w:rPr>
          <w:rFonts w:ascii="Times New Roman" w:cs="Times New Roman" w:eastAsia="Times New Roman" w:hAnsi="Times New Roman"/>
          <w:sz w:val="18"/>
          <w:szCs w:val="18"/>
          <w:color w:val="auto"/>
        </w:rPr>
        <w:t>. If, at any time, legal restrictions prevent a Party from remitting part or all of royalty payments when due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country where Products are sold, such Party shall continue to provide Net Sales Reports for such royalty payments, and such royalty payments shall continue to accrue in such country, but such Party shall not be obligated to make such royalty payments until such time as payment may be made through reasonable, lawful means or methods that may be available, as the Parties mutually agree.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00"/>
          </w:cols>
          <w:pgMar w:left="540" w:top="267" w:right="559" w:bottom="1440" w:gutter="0" w:footer="0" w:header="0"/>
        </w:sectPr>
      </w:pPr>
    </w:p>
    <w:bookmarkStart w:id="496" w:name="page497"/>
    <w:bookmarkEnd w:id="496"/>
    <w:p>
      <w:pPr>
        <w:ind w:firstLine="432"/>
        <w:spacing w:after="0" w:line="275"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8.6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Late Payment</w:t>
      </w:r>
      <w:r>
        <w:rPr>
          <w:rFonts w:ascii="Times New Roman" w:cs="Times New Roman" w:eastAsia="Times New Roman" w:hAnsi="Times New Roman"/>
          <w:sz w:val="17"/>
          <w:szCs w:val="17"/>
          <w:color w:val="auto"/>
        </w:rPr>
        <w:t>. Any payments or portions thereof due hereunder which are not paid when due shall bear interest equal to the lesser of (a)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rate equal to the Effective Federal Funds Rate (EFFR) effective for the date that payment was due, as published by The Wall Street Journal on its website at www.wsj.com on the date such payment was due, plus an additional [***], or (b) the maximum rate permitted by Applicable Law, calculated on the number of days such payment is delinquent. This </w:t>
      </w:r>
      <w:r>
        <w:rPr>
          <w:rFonts w:ascii="Times New Roman" w:cs="Times New Roman" w:eastAsia="Times New Roman" w:hAnsi="Times New Roman"/>
          <w:sz w:val="17"/>
          <w:szCs w:val="17"/>
          <w:b w:val="1"/>
          <w:bCs w:val="1"/>
          <w:color w:val="auto"/>
        </w:rPr>
        <w:t>Section 8.6 (Late Payment)</w:t>
      </w:r>
      <w:r>
        <w:rPr>
          <w:rFonts w:ascii="Times New Roman" w:cs="Times New Roman" w:eastAsia="Times New Roman" w:hAnsi="Times New Roman"/>
          <w:sz w:val="17"/>
          <w:szCs w:val="17"/>
          <w:color w:val="auto"/>
        </w:rPr>
        <w:t xml:space="preserve"> shall in no way limit any other remedies available to either Party.</w:t>
      </w:r>
    </w:p>
    <w:p>
      <w:pPr>
        <w:spacing w:after="0" w:line="164" w:lineRule="exact"/>
        <w:rPr>
          <w:sz w:val="20"/>
          <w:szCs w:val="20"/>
          <w:color w:val="auto"/>
        </w:rPr>
      </w:pPr>
    </w:p>
    <w:p>
      <w:pPr>
        <w:ind w:firstLine="432"/>
        <w:spacing w:after="0" w:line="248" w:lineRule="auto"/>
        <w:rPr>
          <w:sz w:val="20"/>
          <w:szCs w:val="20"/>
          <w:color w:val="auto"/>
        </w:rPr>
      </w:pPr>
      <w:r>
        <w:rPr>
          <w:rFonts w:ascii="Times New Roman" w:cs="Times New Roman" w:eastAsia="Times New Roman" w:hAnsi="Times New Roman"/>
          <w:sz w:val="18"/>
          <w:szCs w:val="18"/>
          <w:b w:val="1"/>
          <w:bCs w:val="1"/>
          <w:color w:val="auto"/>
        </w:rPr>
        <w:t>8.7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Taxes</w:t>
      </w:r>
      <w:r>
        <w:rPr>
          <w:rFonts w:ascii="Times New Roman" w:cs="Times New Roman" w:eastAsia="Times New Roman" w:hAnsi="Times New Roman"/>
          <w:sz w:val="18"/>
          <w:szCs w:val="18"/>
          <w:color w:val="auto"/>
        </w:rPr>
        <w:t>. Each Party shall comply with Applicable Laws and regulations regarding filing and reporting for tax purposes. Neither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 their relationship under this Agreement as a pass through entity for tax purposes. All payments made under this Agreement shall be made free and clear of any and all taxes, duties, levies, fees or other charges, except for withholding taxes and VAT. Each Party, as the Party making royalty payments, shall be entitled to deduct from those royalty payments made under this Agreement the amount of any withholding taxes required to be withheld, to the extent paid to the appropriate governmental authority on behalf of the other Party (and not refunded or reimbursed). Official receipts of payment of any withholding tax shall be secured and sent to the recipient of royalty payments as evidence of such tax payment. The Parties will exercise Commercially Reasonable Efforts to ensure that any withholding taxes imposed are reduced as far as possible under the provisions of any applicable tax treaty. Each Party shall provide reasonable assistance to the other Party in seeking any benefits available to it with respect to government tax withholdings by any relevant law, regulation or double tax treaty. Both Parties agree that under the applicable tax treaty as of the Effective Date, no withholding taxes are due between the US and Japan on any amounts due hereunder, provided that the appropriate procedures are taken by the Parties. All payments made under this Agreement shall be exclusive of VAT (if applicable) and such VAT shall be paid promptly by the Party making the payment on receipt of a valid VAT invoice. Notwithstanding the foregoing, if as a result of either Party assigning this Agreement or changing its domicile, additional taxes become due that would not have otherwise been due hereunder with respect to payments hereunder, such Party shall be responsible for all such additional taxes and shall pay the other Party such amounts as are necessary to ensure that the other Party receives the same amount as it would have received had no such assignment or change in domicile been made.</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Records; Inspection</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18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8.8.1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Records</w:t>
      </w:r>
      <w:r>
        <w:rPr>
          <w:rFonts w:ascii="Times New Roman" w:cs="Times New Roman" w:eastAsia="Times New Roman" w:hAnsi="Times New Roman"/>
          <w:sz w:val="18"/>
          <w:szCs w:val="18"/>
          <w:color w:val="auto"/>
        </w:rPr>
        <w:t>. Each Party agrees to keep, and to cause its Affiliates and sublicensees to keep, for [***] from the year of creation,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complete and accurate records of all sales of Products for each reporting period in which royalty payments are due, showing sales of Products by such Person and applicable deductions in sufficient detail to enable the report provided under </w:t>
      </w:r>
      <w:r>
        <w:rPr>
          <w:rFonts w:ascii="Times New Roman" w:cs="Times New Roman" w:eastAsia="Times New Roman" w:hAnsi="Times New Roman"/>
          <w:sz w:val="18"/>
          <w:szCs w:val="18"/>
          <w:b w:val="1"/>
          <w:bCs w:val="1"/>
          <w:color w:val="auto"/>
        </w:rPr>
        <w:t>Section 8.2 (Royalty Report)</w:t>
      </w:r>
      <w:r>
        <w:rPr>
          <w:rFonts w:ascii="Times New Roman" w:cs="Times New Roman" w:eastAsia="Times New Roman" w:hAnsi="Times New Roman"/>
          <w:sz w:val="18"/>
          <w:szCs w:val="18"/>
          <w:color w:val="auto"/>
        </w:rPr>
        <w:t xml:space="preserve"> to be verified.</w:t>
      </w:r>
    </w:p>
    <w:p>
      <w:pPr>
        <w:spacing w:after="0" w:line="173" w:lineRule="exact"/>
        <w:rPr>
          <w:sz w:val="20"/>
          <w:szCs w:val="20"/>
          <w:color w:val="auto"/>
        </w:rPr>
      </w:pPr>
    </w:p>
    <w:p>
      <w:pPr>
        <w:ind w:right="42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8.8.2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Audits</w:t>
      </w:r>
      <w:r>
        <w:rPr>
          <w:rFonts w:ascii="Times New Roman" w:cs="Times New Roman" w:eastAsia="Times New Roman" w:hAnsi="Times New Roman"/>
          <w:sz w:val="18"/>
          <w:szCs w:val="18"/>
          <w:color w:val="auto"/>
        </w:rPr>
        <w:t>. Each Party shall have the right to request that the other Party’s report be verified by an independent, certified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internationally recognized public accounting firm selected by the auditing-Party and acceptable to the other Party (the “</w:t>
      </w:r>
      <w:r>
        <w:rPr>
          <w:rFonts w:ascii="Times New Roman" w:cs="Times New Roman" w:eastAsia="Times New Roman" w:hAnsi="Times New Roman"/>
          <w:sz w:val="18"/>
          <w:szCs w:val="18"/>
          <w:b w:val="1"/>
          <w:bCs w:val="1"/>
          <w:color w:val="auto"/>
        </w:rPr>
        <w:t>CPA Firm</w:t>
      </w:r>
      <w:r>
        <w:rPr>
          <w:rFonts w:ascii="Times New Roman" w:cs="Times New Roman" w:eastAsia="Times New Roman" w:hAnsi="Times New Roman"/>
          <w:sz w:val="18"/>
          <w:szCs w:val="18"/>
          <w:color w:val="auto"/>
        </w:rPr>
        <w:t>”). Such right to request a verified report shall (i) be limited to the [***] during which the Party or its Affiliate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780"/>
          </w:cols>
          <w:pgMar w:left="540" w:top="265" w:right="579" w:bottom="1440" w:gutter="0" w:footer="0" w:header="0"/>
        </w:sectPr>
      </w:pPr>
    </w:p>
    <w:bookmarkStart w:id="497" w:name="page498"/>
    <w:bookmarkEnd w:id="497"/>
    <w:p>
      <w:pPr>
        <w:ind w:left="2"/>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or sublicensee is required to maintain records with respect to the same, (ii) not be exercised more than [***], (iii) be exercised only up [***], and (iv) be exercised only for a full calendar year(s), not portions thereof. Subject to </w:t>
      </w:r>
      <w:r>
        <w:rPr>
          <w:rFonts w:ascii="Times New Roman" w:cs="Times New Roman" w:eastAsia="Times New Roman" w:hAnsi="Times New Roman"/>
          <w:sz w:val="17"/>
          <w:szCs w:val="17"/>
          <w:b w:val="1"/>
          <w:bCs w:val="1"/>
          <w:color w:val="auto"/>
        </w:rPr>
        <w:t>Section 8.8.3 (Confidentiality)</w:t>
      </w:r>
      <w:r>
        <w:rPr>
          <w:rFonts w:ascii="Times New Roman" w:cs="Times New Roman" w:eastAsia="Times New Roman" w:hAnsi="Times New Roman"/>
          <w:sz w:val="17"/>
          <w:szCs w:val="17"/>
          <w:color w:val="auto"/>
        </w:rPr>
        <w:t>, a Party shall, upon timely request and at least</w:t>
      </w:r>
    </w:p>
    <w:p>
      <w:pPr>
        <w:ind w:left="2" w:right="60" w:hanging="2"/>
        <w:spacing w:after="0" w:line="264" w:lineRule="auto"/>
        <w:tabs>
          <w:tab w:leader="none" w:pos="429"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advance notice from the auditing-Party and at a mutually agreeable time during its regular business hours, make its and its Affiliates’ and sublicensees’ records available for inspection by such CPA Firm at such place or places where such records are customarily kept, solely to verify the accuracy of the reports provided under </w:t>
      </w:r>
      <w:r>
        <w:rPr>
          <w:rFonts w:ascii="Times New Roman" w:cs="Times New Roman" w:eastAsia="Times New Roman" w:hAnsi="Times New Roman"/>
          <w:sz w:val="17"/>
          <w:szCs w:val="17"/>
          <w:b w:val="1"/>
          <w:bCs w:val="1"/>
          <w:color w:val="auto"/>
        </w:rPr>
        <w:t>Section 8.2 (Royalty Report)</w:t>
      </w:r>
      <w:r>
        <w:rPr>
          <w:rFonts w:ascii="Times New Roman" w:cs="Times New Roman" w:eastAsia="Times New Roman" w:hAnsi="Times New Roman"/>
          <w:sz w:val="17"/>
          <w:szCs w:val="17"/>
          <w:color w:val="auto"/>
        </w:rPr>
        <w:t xml:space="preserve"> and related payments due under this Agreement. The CPA Firm shall only state factual findings in the audit reports. The CPA Firm shall share all draft audit reports with the audited-Party before the draft audit report is shared with the auditing-Party and before the final document is issued. The final audit report shall be shared with the audited-Party at the same time that it is shared with auditing-Party. Absent clear error, the findings of any such inspection, including the final audit report, shall be binding on both Parties.</w:t>
      </w:r>
    </w:p>
    <w:p>
      <w:pPr>
        <w:spacing w:after="0" w:line="172" w:lineRule="exact"/>
        <w:rPr>
          <w:sz w:val="20"/>
          <w:szCs w:val="20"/>
          <w:color w:val="auto"/>
        </w:rPr>
      </w:pPr>
    </w:p>
    <w:p>
      <w:pPr>
        <w:ind w:left="2" w:right="20" w:firstLine="973"/>
        <w:spacing w:after="0" w:line="273" w:lineRule="auto"/>
        <w:rPr>
          <w:sz w:val="20"/>
          <w:szCs w:val="20"/>
          <w:color w:val="auto"/>
        </w:rPr>
      </w:pPr>
      <w:r>
        <w:rPr>
          <w:rFonts w:ascii="Times New Roman" w:cs="Times New Roman" w:eastAsia="Times New Roman" w:hAnsi="Times New Roman"/>
          <w:sz w:val="17"/>
          <w:szCs w:val="17"/>
          <w:b w:val="1"/>
          <w:bCs w:val="1"/>
          <w:color w:val="auto"/>
        </w:rPr>
        <w:t>8.8.3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Confidentiality</w:t>
      </w:r>
      <w:r>
        <w:rPr>
          <w:rFonts w:ascii="Times New Roman" w:cs="Times New Roman" w:eastAsia="Times New Roman" w:hAnsi="Times New Roman"/>
          <w:sz w:val="17"/>
          <w:szCs w:val="17"/>
          <w:color w:val="auto"/>
        </w:rPr>
        <w:t>. Prior to any audit under</w:t>
      </w:r>
      <w:r>
        <w:rPr>
          <w:rFonts w:ascii="Times New Roman" w:cs="Times New Roman" w:eastAsia="Times New Roman" w:hAnsi="Times New Roman"/>
          <w:sz w:val="17"/>
          <w:szCs w:val="17"/>
          <w:b w:val="1"/>
          <w:bCs w:val="1"/>
          <w:color w:val="auto"/>
        </w:rPr>
        <w:t xml:space="preserve"> Section 8.8.2 (Audits)</w:t>
      </w:r>
      <w:r>
        <w:rPr>
          <w:rFonts w:ascii="Times New Roman" w:cs="Times New Roman" w:eastAsia="Times New Roman" w:hAnsi="Times New Roman"/>
          <w:sz w:val="17"/>
          <w:szCs w:val="17"/>
          <w:color w:val="auto"/>
        </w:rPr>
        <w:t>, the CPA Firm shall enter into a written confidentiality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with the audited-Party that (i) limits the CPA Firm’s use of the audited-Party’s records to the verification purpose described in </w:t>
      </w:r>
      <w:r>
        <w:rPr>
          <w:rFonts w:ascii="Times New Roman" w:cs="Times New Roman" w:eastAsia="Times New Roman" w:hAnsi="Times New Roman"/>
          <w:sz w:val="17"/>
          <w:szCs w:val="17"/>
          <w:b w:val="1"/>
          <w:bCs w:val="1"/>
          <w:color w:val="auto"/>
        </w:rPr>
        <w:t>Section 8.8.2 (Audits)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2" w:right="180" w:hanging="2"/>
        <w:spacing w:after="0" w:line="247" w:lineRule="auto"/>
        <w:tabs>
          <w:tab w:leader="none" w:pos="262"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limits the information that the CPA Firm may disclose to the auditing-Party to the numerical summary of payments due and paid, whether the payments subject to such audit are correct or incorrect and the specific details concerning any discrepancies; and (iii) prohibits the disclosure of any information contained in such records to any Third Party for any purpose. The Parties agree that all information subject to review under </w:t>
      </w:r>
      <w:r>
        <w:rPr>
          <w:rFonts w:ascii="Times New Roman" w:cs="Times New Roman" w:eastAsia="Times New Roman" w:hAnsi="Times New Roman"/>
          <w:sz w:val="18"/>
          <w:szCs w:val="18"/>
          <w:b w:val="1"/>
          <w:bCs w:val="1"/>
          <w:color w:val="auto"/>
        </w:rPr>
        <w:t>Section 8.8.2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(Audits) </w:t>
      </w:r>
      <w:r>
        <w:rPr>
          <w:rFonts w:ascii="Times New Roman" w:cs="Times New Roman" w:eastAsia="Times New Roman" w:hAnsi="Times New Roman"/>
          <w:sz w:val="18"/>
          <w:szCs w:val="18"/>
          <w:color w:val="auto"/>
        </w:rPr>
        <w:t>and/or provided by the CPA Firm to the auditing-Party is the audited-Party’s Confidential Information.</w:t>
      </w:r>
    </w:p>
    <w:p>
      <w:pPr>
        <w:spacing w:after="0" w:line="187" w:lineRule="exact"/>
        <w:rPr>
          <w:sz w:val="20"/>
          <w:szCs w:val="20"/>
          <w:color w:val="auto"/>
        </w:rPr>
      </w:pPr>
    </w:p>
    <w:p>
      <w:pPr>
        <w:ind w:left="2" w:right="120" w:firstLine="973"/>
        <w:spacing w:after="0" w:line="250" w:lineRule="auto"/>
        <w:rPr>
          <w:sz w:val="20"/>
          <w:szCs w:val="20"/>
          <w:color w:val="auto"/>
        </w:rPr>
      </w:pPr>
      <w:r>
        <w:rPr>
          <w:rFonts w:ascii="Times New Roman" w:cs="Times New Roman" w:eastAsia="Times New Roman" w:hAnsi="Times New Roman"/>
          <w:sz w:val="18"/>
          <w:szCs w:val="18"/>
          <w:b w:val="1"/>
          <w:bCs w:val="1"/>
          <w:color w:val="auto"/>
        </w:rPr>
        <w:t>8.8.4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Underpayment; Overpayment</w:t>
      </w:r>
      <w:r>
        <w:rPr>
          <w:rFonts w:ascii="Times New Roman" w:cs="Times New Roman" w:eastAsia="Times New Roman" w:hAnsi="Times New Roman"/>
          <w:sz w:val="18"/>
          <w:szCs w:val="18"/>
          <w:color w:val="auto"/>
        </w:rPr>
        <w:t>. After reviewing the CPA Firm’s audit report, the audited-Party shall promptly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uncontested, understated amounts due to the auditing-Party, together with interest thereon, calculated as set forth in </w:t>
      </w:r>
      <w:r>
        <w:rPr>
          <w:rFonts w:ascii="Times New Roman" w:cs="Times New Roman" w:eastAsia="Times New Roman" w:hAnsi="Times New Roman"/>
          <w:sz w:val="18"/>
          <w:szCs w:val="18"/>
          <w:b w:val="1"/>
          <w:bCs w:val="1"/>
          <w:color w:val="auto"/>
        </w:rPr>
        <w:t>Section 8.6 (Late Payment)</w:t>
      </w:r>
      <w:r>
        <w:rPr>
          <w:rFonts w:ascii="Times New Roman" w:cs="Times New Roman" w:eastAsia="Times New Roman" w:hAnsi="Times New Roman"/>
          <w:sz w:val="18"/>
          <w:szCs w:val="18"/>
          <w:color w:val="auto"/>
        </w:rPr>
        <w:t xml:space="preserve">. Any overpayment made by the audited-Party shall be promptly refunded or fully creditable against amounts payable in subsequent payment periods, at the audited-Party’s election. Any audit under </w:t>
      </w:r>
      <w:r>
        <w:rPr>
          <w:rFonts w:ascii="Times New Roman" w:cs="Times New Roman" w:eastAsia="Times New Roman" w:hAnsi="Times New Roman"/>
          <w:sz w:val="18"/>
          <w:szCs w:val="18"/>
          <w:b w:val="1"/>
          <w:bCs w:val="1"/>
          <w:color w:val="auto"/>
        </w:rPr>
        <w:t>Section 8.8.2 (Audits)</w:t>
      </w:r>
      <w:r>
        <w:rPr>
          <w:rFonts w:ascii="Times New Roman" w:cs="Times New Roman" w:eastAsia="Times New Roman" w:hAnsi="Times New Roman"/>
          <w:sz w:val="18"/>
          <w:szCs w:val="18"/>
          <w:color w:val="auto"/>
        </w:rPr>
        <w:t xml:space="preserve"> shall be at the auditing-Party’s expense; provided, however, the audited-Party shall reimburse reasonable audit fees and other out-of-pocket costs actually incurred by the auditing Party for a given audit if the results of such audit reveal that the audited-Party underpaid the auditing-Party, as applicable, with respect to the royalty payments, by [***] or more of the aggregate amount of such payments due for the audited calendar year(s) (for the avoidance of doubt, such audit calendar year shall consist of four (4) full fiscal quarters); provided, that such amount exceeds [***].</w:t>
      </w:r>
    </w:p>
    <w:p>
      <w:pPr>
        <w:spacing w:after="0" w:line="183" w:lineRule="exact"/>
        <w:rPr>
          <w:sz w:val="20"/>
          <w:szCs w:val="20"/>
          <w:color w:val="auto"/>
        </w:rPr>
      </w:pPr>
    </w:p>
    <w:p>
      <w:pPr>
        <w:ind w:left="2" w:right="2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8.8.5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Duration</w:t>
      </w:r>
      <w:r>
        <w:rPr>
          <w:rFonts w:ascii="Times New Roman" w:cs="Times New Roman" w:eastAsia="Times New Roman" w:hAnsi="Times New Roman"/>
          <w:sz w:val="18"/>
          <w:szCs w:val="18"/>
          <w:color w:val="auto"/>
        </w:rPr>
        <w:t>. If a Party does not request an audit of a Net Sales Report within the period during which corresponding records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maintained by the other Party under </w:t>
      </w:r>
      <w:r>
        <w:rPr>
          <w:rFonts w:ascii="Times New Roman" w:cs="Times New Roman" w:eastAsia="Times New Roman" w:hAnsi="Times New Roman"/>
          <w:sz w:val="18"/>
          <w:szCs w:val="18"/>
          <w:b w:val="1"/>
          <w:bCs w:val="1"/>
          <w:color w:val="auto"/>
        </w:rPr>
        <w:t>Section 8.8.1 (Records)</w:t>
      </w:r>
      <w:r>
        <w:rPr>
          <w:rFonts w:ascii="Times New Roman" w:cs="Times New Roman" w:eastAsia="Times New Roman" w:hAnsi="Times New Roman"/>
          <w:sz w:val="18"/>
          <w:szCs w:val="18"/>
          <w:color w:val="auto"/>
        </w:rPr>
        <w:t>, then the Party in receipt of royalty payments shall be conclusively deemed to have accepted such Net Sales Report and the corresponding royalty payments as final and accurate.</w:t>
      </w:r>
    </w:p>
    <w:p>
      <w:pPr>
        <w:spacing w:after="0" w:line="173" w:lineRule="exact"/>
        <w:rPr>
          <w:sz w:val="20"/>
          <w:szCs w:val="20"/>
          <w:color w:val="auto"/>
        </w:rPr>
      </w:pPr>
    </w:p>
    <w:p>
      <w:pPr>
        <w:ind w:left="2" w:right="28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Acknowledgement</w:t>
      </w:r>
      <w:r>
        <w:rPr>
          <w:rFonts w:ascii="Times New Roman" w:cs="Times New Roman" w:eastAsia="Times New Roman" w:hAnsi="Times New Roman"/>
          <w:sz w:val="18"/>
          <w:szCs w:val="18"/>
          <w:color w:val="auto"/>
        </w:rPr>
        <w:t>. The Parties acknowledge that the economic terms and conditions set forth herein were negotiated and agreed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 a fair and equitable allocation of the value of the Product(s) for the Field in the Territory and the CG Territory. The</w:t>
      </w:r>
    </w:p>
    <w:p>
      <w:pPr>
        <w:spacing w:after="0" w:line="96"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62"/>
          </w:cols>
          <w:pgMar w:left="538" w:top="267" w:right="599" w:bottom="1440" w:gutter="0" w:footer="0" w:header="0"/>
        </w:sectPr>
      </w:pPr>
    </w:p>
    <w:bookmarkStart w:id="498" w:name="page499"/>
    <w:bookmarkEnd w:id="498"/>
    <w:p>
      <w:pPr>
        <w:ind w:right="180"/>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Parties further acknowledge that there is considerable value in the CG IP and CG’s interest in Joint Collaboration IP (including any Know-How in any of the foregoing) that is consistent with the economic terms and conditions herein.</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 OWNERSHIP</w:t>
      </w:r>
    </w:p>
    <w:p>
      <w:pPr>
        <w:spacing w:after="0" w:line="217" w:lineRule="exact"/>
        <w:rPr>
          <w:sz w:val="20"/>
          <w:szCs w:val="20"/>
          <w:color w:val="auto"/>
        </w:rPr>
      </w:pPr>
    </w:p>
    <w:p>
      <w:pPr>
        <w:ind w:right="98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w:t>
      </w:r>
      <w:r>
        <w:rPr>
          <w:rFonts w:ascii="Times New Roman" w:cs="Times New Roman" w:eastAsia="Times New Roman" w:hAnsi="Times New Roman"/>
          <w:sz w:val="18"/>
          <w:szCs w:val="18"/>
          <w:color w:val="auto"/>
        </w:rPr>
        <w:t>. As between the Parties, CG will own the entire right, title and interest in, to and under the CG IP (including, as set forth in</w:t>
      </w:r>
      <w:r>
        <w:rPr>
          <w:rFonts w:ascii="Times New Roman" w:cs="Times New Roman" w:eastAsia="Times New Roman" w:hAnsi="Times New Roman"/>
          <w:sz w:val="18"/>
          <w:szCs w:val="18"/>
          <w:b w:val="1"/>
          <w:bCs w:val="1"/>
          <w:color w:val="auto"/>
        </w:rPr>
        <w:t xml:space="preserve"> Section 9.4.1 (Ownership)</w:t>
      </w:r>
      <w:r>
        <w:rPr>
          <w:rFonts w:ascii="Times New Roman" w:cs="Times New Roman" w:eastAsia="Times New Roman" w:hAnsi="Times New Roman"/>
          <w:sz w:val="18"/>
          <w:szCs w:val="18"/>
          <w:color w:val="auto"/>
        </w:rPr>
        <w:t>) and CG Collaboration IP, subject to the licenses granted to Kissei herein.</w:t>
      </w:r>
    </w:p>
    <w:p>
      <w:pPr>
        <w:spacing w:after="0" w:line="160" w:lineRule="exact"/>
        <w:rPr>
          <w:sz w:val="20"/>
          <w:szCs w:val="20"/>
          <w:color w:val="auto"/>
        </w:rPr>
      </w:pPr>
    </w:p>
    <w:p>
      <w:pPr>
        <w:ind w:right="40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Kissei</w:t>
      </w:r>
      <w:r>
        <w:rPr>
          <w:rFonts w:ascii="Times New Roman" w:cs="Times New Roman" w:eastAsia="Times New Roman" w:hAnsi="Times New Roman"/>
          <w:sz w:val="18"/>
          <w:szCs w:val="18"/>
          <w:color w:val="auto"/>
        </w:rPr>
        <w:t>. As between the Parties, Kissei will own the entire right, title and interest in, to and under the Kissei IP (including, as set forth in</w:t>
      </w:r>
      <w:r>
        <w:rPr>
          <w:rFonts w:ascii="Times New Roman" w:cs="Times New Roman" w:eastAsia="Times New Roman" w:hAnsi="Times New Roman"/>
          <w:sz w:val="18"/>
          <w:szCs w:val="18"/>
          <w:b w:val="1"/>
          <w:bCs w:val="1"/>
          <w:color w:val="auto"/>
        </w:rPr>
        <w:t xml:space="preserve"> Section 9.4.1 (Ownership)</w:t>
      </w:r>
      <w:r>
        <w:rPr>
          <w:rFonts w:ascii="Times New Roman" w:cs="Times New Roman" w:eastAsia="Times New Roman" w:hAnsi="Times New Roman"/>
          <w:sz w:val="18"/>
          <w:szCs w:val="18"/>
          <w:color w:val="auto"/>
        </w:rPr>
        <w:t>) and Kissei Collaboration IP, subject to the licenses granted to CG herein.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Inventorship; CREATE Act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9.3.1</w:t>
      </w:r>
      <w:r>
        <w:rPr>
          <w:rFonts w:ascii="Times New Roman" w:cs="Times New Roman" w:eastAsia="Times New Roman" w:hAnsi="Times New Roman"/>
          <w:sz w:val="18"/>
          <w:szCs w:val="18"/>
          <w:color w:val="auto"/>
        </w:rPr>
        <w:t xml:space="preserve">  Inventorship of inventions and discoveries (including Know-How) first conceived or made in the conduct of activities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Program or otherwise under this Agreement will be determined in accordance with United States patent laws for determining inventorship, irrespective of whether such invention or discovery is patentable or incorporated into a patent application.</w:t>
      </w:r>
    </w:p>
    <w:p>
      <w:pPr>
        <w:spacing w:after="0" w:line="173" w:lineRule="exact"/>
        <w:rPr>
          <w:sz w:val="20"/>
          <w:szCs w:val="20"/>
          <w:color w:val="auto"/>
        </w:rPr>
      </w:pPr>
    </w:p>
    <w:p>
      <w:pPr>
        <w:ind w:right="40"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9.3.2</w:t>
      </w:r>
      <w:r>
        <w:rPr>
          <w:rFonts w:ascii="Times New Roman" w:cs="Times New Roman" w:eastAsia="Times New Roman" w:hAnsi="Times New Roman"/>
          <w:sz w:val="18"/>
          <w:szCs w:val="18"/>
          <w:color w:val="auto"/>
        </w:rPr>
        <w:t xml:space="preserve">  Notwithstanding anything to the contrary in this Agreement, each Party will have the right to invoke the Cooperative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Enhancement Act of 2004, 35 U.S.C. § 103(c)(2)-(c)(3) (as amended from time to time, the “</w:t>
      </w: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when exercising its rights under this Agreement. If a Party intends to invoke the CREATE Act, it will notify the other Party and the other Party will cooperate and coordinate its activities with such Party with respect to filings or other activities in support thereof. The Parties acknowledge and agree that this Agreement is a “joint research agreement” as defined in the CREATE Act.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Ownership; Collaboration IP; Rights of Joint Owners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9.4.1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Ownership</w:t>
      </w:r>
      <w:r>
        <w:rPr>
          <w:rFonts w:ascii="Times New Roman" w:cs="Times New Roman" w:eastAsia="Times New Roman" w:hAnsi="Times New Roman"/>
          <w:sz w:val="18"/>
          <w:szCs w:val="18"/>
          <w:color w:val="auto"/>
        </w:rPr>
        <w:t>. Ownership of Collaboration IP will follow inventorship, where (a) CG will own the entire right, title and interest in,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under the CG Collaboration IP, subject to the licenses granted to Kissei herein; (b) Kissei will own the entire right, title and interest in, to and under the Kissei Collaboration IP, subject to the licenses granted to CG herein; and (c) subject to </w:t>
      </w:r>
      <w:r>
        <w:rPr>
          <w:rFonts w:ascii="Times New Roman" w:cs="Times New Roman" w:eastAsia="Times New Roman" w:hAnsi="Times New Roman"/>
          <w:sz w:val="18"/>
          <w:szCs w:val="18"/>
          <w:b w:val="1"/>
          <w:bCs w:val="1"/>
          <w:color w:val="auto"/>
        </w:rPr>
        <w:t>Section 9.5 (Rights of Joint Owners)</w:t>
      </w:r>
      <w:r>
        <w:rPr>
          <w:rFonts w:ascii="Times New Roman" w:cs="Times New Roman" w:eastAsia="Times New Roman" w:hAnsi="Times New Roman"/>
          <w:sz w:val="18"/>
          <w:szCs w:val="18"/>
          <w:color w:val="auto"/>
        </w:rPr>
        <w:t>, the Parties will jointly own the entire right, title and interest in, to and under the Joint Collaboration IP.</w:t>
      </w:r>
    </w:p>
    <w:p>
      <w:pPr>
        <w:spacing w:after="0" w:line="177" w:lineRule="exact"/>
        <w:rPr>
          <w:sz w:val="20"/>
          <w:szCs w:val="20"/>
          <w:color w:val="auto"/>
        </w:rPr>
      </w:pPr>
    </w:p>
    <w:p>
      <w:pPr>
        <w:ind w:right="44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9.4.2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Cooperation</w:t>
      </w:r>
      <w:r>
        <w:rPr>
          <w:rFonts w:ascii="Times New Roman" w:cs="Times New Roman" w:eastAsia="Times New Roman" w:hAnsi="Times New Roman"/>
          <w:sz w:val="18"/>
          <w:szCs w:val="18"/>
          <w:color w:val="auto"/>
        </w:rPr>
        <w:t>. Each Party agrees to cooperate with the other Party, including executing documents and making its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and agents available, as necessary to accomplish the foregoing.</w:t>
      </w:r>
    </w:p>
    <w:p>
      <w:pPr>
        <w:spacing w:after="0" w:line="160" w:lineRule="exact"/>
        <w:rPr>
          <w:sz w:val="20"/>
          <w:szCs w:val="20"/>
          <w:color w:val="auto"/>
        </w:rPr>
      </w:pPr>
    </w:p>
    <w:p>
      <w:pPr>
        <w:ind w:right="12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9.4.3</w:t>
      </w:r>
      <w:r>
        <w:rPr>
          <w:rFonts w:ascii="Times New Roman" w:cs="Times New Roman" w:eastAsia="Times New Roman" w:hAnsi="Times New Roman"/>
          <w:sz w:val="18"/>
          <w:szCs w:val="18"/>
          <w:color w:val="auto"/>
        </w:rPr>
        <w:t xml:space="preserve">  Each employee, agent or consultant working on behalf of a Party in the performance of activities under this Agreement is, 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prior to the performance of any such activities under this Agreement, contractually bound to (i) assign to such Party all of its, his or her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00"/>
          </w:cols>
          <w:pgMar w:left="540" w:top="266" w:right="559" w:bottom="1440" w:gutter="0" w:footer="0" w:header="0"/>
        </w:sectPr>
      </w:pPr>
    </w:p>
    <w:bookmarkStart w:id="499" w:name="page500"/>
    <w:bookmarkEnd w:id="499"/>
    <w:p>
      <w:pPr>
        <w:ind w:left="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right, title and interest in and to any intellectual property, Patents and/or Know-How arising from activities performed by such employee, agent or consultant under this Agreement, and (ii) comply with written confidentiality and non-use obligations that are at least as protective of the other Party and the Confidential Information of the other Party as those set forth in </w:t>
      </w:r>
      <w:r>
        <w:rPr>
          <w:rFonts w:ascii="Times New Roman" w:cs="Times New Roman" w:eastAsia="Times New Roman" w:hAnsi="Times New Roman"/>
          <w:sz w:val="18"/>
          <w:szCs w:val="18"/>
          <w:b w:val="1"/>
          <w:bCs w:val="1"/>
          <w:color w:val="auto"/>
        </w:rPr>
        <w:t>Article 10 (Confidentiality)</w:t>
      </w:r>
      <w:r>
        <w:rPr>
          <w:rFonts w:ascii="Times New Roman" w:cs="Times New Roman" w:eastAsia="Times New Roman" w:hAnsi="Times New Roman"/>
          <w:sz w:val="18"/>
          <w:szCs w:val="18"/>
          <w:color w:val="auto"/>
        </w:rPr>
        <w:t>. Each Party shall use commercially reasonable efforts to obtain from any other Third Party working on behalf of a Party in the performance of activities under this Agreement (e.g., any subcontractor, sublicensee, collaborator or service provider) written obligations with respect to assignment of intellectual property rights, confidentiality and non-use substantially similar to those set forth in the preceding sentence.</w:t>
      </w:r>
    </w:p>
    <w:p>
      <w:pPr>
        <w:spacing w:after="0" w:line="183" w:lineRule="exact"/>
        <w:rPr>
          <w:sz w:val="20"/>
          <w:szCs w:val="20"/>
          <w:color w:val="auto"/>
        </w:rPr>
      </w:pPr>
    </w:p>
    <w:p>
      <w:pPr>
        <w:ind w:left="2" w:right="40" w:firstLine="432"/>
        <w:spacing w:after="0" w:line="249" w:lineRule="auto"/>
        <w:rPr>
          <w:sz w:val="20"/>
          <w:szCs w:val="20"/>
          <w:color w:val="auto"/>
        </w:rPr>
      </w:pPr>
      <w:r>
        <w:rPr>
          <w:rFonts w:ascii="Times New Roman" w:cs="Times New Roman" w:eastAsia="Times New Roman" w:hAnsi="Times New Roman"/>
          <w:sz w:val="18"/>
          <w:szCs w:val="18"/>
          <w:b w:val="1"/>
          <w:bCs w:val="1"/>
          <w:color w:val="auto"/>
        </w:rPr>
        <w:t>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Rights of Joint Owners</w:t>
      </w:r>
      <w:r>
        <w:rPr>
          <w:rFonts w:ascii="Times New Roman" w:cs="Times New Roman" w:eastAsia="Times New Roman" w:hAnsi="Times New Roman"/>
          <w:sz w:val="18"/>
          <w:szCs w:val="18"/>
          <w:color w:val="auto"/>
        </w:rPr>
        <w:t>. Subject to the rights and licenses granted pursuant to, and the obligations of each Party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the exclusivity obligations under </w:t>
      </w:r>
      <w:r>
        <w:rPr>
          <w:rFonts w:ascii="Times New Roman" w:cs="Times New Roman" w:eastAsia="Times New Roman" w:hAnsi="Times New Roman"/>
          <w:sz w:val="18"/>
          <w:szCs w:val="18"/>
          <w:b w:val="1"/>
          <w:bCs w:val="1"/>
          <w:color w:val="auto"/>
        </w:rPr>
        <w:t>Section 4.3 (Exclusivity)</w:t>
      </w:r>
      <w:r>
        <w:rPr>
          <w:rFonts w:ascii="Times New Roman" w:cs="Times New Roman" w:eastAsia="Times New Roman" w:hAnsi="Times New Roman"/>
          <w:sz w:val="18"/>
          <w:szCs w:val="18"/>
          <w:color w:val="auto"/>
        </w:rPr>
        <w:t xml:space="preserve">, each Party has the right to practice, license, sublicense, assign, transfer and otherwise exploit such Party’s interest in the Joint Collaboration IP for any and all purposes on a worldwide basis without restriction, and without a duty of accounting to the other Party, but with the consent the other Party in case of license, sublicense, assignment, or transfer, provided that such consent shall not be unreasonable withheld or delayed. Each Party will grant and hereby does grant all permissions, consents and waivers with respect to, and all licenses under, such Party’s interest in the Joint Collaboration IP, throughout the world, necessary to provide the other Party with the foregoing rights, and will execute documents and make its employees, consultants and agents available, as may be reasonably requested by the other Party and as necessary to accomplish the foregoing grant of rights set forth in this </w:t>
      </w:r>
      <w:r>
        <w:rPr>
          <w:rFonts w:ascii="Times New Roman" w:cs="Times New Roman" w:eastAsia="Times New Roman" w:hAnsi="Times New Roman"/>
          <w:sz w:val="18"/>
          <w:szCs w:val="18"/>
          <w:b w:val="1"/>
          <w:bCs w:val="1"/>
          <w:color w:val="auto"/>
        </w:rPr>
        <w:t>Section 9.5 (Rights of Joint Owners)</w:t>
      </w:r>
      <w:r>
        <w:rPr>
          <w:rFonts w:ascii="Times New Roman" w:cs="Times New Roman" w:eastAsia="Times New Roman" w:hAnsi="Times New Roman"/>
          <w:sz w:val="18"/>
          <w:szCs w:val="18"/>
          <w:color w:val="auto"/>
        </w:rPr>
        <w:t xml:space="preserve">. In the event of any conflict between the terms of this </w:t>
      </w:r>
      <w:r>
        <w:rPr>
          <w:rFonts w:ascii="Times New Roman" w:cs="Times New Roman" w:eastAsia="Times New Roman" w:hAnsi="Times New Roman"/>
          <w:sz w:val="18"/>
          <w:szCs w:val="18"/>
          <w:b w:val="1"/>
          <w:bCs w:val="1"/>
          <w:color w:val="auto"/>
        </w:rPr>
        <w:t>Section 9.5 (Rights of Joint Owners)</w:t>
      </w:r>
      <w:r>
        <w:rPr>
          <w:rFonts w:ascii="Times New Roman" w:cs="Times New Roman" w:eastAsia="Times New Roman" w:hAnsi="Times New Roman"/>
          <w:sz w:val="18"/>
          <w:szCs w:val="18"/>
          <w:color w:val="auto"/>
        </w:rPr>
        <w:t xml:space="preserve"> and the terms of </w:t>
      </w:r>
      <w:r>
        <w:rPr>
          <w:rFonts w:ascii="Times New Roman" w:cs="Times New Roman" w:eastAsia="Times New Roman" w:hAnsi="Times New Roman"/>
          <w:sz w:val="18"/>
          <w:szCs w:val="18"/>
          <w:b w:val="1"/>
          <w:bCs w:val="1"/>
          <w:color w:val="auto"/>
        </w:rPr>
        <w:t>Article 10 (Confidentiality)</w:t>
      </w:r>
      <w:r>
        <w:rPr>
          <w:rFonts w:ascii="Times New Roman" w:cs="Times New Roman" w:eastAsia="Times New Roman" w:hAnsi="Times New Roman"/>
          <w:sz w:val="18"/>
          <w:szCs w:val="18"/>
          <w:color w:val="auto"/>
        </w:rPr>
        <w:t xml:space="preserve">, the terms of this </w:t>
      </w:r>
      <w:r>
        <w:rPr>
          <w:rFonts w:ascii="Times New Roman" w:cs="Times New Roman" w:eastAsia="Times New Roman" w:hAnsi="Times New Roman"/>
          <w:sz w:val="18"/>
          <w:szCs w:val="18"/>
          <w:b w:val="1"/>
          <w:bCs w:val="1"/>
          <w:color w:val="auto"/>
        </w:rPr>
        <w:t>Section 9.5 (Rights of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Owners) </w:t>
      </w:r>
      <w:r>
        <w:rPr>
          <w:rFonts w:ascii="Times New Roman" w:cs="Times New Roman" w:eastAsia="Times New Roman" w:hAnsi="Times New Roman"/>
          <w:sz w:val="18"/>
          <w:szCs w:val="18"/>
          <w:color w:val="auto"/>
        </w:rPr>
        <w:t>shall control.</w:t>
      </w:r>
    </w:p>
    <w:p>
      <w:pPr>
        <w:spacing w:after="0" w:line="185"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Patent Filing, Prosecution, Maintenance and Strategy</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right="16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9.6.1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Joint Patent Working Group</w:t>
      </w:r>
      <w:r>
        <w:rPr>
          <w:rFonts w:ascii="Times New Roman" w:cs="Times New Roman" w:eastAsia="Times New Roman" w:hAnsi="Times New Roman"/>
          <w:sz w:val="18"/>
          <w:szCs w:val="18"/>
          <w:color w:val="auto"/>
        </w:rPr>
        <w:t>. The Prosecution and Maintenance of the Kissei Collaboration Patents, the CG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Patents and the Joint Collaboration Patents shall be coordinated by the JPWG as set forth in </w:t>
      </w:r>
      <w:r>
        <w:rPr>
          <w:rFonts w:ascii="Times New Roman" w:cs="Times New Roman" w:eastAsia="Times New Roman" w:hAnsi="Times New Roman"/>
          <w:sz w:val="18"/>
          <w:szCs w:val="18"/>
          <w:b w:val="1"/>
          <w:bCs w:val="1"/>
          <w:color w:val="auto"/>
        </w:rPr>
        <w:t>Article 3 (Governance)</w:t>
      </w:r>
      <w:r>
        <w:rPr>
          <w:rFonts w:ascii="Times New Roman" w:cs="Times New Roman" w:eastAsia="Times New Roman" w:hAnsi="Times New Roman"/>
          <w:sz w:val="18"/>
          <w:szCs w:val="18"/>
          <w:color w:val="auto"/>
        </w:rPr>
        <w:t>. In no event shall the authority of the JPWG exceed that of the JDC or include CG Patents.</w:t>
      </w:r>
    </w:p>
    <w:p>
      <w:pPr>
        <w:spacing w:after="0" w:line="173"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8"/>
          <w:szCs w:val="18"/>
          <w:b w:val="1"/>
          <w:bCs w:val="1"/>
          <w:color w:val="auto"/>
        </w:rPr>
        <w:t>9.6.2   CG Patents.</w:t>
      </w:r>
    </w:p>
    <w:p>
      <w:pPr>
        <w:spacing w:after="0" w:line="217" w:lineRule="exact"/>
        <w:rPr>
          <w:sz w:val="20"/>
          <w:szCs w:val="20"/>
          <w:color w:val="auto"/>
        </w:rPr>
      </w:pPr>
    </w:p>
    <w:p>
      <w:pPr>
        <w:ind w:left="2" w:right="20" w:firstLine="1406"/>
        <w:spacing w:after="0" w:line="25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To the extent permitted by CG agreements with Third Parties with respect to CG Patents, as between the Parties, CG shall at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discretion (subject to its information sharing obligations under the JPWG), and at its sole expense, have the right (but not the obligation) to Prosecute and Maintain CG Patents inside and outside of the Territory. CG, through the JPWG, will keep Kissei reasonably informed of the status of each CG Patent.</w:t>
      </w:r>
    </w:p>
    <w:p>
      <w:pPr>
        <w:spacing w:after="0" w:line="177" w:lineRule="exact"/>
        <w:rPr>
          <w:sz w:val="20"/>
          <w:szCs w:val="20"/>
          <w:color w:val="auto"/>
        </w:rPr>
      </w:pPr>
    </w:p>
    <w:p>
      <w:pPr>
        <w:ind w:left="2" w:right="260" w:firstLine="1406"/>
        <w:spacing w:after="0" w:line="273"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CG will notify Kissei of any decision by CG or its designee not to Prosecute and Maintain, or to cease the Prosecution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Maintenance of, or not to continue to pay the expenses of Prosecution and Maintenance of, any CG Patent. CG will provide such notice at least thirty</w:t>
      </w:r>
    </w:p>
    <w:p>
      <w:pPr>
        <w:spacing w:after="0" w:line="1" w:lineRule="exact"/>
        <w:rPr>
          <w:sz w:val="20"/>
          <w:szCs w:val="20"/>
          <w:color w:val="auto"/>
        </w:rPr>
      </w:pPr>
    </w:p>
    <w:p>
      <w:pPr>
        <w:ind w:left="2" w:right="100" w:hanging="2"/>
        <w:spacing w:after="0" w:line="251" w:lineRule="auto"/>
        <w:tabs>
          <w:tab w:leader="none" w:pos="3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any filing or payment due date, or any other due date that requires action, in connection with such CG Patent. In such event, CG shall discuss in good faith through the JPWG with Kissei, subject to CG agreements with Third Parties with respect to such CG</w:t>
      </w:r>
    </w:p>
    <w:p>
      <w:pPr>
        <w:spacing w:after="0" w:line="1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02"/>
          </w:cols>
          <w:pgMar w:left="538" w:top="267" w:right="559" w:bottom="1440" w:gutter="0" w:footer="0" w:header="0"/>
        </w:sectPr>
      </w:pPr>
    </w:p>
    <w:bookmarkStart w:id="500" w:name="page501"/>
    <w:bookmarkEnd w:id="500"/>
    <w:p>
      <w:pPr>
        <w:ind w:right="1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Patents, whether at upon CG express consent, which shall not be unreasonably withheld, and at Kissei’s discretion and expense, Kissei can file or to continue to Prosecute and Maintain such CG Patent. Should Kissei continue the Prosecution and Maintenance of any such CG Patent, such Patent shall cease to be a CG Patent and shall thereafter be a Kissei Collaboration Patent.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9.6.3   CG Collaboration Patents.</w:t>
      </w:r>
    </w:p>
    <w:p>
      <w:pPr>
        <w:spacing w:after="0" w:line="217" w:lineRule="exact"/>
        <w:rPr>
          <w:sz w:val="20"/>
          <w:szCs w:val="20"/>
          <w:color w:val="auto"/>
        </w:rPr>
      </w:pPr>
    </w:p>
    <w:p>
      <w:pPr>
        <w:ind w:right="40" w:firstLine="1406"/>
        <w:spacing w:after="0" w:line="250"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As between the Parties, CG shall at its sole discretion (subject to its obligations under the JPWG), and at its sole expense,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(but not the obligation) to Prosecute and Maintain CG Collaboration Patents inside and outside of the Territory. Kissei will fully cooperate with CG in connection with the Prosecution and Maintenance of the CG Collaboration Patents, including by providing access to relevant persons and executing all documentation reasonably requested by CG. CG, through the JPWG, will keep Kissei reasonably informed of the status of each CG Collaboration Patent, and will provide Kissei with copies of any substantive filings relating to the CG Collaboration Patents with any patent office at least [***] prior to the submission of such filing. CG will consult with Kissei, including through the JPWG, on its strategy for the Prosecution and Maintenance of the CG Collaboration Patents, and will consider in good faith any timely comments received from or on behalf of Kissei on such filings prior to submission.</w:t>
      </w:r>
    </w:p>
    <w:p>
      <w:pPr>
        <w:spacing w:after="0" w:line="183" w:lineRule="exact"/>
        <w:rPr>
          <w:sz w:val="20"/>
          <w:szCs w:val="20"/>
          <w:color w:val="auto"/>
        </w:rPr>
      </w:pPr>
    </w:p>
    <w:p>
      <w:pPr>
        <w:ind w:right="40" w:firstLine="1406"/>
        <w:spacing w:after="0" w:line="250"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CG will notify Kissei of any decision by CG or its designee not to Prosecute and Maintain, or to cease the Prosecution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of, or not to continue to pay the expenses of Prosecution and Maintenance of, any CG Collaboration Patent. CG will provide such notice at least [***] prior to any filing or payment due date, or any other due date that requires action, in connection with such CG Collaboration Patent. In such event, unless otherwise recommended by the JPWG due to double patenting (including “obviousness-type” double patenting) or other like concerns that could adversely impact the CG Collaboration Patents, CG shall permit Kissei, at its sole discretion and expense, to file or to continue to Prosecute and Maintain such CG Collaboration Patent. Should Kissei continue the Prosecution and Maintenance of any such CG Collaboration Patent, such Patent shall cease to be a CG Collaboration Patent and shall thereafter be a Kissei Collaboration Patent.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9.6.4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Kissei Collaboration Patents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1406"/>
        <w:spacing w:after="0" w:line="268"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As between the Parties, Kissei shall, at its sole discretion (subject to its obligations under the JPWG), and sole expense,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right (but not the obligation) to Prosecute and Maintain Kissei Collaboration Patents. CG will fully cooperate with Kissei in connection with the Prosecution and Maintenance of the Kissei Collaboration Patents, including by providing access to relevant persons and executing all documentation reasonably requested by Kissei. Kissei, through the JPWG, will keep CG reasonably informed of the status of each Kissei Collaboration Patent, and will provide CG with copies of any substantive filings relating to the Kissei Collaboration Patents with any patent office at least [***] prior to the submission of such filing. Kissei, through the JPWG, will consult with CG, on its strategy for the Prosecution and Maintenance of the Kissei Collaboration Patents, and will consider and incorporate in good faith any timely comments received from CG regarding such filings prior to submission.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00"/>
          </w:cols>
          <w:pgMar w:left="540" w:top="267" w:right="559" w:bottom="1440" w:gutter="0" w:footer="0" w:header="0"/>
        </w:sectPr>
      </w:pPr>
    </w:p>
    <w:bookmarkStart w:id="501" w:name="page502"/>
    <w:bookmarkEnd w:id="501"/>
    <w:p>
      <w:pPr>
        <w:ind w:firstLine="1406"/>
        <w:spacing w:after="0" w:line="24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w:t>
      </w:r>
      <w:r>
        <w:rPr>
          <w:rFonts w:ascii="Times New Roman" w:cs="Times New Roman" w:eastAsia="Times New Roman" w:hAnsi="Times New Roman"/>
          <w:sz w:val="18"/>
          <w:szCs w:val="18"/>
          <w:color w:val="auto"/>
        </w:rPr>
        <w:t xml:space="preserve">  Kissei will notify CG and the JPWG of any decision by Kissei or its designee not to file applications for, or to cease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Prosecution and Maintenance of, or not to continue to pay the expenses of Prosecution and Maintenance of, any Kissei Collaboration Patent. Kissei will provide such notice at least [***] prior to any filing or payment due date, or any other due date that requires action, in connection with such Kissei Collaboration Patent. In such event, unless otherwise recommended by the JPWG due to double patenting (including “obviousness-type” double patenting) or other like concerns that could adversely impact the Kissei Collaboration Patents, Kissei shall permit CG, at its sole discretion and expense, to file or to conduct or continue the Prosecution and Maintenance of such Kissei Collaboration Patent. Should CG continue the Prosecution and Maintenance of any such Kissei Collaboration Patent, such Patent shall cease to be a Kissei Collaboration Patent and shall thereafter be a CG Collaboration Patent and Kissei shall nevertheless retain the licenses under such Kissei Collaboration Patent granted to Kissei under this Agreement, including under </w:t>
      </w:r>
      <w:r>
        <w:rPr>
          <w:rFonts w:ascii="Times New Roman" w:cs="Times New Roman" w:eastAsia="Times New Roman" w:hAnsi="Times New Roman"/>
          <w:sz w:val="18"/>
          <w:szCs w:val="18"/>
          <w:b w:val="1"/>
          <w:bCs w:val="1"/>
          <w:color w:val="auto"/>
        </w:rPr>
        <w:t>Article 4 (Licenses and Rights)</w:t>
      </w:r>
      <w:r>
        <w:rPr>
          <w:rFonts w:ascii="Times New Roman" w:cs="Times New Roman" w:eastAsia="Times New Roman" w:hAnsi="Times New Roman"/>
          <w:sz w:val="18"/>
          <w:szCs w:val="18"/>
          <w:color w:val="auto"/>
        </w:rPr>
        <w:t xml:space="preserve"> of this Agreement.</w:t>
      </w:r>
    </w:p>
    <w:p>
      <w:pPr>
        <w:spacing w:after="0" w:line="187" w:lineRule="exact"/>
        <w:rPr>
          <w:sz w:val="20"/>
          <w:szCs w:val="20"/>
          <w:color w:val="auto"/>
        </w:rPr>
      </w:pPr>
    </w:p>
    <w:p>
      <w:pPr>
        <w:ind w:right="100"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9.6.5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Cooperation</w:t>
      </w:r>
      <w:r>
        <w:rPr>
          <w:rFonts w:ascii="Times New Roman" w:cs="Times New Roman" w:eastAsia="Times New Roman" w:hAnsi="Times New Roman"/>
          <w:sz w:val="18"/>
          <w:szCs w:val="18"/>
          <w:color w:val="auto"/>
        </w:rPr>
        <w:t>. Each Party hereby agrees to: (i) use reasonable efforts to make its employees, agents and consultants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the JPWG and to the other Party (or to the other Party’s authorized attorneys, agents or representatives), to the extent reasonably necessary to enable such other Party to undertake any Prosecution and Maintenance described herein; and (ii) reasonably cooperate in any such Prosecution and Maintenance by the other Party at the requesting Party’s reasonable request and cost.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Enforcement and Defense</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0" w:firstLine="973"/>
        <w:spacing w:after="0" w:line="269" w:lineRule="auto"/>
        <w:rPr>
          <w:sz w:val="20"/>
          <w:szCs w:val="20"/>
          <w:color w:val="auto"/>
        </w:rPr>
      </w:pPr>
      <w:r>
        <w:rPr>
          <w:rFonts w:ascii="Times New Roman" w:cs="Times New Roman" w:eastAsia="Times New Roman" w:hAnsi="Times New Roman"/>
          <w:sz w:val="17"/>
          <w:szCs w:val="17"/>
          <w:b w:val="1"/>
          <w:bCs w:val="1"/>
          <w:color w:val="auto"/>
        </w:rPr>
        <w:t>9.7.1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Notices</w:t>
      </w:r>
      <w:r>
        <w:rPr>
          <w:rFonts w:ascii="Times New Roman" w:cs="Times New Roman" w:eastAsia="Times New Roman" w:hAnsi="Times New Roman"/>
          <w:sz w:val="17"/>
          <w:szCs w:val="17"/>
          <w:color w:val="auto"/>
        </w:rPr>
        <w:t>. Each Party will promptly (and in any event within [***] after becoming aware thereof) notify the other Party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JPWG of any infringement or misappropriation by a Third Party of any Collaboration IP or the CG IP in the Territory of which it becomes aware, including the filing of a Biosimilar Application, the filing of a “patent certification” filed in the United States under 21 U.S.C. §355(b)(2) or 21 U.S.C. §355(j)(2) or similar provisions in other jurisdictions in and outside the Territory and of any request for declaratory judgment, opposition, nullity action, interference, ex-partes and inter-partes reexaminations, ex-partes and inter-partes review, post-grant review, derivation proceeding, or similar action alleging the invalidity, unenforceability or non-infringement of any Collaboration Patent or CG Patent (collectively “</w:t>
      </w:r>
      <w:r>
        <w:rPr>
          <w:rFonts w:ascii="Times New Roman" w:cs="Times New Roman" w:eastAsia="Times New Roman" w:hAnsi="Times New Roman"/>
          <w:sz w:val="17"/>
          <w:szCs w:val="17"/>
          <w:b w:val="1"/>
          <w:bCs w:val="1"/>
          <w:color w:val="auto"/>
        </w:rPr>
        <w:t>Third Party Infringement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firstLine="973"/>
        <w:spacing w:after="0" w:line="250" w:lineRule="auto"/>
        <w:rPr>
          <w:sz w:val="20"/>
          <w:szCs w:val="20"/>
          <w:color w:val="auto"/>
        </w:rPr>
      </w:pPr>
      <w:r>
        <w:rPr>
          <w:rFonts w:ascii="Times New Roman" w:cs="Times New Roman" w:eastAsia="Times New Roman" w:hAnsi="Times New Roman"/>
          <w:sz w:val="18"/>
          <w:szCs w:val="18"/>
          <w:b w:val="1"/>
          <w:bCs w:val="1"/>
          <w:color w:val="auto"/>
        </w:rPr>
        <w:t>9.7.2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Kissei Enforcement Rights</w:t>
      </w:r>
      <w:r>
        <w:rPr>
          <w:rFonts w:ascii="Times New Roman" w:cs="Times New Roman" w:eastAsia="Times New Roman" w:hAnsi="Times New Roman"/>
          <w:sz w:val="18"/>
          <w:szCs w:val="18"/>
          <w:color w:val="auto"/>
        </w:rPr>
        <w:t>. Kissei will have the sole right (but not the obligation) to bring and control any legal action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deciding on any litigation strategy) in connection with a Third Party Infringement of a Kissei Collaboration Patent, Joint Collaboration Patent, CG Patent, and CG Collaboration Patent relating to Products or Companion Diagnostics in the Field in the Territory (“</w:t>
      </w:r>
      <w:r>
        <w:rPr>
          <w:rFonts w:ascii="Times New Roman" w:cs="Times New Roman" w:eastAsia="Times New Roman" w:hAnsi="Times New Roman"/>
          <w:sz w:val="18"/>
          <w:szCs w:val="18"/>
          <w:b w:val="1"/>
          <w:bCs w:val="1"/>
          <w:color w:val="auto"/>
        </w:rPr>
        <w:t>Competitive Infringement</w:t>
      </w:r>
      <w:r>
        <w:rPr>
          <w:rFonts w:ascii="Times New Roman" w:cs="Times New Roman" w:eastAsia="Times New Roman" w:hAnsi="Times New Roman"/>
          <w:sz w:val="18"/>
          <w:szCs w:val="18"/>
          <w:color w:val="auto"/>
        </w:rPr>
        <w:t>”), at its own expense as it reasonably determines appropriate (including selecting counsel of its choice and deciding on any litigation strategy), provided, that Kissei will consult with CG prior to initiating any such action and consider in good faith any input received from CG. CG shall have the right, at its own expense, to be represented in any such action by counsel of its own choice. At Kissei’s request and cost, CG shall provide assistance in connection therewith, including by executing reasonably appropriate documents, providing reasonable access to CG’s premises and employees, cooperating reasonably in discovery and joining as a party to the action if required.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760"/>
          </w:cols>
          <w:pgMar w:left="540" w:top="265" w:right="599" w:bottom="1440" w:gutter="0" w:footer="0" w:header="0"/>
        </w:sectPr>
      </w:pPr>
    </w:p>
    <w:bookmarkStart w:id="502" w:name="page503"/>
    <w:bookmarkEnd w:id="502"/>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9.7.3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Enforcement Rights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0" w:firstLine="1406"/>
        <w:spacing w:after="0" w:line="250"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As between the Parties, CG or its designee will have the sole right (but not the obligation) to bring and control any legal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deciding on any litigation strategy) in connection with a Third Party Infringement of a Kissei Collaboration Patent, Joint Collaboration Patent, CG Patent, and CG Collaboration Patent in the Territory other than a Competitive Infringement and with a Third Party Infringement of a Kissei Collaboration Patent, Joint Collaboration Patent, CG Patent, and CG Collaboration Patent outside the Territory, at its own expense as it reasonably determines appropriate (including selecting counsel of its choice and deciding on any litigation strategy), and Kissei shall have the right, at its own expense, to be represented in any such action in the Territory by counsel of its own choice. At the request and cost of CG, Kissei shall provide assistance in connection therewith, including by executing reasonably appropriate documents, providing reasonable access to Kissei’s premises and employees, cooperating reasonably in discovery and joining as a party to the action if required.</w:t>
      </w:r>
    </w:p>
    <w:p>
      <w:pPr>
        <w:spacing w:after="0" w:line="183" w:lineRule="exact"/>
        <w:rPr>
          <w:sz w:val="20"/>
          <w:szCs w:val="20"/>
          <w:color w:val="auto"/>
        </w:rPr>
      </w:pPr>
    </w:p>
    <w:p>
      <w:pPr>
        <w:ind w:right="40" w:firstLine="1406"/>
        <w:spacing w:after="0" w:line="256"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Without limiting</w:t>
      </w:r>
      <w:r>
        <w:rPr>
          <w:rFonts w:ascii="Times New Roman" w:cs="Times New Roman" w:eastAsia="Times New Roman" w:hAnsi="Times New Roman"/>
          <w:sz w:val="18"/>
          <w:szCs w:val="18"/>
          <w:b w:val="1"/>
          <w:bCs w:val="1"/>
          <w:color w:val="auto"/>
        </w:rPr>
        <w:t xml:space="preserve"> Section 9.7.3(a) (CG Enforcement Rights) </w:t>
      </w:r>
      <w:r>
        <w:rPr>
          <w:rFonts w:ascii="Times New Roman" w:cs="Times New Roman" w:eastAsia="Times New Roman" w:hAnsi="Times New Roman"/>
          <w:sz w:val="18"/>
          <w:szCs w:val="18"/>
          <w:color w:val="auto"/>
        </w:rPr>
        <w:t>and at the written request of Kissei, CG shall consider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faith, subject to any agreements between CG and a Third Party relating to the Products or Companion Diagnostics, the possibility of Kissei bringing and controlling any legal action (including deciding on any litigation strategy) in connection with a Third Party Infringement of a CG Patent relating to Products or Companion Diagnostics. If CG so agrees, then Kissei may bring and control such legal action.</w:t>
      </w:r>
    </w:p>
    <w:p>
      <w:pPr>
        <w:spacing w:after="0" w:line="177" w:lineRule="exact"/>
        <w:rPr>
          <w:sz w:val="20"/>
          <w:szCs w:val="20"/>
          <w:color w:val="auto"/>
        </w:rPr>
      </w:pPr>
    </w:p>
    <w:p>
      <w:pPr>
        <w:ind w:firstLine="973"/>
        <w:spacing w:after="0" w:line="250" w:lineRule="auto"/>
        <w:rPr>
          <w:sz w:val="20"/>
          <w:szCs w:val="20"/>
          <w:color w:val="auto"/>
        </w:rPr>
      </w:pPr>
      <w:r>
        <w:rPr>
          <w:rFonts w:ascii="Times New Roman" w:cs="Times New Roman" w:eastAsia="Times New Roman" w:hAnsi="Times New Roman"/>
          <w:sz w:val="18"/>
          <w:szCs w:val="18"/>
          <w:b w:val="1"/>
          <w:bCs w:val="1"/>
          <w:color w:val="auto"/>
        </w:rPr>
        <w:t>9.7.4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Biosimilar Application</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b w:val="1"/>
          <w:bCs w:val="1"/>
          <w:color w:val="auto"/>
        </w:rPr>
        <w:t xml:space="preserve"> Sections 9.7.2 (Kissei Enforcement Rights)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9.7.3 (CG Enforcement Rights)</w:t>
      </w:r>
      <w:r>
        <w:rPr>
          <w:rFonts w:ascii="Times New Roman" w:cs="Times New Roman" w:eastAsia="Times New Roman" w:hAnsi="Times New Roman"/>
          <w:sz w:val="18"/>
          <w:szCs w:val="18"/>
          <w:color w:val="auto"/>
        </w:rPr>
        <w: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Party or its Affiliates receives a copy of a Biosimilar Application naming a Collaboration Compound, Product or Companion Diagnostic as a reference product or otherwise becomes aware that such a Biosimilar Application has been filed (such as in an instance described in Section 351(1)(9)(c) of the PHSA or an equivalent rule or law in the Territory), such Party will promptly (and in any event within ten (10) Business Days after receipt thereof) notify the other Party and the JPWG. If either Party receives any equivalent or similar certification or notice in the United States, Japan, or any other jurisdiction, such Party will promptly (and in any event within [***] after receipt thereof) notify the other Party and the JPWG, and provide the other Party with copies of such communication. Regardless of the Party, or Affiliate or sublicensee of such Party, as the case may be, that is the “reference product sponsor” for purposes of such Biosimilar Application, with respect to a Biosimilar Application in the Territory:</w:t>
      </w:r>
    </w:p>
    <w:p>
      <w:pPr>
        <w:spacing w:after="0" w:line="183" w:lineRule="exact"/>
        <w:rPr>
          <w:sz w:val="20"/>
          <w:szCs w:val="20"/>
          <w:color w:val="auto"/>
        </w:rPr>
      </w:pPr>
    </w:p>
    <w:p>
      <w:pPr>
        <w:ind w:right="60" w:firstLine="1406"/>
        <w:spacing w:after="0" w:line="25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Kissei will have the right, after consulting with CG, (A) to identify Patents for which the enforcement rights in</w:t>
      </w:r>
      <w:r>
        <w:rPr>
          <w:rFonts w:ascii="Times New Roman" w:cs="Times New Roman" w:eastAsia="Times New Roman" w:hAnsi="Times New Roman"/>
          <w:sz w:val="18"/>
          <w:szCs w:val="18"/>
          <w:b w:val="1"/>
          <w:bCs w:val="1"/>
          <w:color w:val="auto"/>
        </w:rPr>
        <w:t xml:space="preserve"> Section 9.7.2 (Kissei Enforcement Rights) </w:t>
      </w:r>
      <w:r>
        <w:rPr>
          <w:rFonts w:ascii="Times New Roman" w:cs="Times New Roman" w:eastAsia="Times New Roman" w:hAnsi="Times New Roman"/>
          <w:sz w:val="18"/>
          <w:szCs w:val="18"/>
          <w:color w:val="auto"/>
        </w:rPr>
        <w:t>are applicable, or (b) respond to relevant communications under any equivalent or similar listing to those described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preceding </w:t>
      </w:r>
      <w:r>
        <w:rPr>
          <w:rFonts w:ascii="Times New Roman" w:cs="Times New Roman" w:eastAsia="Times New Roman" w:hAnsi="Times New Roman"/>
          <w:sz w:val="18"/>
          <w:szCs w:val="18"/>
          <w:b w:val="1"/>
          <w:bCs w:val="1"/>
          <w:color w:val="auto"/>
        </w:rPr>
        <w:t>Section 9.7.4 (Biosimilar Application)</w:t>
      </w:r>
      <w:r>
        <w:rPr>
          <w:rFonts w:ascii="Times New Roman" w:cs="Times New Roman" w:eastAsia="Times New Roman" w:hAnsi="Times New Roman"/>
          <w:sz w:val="18"/>
          <w:szCs w:val="18"/>
          <w:color w:val="auto"/>
        </w:rPr>
        <w:t xml:space="preserve"> in the Territory. If required pursuant to Applicable Law, upon Kissei’s request, CG will assist in the preparation of such list and make such response after consulting with Kissei.</w:t>
      </w:r>
    </w:p>
    <w:p>
      <w:pPr>
        <w:spacing w:after="0" w:line="177" w:lineRule="exact"/>
        <w:rPr>
          <w:sz w:val="20"/>
          <w:szCs w:val="20"/>
          <w:color w:val="auto"/>
        </w:rPr>
      </w:pPr>
    </w:p>
    <w:p>
      <w:pPr>
        <w:jc w:val="both"/>
        <w:ind w:right="420" w:firstLine="1406"/>
        <w:spacing w:after="0" w:line="261"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CG shall: (a) within [***] after Kissei’s written request, provide Kissei with all information in its possession and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a list of Patents Controlled by CG for which the enforcement rights in </w:t>
      </w:r>
      <w:r>
        <w:rPr>
          <w:rFonts w:ascii="Times New Roman" w:cs="Times New Roman" w:eastAsia="Times New Roman" w:hAnsi="Times New Roman"/>
          <w:sz w:val="18"/>
          <w:szCs w:val="18"/>
          <w:b w:val="1"/>
          <w:bCs w:val="1"/>
          <w:color w:val="auto"/>
        </w:rPr>
        <w:t>Section 9.7.2 (Kissei Enforcement Rights)</w:t>
      </w:r>
      <w:r>
        <w:rPr>
          <w:rFonts w:ascii="Times New Roman" w:cs="Times New Roman" w:eastAsia="Times New Roman" w:hAnsi="Times New Roman"/>
          <w:sz w:val="18"/>
          <w:szCs w:val="18"/>
          <w:color w:val="auto"/>
        </w:rPr>
        <w:t xml:space="preserve"> are applicable, that is necessary or reasonably useful to enable Kissei to make any lists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800"/>
          </w:cols>
          <w:pgMar w:left="540" w:top="264" w:right="559" w:bottom="1440" w:gutter="0" w:footer="0" w:header="0"/>
        </w:sectPr>
      </w:pPr>
    </w:p>
    <w:bookmarkStart w:id="503" w:name="page504"/>
    <w:bookmarkEnd w:id="503"/>
    <w:p>
      <w:pPr>
        <w:ind w:left="2"/>
        <w:spacing w:after="0" w:line="27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communications with respect to such Patents that are described in the foregoing </w:t>
      </w:r>
      <w:r>
        <w:rPr>
          <w:rFonts w:ascii="Times New Roman" w:cs="Times New Roman" w:eastAsia="Times New Roman" w:hAnsi="Times New Roman"/>
          <w:sz w:val="17"/>
          <w:szCs w:val="17"/>
          <w:b w:val="1"/>
          <w:bCs w:val="1"/>
          <w:color w:val="auto"/>
        </w:rPr>
        <w:t>Section 9.7.4 (Biosimilar Application)</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9.7.4(d) (Biosimilar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Application)</w:t>
      </w:r>
      <w:r>
        <w:rPr>
          <w:rFonts w:ascii="Times New Roman" w:cs="Times New Roman" w:eastAsia="Times New Roman" w:hAnsi="Times New Roman"/>
          <w:sz w:val="17"/>
          <w:szCs w:val="17"/>
          <w:color w:val="auto"/>
        </w:rPr>
        <w:t>, and (b) cooperate with Kissei’s reasonable requests in connection therewith to the extent not prohibited by law. Kissei will consult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CG prior to identifying any Patents Controlled by CG as contemplated by this </w:t>
      </w:r>
      <w:r>
        <w:rPr>
          <w:rFonts w:ascii="Times New Roman" w:cs="Times New Roman" w:eastAsia="Times New Roman" w:hAnsi="Times New Roman"/>
          <w:sz w:val="17"/>
          <w:szCs w:val="17"/>
          <w:b w:val="1"/>
          <w:bCs w:val="1"/>
          <w:color w:val="auto"/>
        </w:rPr>
        <w:t>Section 9.7.4 (Biosimilar Application).</w:t>
      </w:r>
      <w:r>
        <w:rPr>
          <w:rFonts w:ascii="Times New Roman" w:cs="Times New Roman" w:eastAsia="Times New Roman" w:hAnsi="Times New Roman"/>
          <w:sz w:val="17"/>
          <w:szCs w:val="17"/>
          <w:color w:val="auto"/>
        </w:rPr>
        <w:t xml:space="preserve"> Kissei will consider in good faith advice and suggestions with respect thereto received from CG, and will notify CG of any such lists or communications promptly after they are made.</w:t>
      </w:r>
    </w:p>
    <w:p>
      <w:pPr>
        <w:spacing w:after="0" w:line="164" w:lineRule="exact"/>
        <w:rPr>
          <w:sz w:val="20"/>
          <w:szCs w:val="20"/>
          <w:color w:val="auto"/>
        </w:rPr>
      </w:pPr>
    </w:p>
    <w:p>
      <w:pPr>
        <w:ind w:left="2" w:firstLine="1406"/>
        <w:spacing w:after="0" w:line="250"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For the avoidance of doubt, the Parties recognize that procedures other than those set forth above in this</w:t>
      </w:r>
      <w:r>
        <w:rPr>
          <w:rFonts w:ascii="Times New Roman" w:cs="Times New Roman" w:eastAsia="Times New Roman" w:hAnsi="Times New Roman"/>
          <w:sz w:val="18"/>
          <w:szCs w:val="18"/>
          <w:b w:val="1"/>
          <w:bCs w:val="1"/>
          <w:color w:val="auto"/>
        </w:rPr>
        <w:t xml:space="preserve"> Section 9.7.4 (Biosimilar Application) </w:t>
      </w:r>
      <w:r>
        <w:rPr>
          <w:rFonts w:ascii="Times New Roman" w:cs="Times New Roman" w:eastAsia="Times New Roman" w:hAnsi="Times New Roman"/>
          <w:sz w:val="18"/>
          <w:szCs w:val="18"/>
          <w:color w:val="auto"/>
        </w:rPr>
        <w:t>may be applicable to Biosimilar Applications that are not governed by the PHSA or equivalent rule or law in Japan.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result, if the Parties, acting in good faith, mutually determine that certain provisions of law in the United States or in any other country or jurisdiction are applicable to actions taken by the Parties with respect to Biosimilar Applications under this </w:t>
      </w:r>
      <w:r>
        <w:rPr>
          <w:rFonts w:ascii="Times New Roman" w:cs="Times New Roman" w:eastAsia="Times New Roman" w:hAnsi="Times New Roman"/>
          <w:sz w:val="18"/>
          <w:szCs w:val="18"/>
          <w:b w:val="1"/>
          <w:bCs w:val="1"/>
          <w:color w:val="auto"/>
        </w:rPr>
        <w:t>Section 9.7.4 (Biosimilar Application)</w:t>
      </w:r>
      <w:r>
        <w:rPr>
          <w:rFonts w:ascii="Times New Roman" w:cs="Times New Roman" w:eastAsia="Times New Roman" w:hAnsi="Times New Roman"/>
          <w:sz w:val="18"/>
          <w:szCs w:val="18"/>
          <w:color w:val="auto"/>
        </w:rPr>
        <w:t xml:space="preserve"> in such country or jurisdiction, the Parties will comply with any such law in such country or jurisdiction (and any relevant and reasonable procedures established by the applicable governing body in such jurisdiction) in exercising their respective rights and obligations with respect to Biosimilar Applications under this </w:t>
      </w:r>
      <w:r>
        <w:rPr>
          <w:rFonts w:ascii="Times New Roman" w:cs="Times New Roman" w:eastAsia="Times New Roman" w:hAnsi="Times New Roman"/>
          <w:sz w:val="18"/>
          <w:szCs w:val="18"/>
          <w:b w:val="1"/>
          <w:bCs w:val="1"/>
          <w:color w:val="auto"/>
        </w:rPr>
        <w:t>Section 9.7.4 (Biosimilar Application)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2" w:right="160" w:firstLine="973"/>
        <w:spacing w:after="0" w:line="269" w:lineRule="auto"/>
        <w:rPr>
          <w:sz w:val="20"/>
          <w:szCs w:val="20"/>
          <w:color w:val="auto"/>
        </w:rPr>
      </w:pPr>
      <w:r>
        <w:rPr>
          <w:rFonts w:ascii="Times New Roman" w:cs="Times New Roman" w:eastAsia="Times New Roman" w:hAnsi="Times New Roman"/>
          <w:sz w:val="17"/>
          <w:szCs w:val="17"/>
          <w:b w:val="1"/>
          <w:bCs w:val="1"/>
          <w:color w:val="auto"/>
        </w:rPr>
        <w:t>9.7.5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Defense</w:t>
      </w:r>
      <w:r>
        <w:rPr>
          <w:rFonts w:ascii="Times New Roman" w:cs="Times New Roman" w:eastAsia="Times New Roman" w:hAnsi="Times New Roman"/>
          <w:sz w:val="17"/>
          <w:szCs w:val="17"/>
          <w:color w:val="auto"/>
        </w:rPr>
        <w:t>. As between the Parties, the Party controlling the Prosecution and Maintenance of any Patent under</w:t>
      </w:r>
      <w:r>
        <w:rPr>
          <w:rFonts w:ascii="Times New Roman" w:cs="Times New Roman" w:eastAsia="Times New Roman" w:hAnsi="Times New Roman"/>
          <w:sz w:val="17"/>
          <w:szCs w:val="17"/>
          <w:b w:val="1"/>
          <w:bCs w:val="1"/>
          <w:color w:val="auto"/>
        </w:rPr>
        <w:t xml:space="preserve"> Section 9.6 (Patent Filing, Prosecution, Maintenance and Strategy) </w:t>
      </w:r>
      <w:r>
        <w:rPr>
          <w:rFonts w:ascii="Times New Roman" w:cs="Times New Roman" w:eastAsia="Times New Roman" w:hAnsi="Times New Roman"/>
          <w:sz w:val="17"/>
          <w:szCs w:val="17"/>
          <w:color w:val="auto"/>
        </w:rPr>
        <w:t>will have the first right (but not the obligation), at its sole discretion, to defend against a declaratory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judgment action or other action challenging any such Patent, including, e.g., opposition or inter-partes review proceedings, other than with respect to</w:t>
      </w:r>
    </w:p>
    <w:p>
      <w:pPr>
        <w:ind w:left="2" w:hanging="2"/>
        <w:spacing w:after="0" w:line="246" w:lineRule="auto"/>
        <w:tabs>
          <w:tab w:leader="none" w:pos="213"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counter-claims in any enforcement action brought by the other Party pursuant to </w:t>
      </w:r>
      <w:r>
        <w:rPr>
          <w:rFonts w:ascii="Times New Roman" w:cs="Times New Roman" w:eastAsia="Times New Roman" w:hAnsi="Times New Roman"/>
          <w:sz w:val="18"/>
          <w:szCs w:val="18"/>
          <w:b w:val="1"/>
          <w:bCs w:val="1"/>
          <w:color w:val="auto"/>
        </w:rPr>
        <w:t>Section 9.7.2 (Kissei Enforcement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9.7.3 (CG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Enforcement Rights)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9.7.4 (Biosimilar Application) </w:t>
      </w:r>
      <w:r>
        <w:rPr>
          <w:rFonts w:ascii="Times New Roman" w:cs="Times New Roman" w:eastAsia="Times New Roman" w:hAnsi="Times New Roman"/>
          <w:sz w:val="18"/>
          <w:szCs w:val="18"/>
          <w:color w:val="auto"/>
        </w:rPr>
        <w:t>or (ii) any action by a Third Party in response to such an enforcement action brought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other Party, which in both cases ((i) and (ii)) will be controlled by such other Party. If the Party controlling such Prosecution and Maintenance of such Patent under </w:t>
      </w:r>
      <w:r>
        <w:rPr>
          <w:rFonts w:ascii="Times New Roman" w:cs="Times New Roman" w:eastAsia="Times New Roman" w:hAnsi="Times New Roman"/>
          <w:sz w:val="18"/>
          <w:szCs w:val="18"/>
          <w:b w:val="1"/>
          <w:bCs w:val="1"/>
          <w:color w:val="auto"/>
        </w:rPr>
        <w:t>Section 9.6 (Patent Filing, Prosecution, Maintenance and Strategy)</w:t>
      </w:r>
      <w:r>
        <w:rPr>
          <w:rFonts w:ascii="Times New Roman" w:cs="Times New Roman" w:eastAsia="Times New Roman" w:hAnsi="Times New Roman"/>
          <w:sz w:val="18"/>
          <w:szCs w:val="18"/>
          <w:color w:val="auto"/>
        </w:rPr>
        <w:t xml:space="preserve"> does not defend such Patent under this </w:t>
      </w:r>
      <w:r>
        <w:rPr>
          <w:rFonts w:ascii="Times New Roman" w:cs="Times New Roman" w:eastAsia="Times New Roman" w:hAnsi="Times New Roman"/>
          <w:sz w:val="18"/>
          <w:szCs w:val="18"/>
          <w:b w:val="1"/>
          <w:bCs w:val="1"/>
          <w:color w:val="auto"/>
        </w:rPr>
        <w:t>Section 9.7.5 (Defense)</w:t>
      </w:r>
      <w:r>
        <w:rPr>
          <w:rFonts w:ascii="Times New Roman" w:cs="Times New Roman" w:eastAsia="Times New Roman" w:hAnsi="Times New Roman"/>
          <w:sz w:val="18"/>
          <w:szCs w:val="18"/>
          <w:color w:val="auto"/>
        </w:rPr>
        <w:t xml:space="preserve"> within [***] (or such shorter period of time as is required to comply with other Applicable Law in the Territory to not waive any statutory rights), or elects not to continue any such defense (in which case it will promptly provide notice thereof to the other Party), then the other Party will have the right (but not the obligation), at its sole discretion, to defend any such Patent in the Territory, after consultation and good faith consideration of any input received from the Party controlling such Prosecution and Maintenance of such Patents under </w:t>
      </w:r>
      <w:r>
        <w:rPr>
          <w:rFonts w:ascii="Times New Roman" w:cs="Times New Roman" w:eastAsia="Times New Roman" w:hAnsi="Times New Roman"/>
          <w:sz w:val="18"/>
          <w:szCs w:val="18"/>
          <w:b w:val="1"/>
          <w:bCs w:val="1"/>
          <w:color w:val="auto"/>
        </w:rPr>
        <w:t>Section 9.6 (Patent Filing, Prosecution, Maintenance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Strategy)</w:t>
      </w:r>
      <w:r>
        <w:rPr>
          <w:rFonts w:ascii="Times New Roman" w:cs="Times New Roman" w:eastAsia="Times New Roman" w:hAnsi="Times New Roman"/>
          <w:sz w:val="18"/>
          <w:szCs w:val="18"/>
          <w:color w:val="auto"/>
        </w:rPr>
        <w:t>; provided that, (a) CG shall have no right to defend any Kissei Patent and (b) except as set forth in the first sentence of this</w:t>
      </w:r>
      <w:r>
        <w:rPr>
          <w:rFonts w:ascii="Times New Roman" w:cs="Times New Roman" w:eastAsia="Times New Roman" w:hAnsi="Times New Roman"/>
          <w:sz w:val="18"/>
          <w:szCs w:val="18"/>
          <w:b w:val="1"/>
          <w:bCs w:val="1"/>
          <w:color w:val="auto"/>
        </w:rPr>
        <w:t xml:space="preserve"> Section 9.7.5 (Defense)</w:t>
      </w:r>
      <w:r>
        <w:rPr>
          <w:rFonts w:ascii="Times New Roman" w:cs="Times New Roman" w:eastAsia="Times New Roman" w:hAnsi="Times New Roman"/>
          <w:sz w:val="18"/>
          <w:szCs w:val="18"/>
          <w:color w:val="auto"/>
        </w:rPr>
        <w:t>, Kissei shall have no right to defend any CG Patent.</w:t>
      </w:r>
    </w:p>
    <w:p>
      <w:pPr>
        <w:spacing w:after="0" w:line="189" w:lineRule="exact"/>
        <w:rPr>
          <w:sz w:val="20"/>
          <w:szCs w:val="20"/>
          <w:color w:val="auto"/>
        </w:rPr>
      </w:pPr>
    </w:p>
    <w:p>
      <w:pPr>
        <w:ind w:left="2" w:right="22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9.7.6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Withdrawal, Cooperation and Participation; Recoveries. </w:t>
      </w:r>
      <w:r>
        <w:rPr>
          <w:rFonts w:ascii="Times New Roman" w:cs="Times New Roman" w:eastAsia="Times New Roman" w:hAnsi="Times New Roman"/>
          <w:sz w:val="18"/>
          <w:szCs w:val="18"/>
          <w:color w:val="auto"/>
        </w:rPr>
        <w:t>With respect to any pending action initiated pursuant to</w:t>
      </w:r>
      <w:r>
        <w:rPr>
          <w:rFonts w:ascii="Times New Roman" w:cs="Times New Roman" w:eastAsia="Times New Roman" w:hAnsi="Times New Roman"/>
          <w:sz w:val="18"/>
          <w:szCs w:val="18"/>
          <w:b w:val="1"/>
          <w:bCs w:val="1"/>
          <w:color w:val="auto"/>
        </w:rPr>
        <w:t xml:space="preserve"> Section 9.7 (Enforcement and Defense)</w:t>
      </w:r>
      <w:r>
        <w:rPr>
          <w:rFonts w:ascii="Times New Roman" w:cs="Times New Roman" w:eastAsia="Times New Roman" w:hAnsi="Times New Roman"/>
          <w:sz w:val="18"/>
          <w:szCs w:val="18"/>
          <w:color w:val="auto"/>
        </w:rPr>
        <w:t>, and subject to the terms of this</w:t>
      </w:r>
      <w:r>
        <w:rPr>
          <w:rFonts w:ascii="Times New Roman" w:cs="Times New Roman" w:eastAsia="Times New Roman" w:hAnsi="Times New Roman"/>
          <w:sz w:val="18"/>
          <w:szCs w:val="18"/>
          <w:b w:val="1"/>
          <w:bCs w:val="1"/>
          <w:color w:val="auto"/>
        </w:rPr>
        <w:t xml:space="preserve"> Section 9.7.6 (Withdrawal, Cooperation and Participation; Recoveries)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2" w:right="32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non-controlling Party will cooperate with the Party controlling any such action (as may be reasonably requested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controlling Party), including, at the controlling Party’s sole cost and expense, (a) by providing reasonable access to relevant documents</w:t>
      </w:r>
    </w:p>
    <w:p>
      <w:pPr>
        <w:spacing w:after="0" w:line="9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02"/>
          </w:cols>
          <w:pgMar w:left="538" w:top="264" w:right="559" w:bottom="1440" w:gutter="0" w:footer="0" w:header="0"/>
        </w:sectPr>
      </w:pPr>
    </w:p>
    <w:bookmarkStart w:id="504" w:name="page505"/>
    <w:bookmarkEnd w:id="504"/>
    <w:p>
      <w:pPr>
        <w:ind w:right="1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and other evidence, (b) using reasonable efforts to make its and its Affiliates and licensees and sublicensees and their respective employees, subcontractors, consultants and agents available at reasonable business hours and for reasonable periods of time, but only to the extent relevant to such action, and (c) if reasonably necessary, by being joined as a party. The Party controlling any such action will keep the other Party reasonably updated with respect to any such action, including providing copies of all materials and documents received or filed in connection with any such action.</w:t>
      </w:r>
    </w:p>
    <w:p>
      <w:pPr>
        <w:spacing w:after="0" w:line="165" w:lineRule="exact"/>
        <w:rPr>
          <w:sz w:val="20"/>
          <w:szCs w:val="20"/>
          <w:color w:val="auto"/>
        </w:rPr>
      </w:pPr>
    </w:p>
    <w:p>
      <w:pPr>
        <w:ind w:right="20" w:firstLine="1406"/>
        <w:spacing w:after="0" w:line="250"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Each Party will have the right to consult with the other Party regarding any such action controlled by such other Party,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case at such first Party’s sole cost and expense. If a Party elects to so be involved, the Party shall have the right to be represented by its own counsel at its own expense and the controlling Party will provide the other Party and its counsel with an opportunity to consult with the controlling Party and its counsel regarding the prosecution of such action (including reviewing the contents of any correspondence or other documents related thereto), and the controlling Party will take into account reasonable and timely requests of the other Party regarding such enforcement or defense. Except as expressly set forth herein, nothing in this </w:t>
      </w:r>
      <w:r>
        <w:rPr>
          <w:rFonts w:ascii="Times New Roman" w:cs="Times New Roman" w:eastAsia="Times New Roman" w:hAnsi="Times New Roman"/>
          <w:sz w:val="18"/>
          <w:szCs w:val="18"/>
          <w:b w:val="1"/>
          <w:bCs w:val="1"/>
          <w:color w:val="auto"/>
        </w:rPr>
        <w:t>Section 9.7.6 (Withdrawal, Cooperation and Participation; Recoveries)</w:t>
      </w:r>
      <w:r>
        <w:rPr>
          <w:rFonts w:ascii="Times New Roman" w:cs="Times New Roman" w:eastAsia="Times New Roman" w:hAnsi="Times New Roman"/>
          <w:sz w:val="18"/>
          <w:szCs w:val="18"/>
          <w:color w:val="auto"/>
        </w:rPr>
        <w:t xml:space="preserve"> will limit the controlling Party’s ability to conduct any such action.</w:t>
      </w:r>
    </w:p>
    <w:p>
      <w:pPr>
        <w:spacing w:after="0" w:line="187" w:lineRule="exact"/>
        <w:rPr>
          <w:sz w:val="20"/>
          <w:szCs w:val="20"/>
          <w:color w:val="auto"/>
        </w:rPr>
      </w:pPr>
    </w:p>
    <w:p>
      <w:pPr>
        <w:ind w:right="6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Any recovery obtained by a Party in connection with or as a result of any action with respect to any Competitive Infringement,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by settlement or otherwise, shall be shared in order as follows:</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   the controlling Party shall recoup all of its costs and expenses incurred in connection with such action;</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   the other Party shall then, to the extent possible, recover its costs and expenses incurred in connection with such action;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(iii)   any remaining recovery from such action shall be shared by the Parties, [***] in favor of the controlling Party.</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Third Party Infringement Claims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0"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t>9.8.1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Notice</w:t>
      </w:r>
      <w:r>
        <w:rPr>
          <w:rFonts w:ascii="Times New Roman" w:cs="Times New Roman" w:eastAsia="Times New Roman" w:hAnsi="Times New Roman"/>
          <w:sz w:val="18"/>
          <w:szCs w:val="18"/>
          <w:color w:val="auto"/>
        </w:rPr>
        <w:t>. In the event that a Third Party shall make any claim, give notice, or bring any suit or other inter parties proceeding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Kissei or CG, or any of their respective Affiliates or licensees or customers, for infringement or misappropriation of any intellectual property rights with respect to the research, development, making, using, selling, offering for sale, import or export of any Collaboration Compounds or Products (“</w:t>
      </w: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Infringement Claim</w:t>
      </w:r>
      <w:r>
        <w:rPr>
          <w:rFonts w:ascii="Times New Roman" w:cs="Times New Roman" w:eastAsia="Times New Roman" w:hAnsi="Times New Roman"/>
          <w:sz w:val="18"/>
          <w:szCs w:val="18"/>
          <w:color w:val="auto"/>
        </w:rPr>
        <w:t>”), in each case, the Party receiving notice of a Third Party Infringement Claim shall promptly notify the other Party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60"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9.8.2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Defense in the Territory</w:t>
      </w:r>
      <w:r>
        <w:rPr>
          <w:rFonts w:ascii="Times New Roman" w:cs="Times New Roman" w:eastAsia="Times New Roman" w:hAnsi="Times New Roman"/>
          <w:sz w:val="18"/>
          <w:szCs w:val="18"/>
          <w:color w:val="auto"/>
        </w:rPr>
        <w:t>. The Parties shall consult as to potential strategies to defend against any Third Party Infringement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Territory, including by initiating any opposition proceeding against the relevant Third Party’s Patent, consistent with the overall goals of this Agreement, including by being joined as a Party. If the Parties fail to agree on such strategies in the Territory, or if a Party is a named defendant outside of the Territory, and subject to the respective indemnity obligations of the Parties set forth in </w:t>
      </w:r>
      <w:r>
        <w:rPr>
          <w:rFonts w:ascii="Times New Roman" w:cs="Times New Roman" w:eastAsia="Times New Roman" w:hAnsi="Times New Roman"/>
          <w:sz w:val="18"/>
          <w:szCs w:val="18"/>
          <w:b w:val="1"/>
          <w:bCs w:val="1"/>
          <w:color w:val="auto"/>
        </w:rPr>
        <w:t>Article 13 (Indemnification)</w:t>
      </w:r>
      <w:r>
        <w:rPr>
          <w:rFonts w:ascii="Times New Roman" w:cs="Times New Roman" w:eastAsia="Times New Roman" w:hAnsi="Times New Roman"/>
          <w:sz w:val="18"/>
          <w:szCs w:val="18"/>
          <w:color w:val="auto"/>
        </w:rPr>
        <w:t>, each</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80"/>
          </w:cols>
          <w:pgMar w:left="540" w:top="267" w:right="579" w:bottom="1440" w:gutter="0" w:footer="0" w:header="0"/>
        </w:sectPr>
      </w:pPr>
    </w:p>
    <w:bookmarkStart w:id="505" w:name="page506"/>
    <w:bookmarkEnd w:id="505"/>
    <w:p>
      <w:pPr>
        <w:ind w:right="10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Party shall have the right to defend itself against a suit that names it as a defendant (the “</w:t>
      </w:r>
      <w:r>
        <w:rPr>
          <w:rFonts w:ascii="Times New Roman" w:cs="Times New Roman" w:eastAsia="Times New Roman" w:hAnsi="Times New Roman"/>
          <w:sz w:val="18"/>
          <w:szCs w:val="18"/>
          <w:b w:val="1"/>
          <w:bCs w:val="1"/>
          <w:color w:val="auto"/>
        </w:rPr>
        <w:t>Defending Party</w:t>
      </w:r>
      <w:r>
        <w:rPr>
          <w:rFonts w:ascii="Times New Roman" w:cs="Times New Roman" w:eastAsia="Times New Roman" w:hAnsi="Times New Roman"/>
          <w:sz w:val="18"/>
          <w:szCs w:val="18"/>
          <w:color w:val="auto"/>
        </w:rPr>
        <w:t>”) in its Territory. The Defending Party shall keep the other Party reasonably informed with respect to the defense of such claim and shall consider and take into account the other Party’s reasonable interests and comments regarding the defense of such claim. The other Party shall reasonably assist the Defending Party and cooperate in any such litigation at the Defending Party’s request and expense. In addition, the other Party shall have the right to be represented by its own counsel at its own expense and the Defending Party will provide the other Party and its counsel with an opportunity to consult with the Defending Party and its counsel regarding the defense of such claim.</w:t>
      </w:r>
    </w:p>
    <w:p>
      <w:pPr>
        <w:spacing w:after="0" w:line="185" w:lineRule="exact"/>
        <w:rPr>
          <w:sz w:val="20"/>
          <w:szCs w:val="20"/>
          <w:color w:val="auto"/>
        </w:rPr>
      </w:pPr>
    </w:p>
    <w:p>
      <w:pPr>
        <w:ind w:firstLine="973"/>
        <w:spacing w:after="0" w:line="250" w:lineRule="auto"/>
        <w:rPr>
          <w:sz w:val="20"/>
          <w:szCs w:val="20"/>
          <w:color w:val="auto"/>
        </w:rPr>
      </w:pPr>
      <w:r>
        <w:rPr>
          <w:rFonts w:ascii="Times New Roman" w:cs="Times New Roman" w:eastAsia="Times New Roman" w:hAnsi="Times New Roman"/>
          <w:sz w:val="18"/>
          <w:szCs w:val="18"/>
          <w:b w:val="1"/>
          <w:bCs w:val="1"/>
          <w:color w:val="auto"/>
        </w:rPr>
        <w:t>9.8.3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Costs and Expenses</w:t>
      </w:r>
      <w:r>
        <w:rPr>
          <w:rFonts w:ascii="Times New Roman" w:cs="Times New Roman" w:eastAsia="Times New Roman" w:hAnsi="Times New Roman"/>
          <w:sz w:val="18"/>
          <w:szCs w:val="18"/>
          <w:color w:val="auto"/>
        </w:rPr>
        <w:t>. The Defending Party shall bear all costs and expenses, including but not limited to litigation expenses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defend against any Third Party Infringement Claim; provided, however, that if the non-Defending Party is obligated to Indemnify the Defending Party in respect of such claims in accordance with </w:t>
      </w:r>
      <w:r>
        <w:rPr>
          <w:rFonts w:ascii="Times New Roman" w:cs="Times New Roman" w:eastAsia="Times New Roman" w:hAnsi="Times New Roman"/>
          <w:sz w:val="18"/>
          <w:szCs w:val="18"/>
          <w:b w:val="1"/>
          <w:bCs w:val="1"/>
          <w:color w:val="auto"/>
        </w:rPr>
        <w:t>Article 13 (Indemnification)</w:t>
      </w:r>
      <w:r>
        <w:rPr>
          <w:rFonts w:ascii="Times New Roman" w:cs="Times New Roman" w:eastAsia="Times New Roman" w:hAnsi="Times New Roman"/>
          <w:sz w:val="18"/>
          <w:szCs w:val="18"/>
          <w:color w:val="auto"/>
        </w:rPr>
        <w:t xml:space="preserve">, then the non-Defending Party shall reimburse the Defending Party’s actual, documented cost and expenses. Any damages or settlement amounts paid by Kissei under this </w:t>
      </w:r>
      <w:r>
        <w:rPr>
          <w:rFonts w:ascii="Times New Roman" w:cs="Times New Roman" w:eastAsia="Times New Roman" w:hAnsi="Times New Roman"/>
          <w:sz w:val="18"/>
          <w:szCs w:val="18"/>
          <w:b w:val="1"/>
          <w:bCs w:val="1"/>
          <w:color w:val="auto"/>
        </w:rPr>
        <w:t>Section 9.8 (Third Party Infringement Claims)</w:t>
      </w:r>
      <w:r>
        <w:rPr>
          <w:rFonts w:ascii="Times New Roman" w:cs="Times New Roman" w:eastAsia="Times New Roman" w:hAnsi="Times New Roman"/>
          <w:sz w:val="18"/>
          <w:szCs w:val="18"/>
          <w:color w:val="auto"/>
        </w:rPr>
        <w:t xml:space="preserve"> with respect to a Product, including any amounts paid to a Third Party to the extent attributable to a right or license under any intellectual property of such Third Party in settlement of such Third Party Infringement Claim, may be treated by Kissei as royalties paid to a Third Party under </w:t>
      </w:r>
      <w:r>
        <w:rPr>
          <w:rFonts w:ascii="Times New Roman" w:cs="Times New Roman" w:eastAsia="Times New Roman" w:hAnsi="Times New Roman"/>
          <w:sz w:val="18"/>
          <w:szCs w:val="18"/>
          <w:b w:val="1"/>
          <w:bCs w:val="1"/>
          <w:color w:val="auto"/>
        </w:rPr>
        <w:t>Section 7.4.3(a)(iii)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(Kissei) </w:t>
      </w:r>
      <w:r>
        <w:rPr>
          <w:rFonts w:ascii="Times New Roman" w:cs="Times New Roman" w:eastAsia="Times New Roman" w:hAnsi="Times New Roman"/>
          <w:sz w:val="18"/>
          <w:szCs w:val="18"/>
          <w:color w:val="auto"/>
        </w:rPr>
        <w:t>and subject to the credit therein.</w:t>
      </w:r>
    </w:p>
    <w:p>
      <w:pPr>
        <w:spacing w:after="0" w:line="187" w:lineRule="exact"/>
        <w:rPr>
          <w:sz w:val="20"/>
          <w:szCs w:val="20"/>
          <w:color w:val="auto"/>
        </w:rPr>
      </w:pPr>
    </w:p>
    <w:p>
      <w:pPr>
        <w:ind w:right="80" w:firstLine="973"/>
        <w:spacing w:after="0" w:line="266" w:lineRule="auto"/>
        <w:rPr>
          <w:sz w:val="20"/>
          <w:szCs w:val="20"/>
          <w:color w:val="auto"/>
        </w:rPr>
      </w:pPr>
      <w:r>
        <w:rPr>
          <w:rFonts w:ascii="Times New Roman" w:cs="Times New Roman" w:eastAsia="Times New Roman" w:hAnsi="Times New Roman"/>
          <w:sz w:val="17"/>
          <w:szCs w:val="17"/>
          <w:b w:val="1"/>
          <w:bCs w:val="1"/>
          <w:color w:val="auto"/>
        </w:rPr>
        <w:t>9.8.4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Settlement</w:t>
      </w:r>
      <w:r>
        <w:rPr>
          <w:rFonts w:ascii="Times New Roman" w:cs="Times New Roman" w:eastAsia="Times New Roman" w:hAnsi="Times New Roman"/>
          <w:sz w:val="17"/>
          <w:szCs w:val="17"/>
          <w:color w:val="auto"/>
        </w:rPr>
        <w:t>. With respect to any Competitive Infringement, Third Party Infringement Claim or defensive action identified in</w:t>
      </w:r>
      <w:r>
        <w:rPr>
          <w:rFonts w:ascii="Times New Roman" w:cs="Times New Roman" w:eastAsia="Times New Roman" w:hAnsi="Times New Roman"/>
          <w:sz w:val="17"/>
          <w:szCs w:val="17"/>
          <w:b w:val="1"/>
          <w:bCs w:val="1"/>
          <w:color w:val="auto"/>
        </w:rPr>
        <w:t xml:space="preserve"> Section 9.7 (Enforcement and Defense) </w:t>
      </w:r>
      <w:r>
        <w:rPr>
          <w:rFonts w:ascii="Times New Roman" w:cs="Times New Roman" w:eastAsia="Times New Roman" w:hAnsi="Times New Roman"/>
          <w:sz w:val="17"/>
          <w:szCs w:val="17"/>
          <w:color w:val="auto"/>
        </w:rPr>
        <w:t>or this</w:t>
      </w:r>
      <w:r>
        <w:rPr>
          <w:rFonts w:ascii="Times New Roman" w:cs="Times New Roman" w:eastAsia="Times New Roman" w:hAnsi="Times New Roman"/>
          <w:sz w:val="17"/>
          <w:szCs w:val="17"/>
          <w:b w:val="1"/>
          <w:bCs w:val="1"/>
          <w:color w:val="auto"/>
        </w:rPr>
        <w:t xml:space="preserve"> Section 9.8 (Third Party Infringement Claims)</w:t>
      </w:r>
      <w:r>
        <w:rPr>
          <w:rFonts w:ascii="Times New Roman" w:cs="Times New Roman" w:eastAsia="Times New Roman" w:hAnsi="Times New Roman"/>
          <w:sz w:val="17"/>
          <w:szCs w:val="17"/>
          <w:color w:val="auto"/>
        </w:rPr>
        <w:t>, the Party controlling such action or the Defending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Party, as applicable, will have the right to settle or otherwise dispose of such action on such terms as such Party will determine in its sole discretion, including by granting a license or sublicense to a Third Party under the rights granted to such Party in </w:t>
      </w:r>
      <w:r>
        <w:rPr>
          <w:rFonts w:ascii="Times New Roman" w:cs="Times New Roman" w:eastAsia="Times New Roman" w:hAnsi="Times New Roman"/>
          <w:sz w:val="17"/>
          <w:szCs w:val="17"/>
          <w:b w:val="1"/>
          <w:bCs w:val="1"/>
          <w:color w:val="auto"/>
        </w:rPr>
        <w:t>Article 4 (Licenses and Rights)</w:t>
      </w:r>
      <w:r>
        <w:rPr>
          <w:rFonts w:ascii="Times New Roman" w:cs="Times New Roman" w:eastAsia="Times New Roman" w:hAnsi="Times New Roman"/>
          <w:sz w:val="17"/>
          <w:szCs w:val="17"/>
          <w:color w:val="auto"/>
        </w:rPr>
        <w:t>; provided, that any such settlement that results in a sublicense will be subject to the terms and conditions of this Agreement pertaining to sublicenses and, if any such settlement would adversely affect the other Party’s rights under this Agreement or impose a financial obligation upon the other Party or affect the validity or enforceability, of the other Party’s Patents, then any settlement, consent judgment or other voluntary final disposition of such action shall not be entered into without the consent of the other Party (such consent not to be unreasonably withheld, delayed or conditioned).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Patent Extensions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40" w:firstLine="973"/>
        <w:spacing w:after="0" w:line="251" w:lineRule="auto"/>
        <w:rPr>
          <w:sz w:val="20"/>
          <w:szCs w:val="20"/>
          <w:color w:val="auto"/>
        </w:rPr>
      </w:pPr>
      <w:r>
        <w:rPr>
          <w:rFonts w:ascii="Times New Roman" w:cs="Times New Roman" w:eastAsia="Times New Roman" w:hAnsi="Times New Roman"/>
          <w:sz w:val="18"/>
          <w:szCs w:val="18"/>
          <w:b w:val="1"/>
          <w:bCs w:val="1"/>
          <w:color w:val="auto"/>
        </w:rPr>
        <w:t>9.9.1</w:t>
      </w:r>
      <w:r>
        <w:rPr>
          <w:rFonts w:ascii="Times New Roman" w:cs="Times New Roman" w:eastAsia="Times New Roman" w:hAnsi="Times New Roman"/>
          <w:sz w:val="18"/>
          <w:szCs w:val="18"/>
          <w:color w:val="auto"/>
        </w:rPr>
        <w:t xml:space="preserve">  If requested by Kissei, CG shall cooperate in obtaining patent term restoration (including equivalents to the Drug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Competition and Patent Term Restoration Act under Applicable Law in the Territory), supplemental protection certificates or their equivalents, and patent term extensions with respect to the Kissei Collaboration Patents and Joint Collaboration Patents in any country or region in the Territory, where applicable. CG shall provide all reasonable assistance requested by Kissei, including permitting Kissei to proceed with applications for such in the name of CG, if deemed appropriate by Kissei, and executing documents and providing any relevant information (including, for example, all correspondence with any Regulatory Authority regarding the approved Product, Collaboration Compound or Companion Diagnostic) to Kissei.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800"/>
          </w:cols>
          <w:pgMar w:left="540" w:top="265" w:right="559" w:bottom="1440" w:gutter="0" w:footer="0" w:header="0"/>
        </w:sectPr>
      </w:pPr>
    </w:p>
    <w:bookmarkStart w:id="506" w:name="page507"/>
    <w:bookmarkEnd w:id="506"/>
    <w:p>
      <w:pPr>
        <w:jc w:val="both"/>
        <w:ind w:right="12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9.9.2</w:t>
      </w:r>
      <w:r>
        <w:rPr>
          <w:rFonts w:ascii="Times New Roman" w:cs="Times New Roman" w:eastAsia="Times New Roman" w:hAnsi="Times New Roman"/>
          <w:sz w:val="18"/>
          <w:szCs w:val="18"/>
          <w:color w:val="auto"/>
        </w:rPr>
        <w:t xml:space="preserve">  Kissei shall in its sole discretion determine which, if any, Kissei Collaboration Patents or Joint Collaboration Patents it will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extend; provided that Kissei will consider in good faith any timely comments received from or on behalf of CG with respect to such extensions prior to making any application therefor.</w:t>
      </w:r>
    </w:p>
    <w:p>
      <w:pPr>
        <w:spacing w:after="0" w:line="173" w:lineRule="exact"/>
        <w:rPr>
          <w:sz w:val="20"/>
          <w:szCs w:val="20"/>
          <w:color w:val="auto"/>
        </w:rPr>
      </w:pPr>
    </w:p>
    <w:p>
      <w:pPr>
        <w:ind w:firstLine="973"/>
        <w:spacing w:after="0" w:line="275" w:lineRule="auto"/>
        <w:rPr>
          <w:sz w:val="20"/>
          <w:szCs w:val="20"/>
          <w:color w:val="auto"/>
        </w:rPr>
      </w:pPr>
      <w:r>
        <w:rPr>
          <w:rFonts w:ascii="Times New Roman" w:cs="Times New Roman" w:eastAsia="Times New Roman" w:hAnsi="Times New Roman"/>
          <w:sz w:val="17"/>
          <w:szCs w:val="17"/>
          <w:b w:val="1"/>
          <w:bCs w:val="1"/>
          <w:color w:val="auto"/>
        </w:rPr>
        <w:t>9.9.3</w:t>
      </w:r>
      <w:r>
        <w:rPr>
          <w:rFonts w:ascii="Times New Roman" w:cs="Times New Roman" w:eastAsia="Times New Roman" w:hAnsi="Times New Roman"/>
          <w:sz w:val="17"/>
          <w:szCs w:val="17"/>
          <w:color w:val="auto"/>
        </w:rPr>
        <w:t xml:space="preserve">  CG shall make decisions regarding whether to apply for patent term extensions, including supplementary protection certificates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other similar extensions that are now or become available in the future, wherever applicable, for the CG Patents and CG Collaboration Patents in any country worldwide. However, at the written request of Kissei, CG shall consider in good faith the possibility of Kissei determining which, if any, CG Patent or CG Collaboration Patents it will apply to extend in the Territory. If CG so agrees, then Kissei may make such determination.</w:t>
      </w:r>
    </w:p>
    <w:p>
      <w:pPr>
        <w:spacing w:after="0" w:line="164"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9.10  Patent Listings. </w:t>
      </w:r>
      <w:r>
        <w:rPr>
          <w:rFonts w:ascii="Times New Roman" w:cs="Times New Roman" w:eastAsia="Times New Roman" w:hAnsi="Times New Roman"/>
          <w:sz w:val="18"/>
          <w:szCs w:val="18"/>
          <w:color w:val="auto"/>
        </w:rPr>
        <w:t>With respect to any filings made to Regulatory Authorities with respect to Collaboration Compounds, Products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Companion Diagnostics, including, as required or allowed under Applicable Laws in the Territory equivalent to the FDA’s Orange or Purple Book, if applicable, the Parties will jointly have the right to make any such decision whether to list Patents within the CG IP or the Collaboration IP. The Parties will reasonably cooperate in the implementation of any decision made under this </w:t>
      </w:r>
      <w:r>
        <w:rPr>
          <w:rFonts w:ascii="Times New Roman" w:cs="Times New Roman" w:eastAsia="Times New Roman" w:hAnsi="Times New Roman"/>
          <w:sz w:val="18"/>
          <w:szCs w:val="18"/>
          <w:b w:val="1"/>
          <w:bCs w:val="1"/>
          <w:color w:val="auto"/>
        </w:rPr>
        <w:t>Section 9.10 (Patent Listings)</w:t>
      </w:r>
      <w:r>
        <w:rPr>
          <w:rFonts w:ascii="Times New Roman" w:cs="Times New Roman" w:eastAsia="Times New Roman" w:hAnsi="Times New Roman"/>
          <w:sz w:val="18"/>
          <w:szCs w:val="18"/>
          <w:color w:val="auto"/>
        </w:rPr>
        <w:t xml:space="preserve">. Any dispute under this </w:t>
      </w:r>
      <w:r>
        <w:rPr>
          <w:rFonts w:ascii="Times New Roman" w:cs="Times New Roman" w:eastAsia="Times New Roman" w:hAnsi="Times New Roman"/>
          <w:sz w:val="18"/>
          <w:szCs w:val="18"/>
          <w:b w:val="1"/>
          <w:bCs w:val="1"/>
          <w:color w:val="auto"/>
        </w:rPr>
        <w:t>Section 9.10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(Patent Listings) </w:t>
      </w:r>
      <w:r>
        <w:rPr>
          <w:rFonts w:ascii="Times New Roman" w:cs="Times New Roman" w:eastAsia="Times New Roman" w:hAnsi="Times New Roman"/>
          <w:sz w:val="18"/>
          <w:szCs w:val="18"/>
          <w:color w:val="auto"/>
        </w:rPr>
        <w:t>will be resolved pursuant to the dispute resolution provisions of</w:t>
      </w:r>
      <w:r>
        <w:rPr>
          <w:rFonts w:ascii="Times New Roman" w:cs="Times New Roman" w:eastAsia="Times New Roman" w:hAnsi="Times New Roman"/>
          <w:sz w:val="18"/>
          <w:szCs w:val="18"/>
          <w:b w:val="1"/>
          <w:bCs w:val="1"/>
          <w:color w:val="auto"/>
        </w:rPr>
        <w:t xml:space="preserve"> Article 15 (Dispute Resolution)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432"/>
        <w:spacing w:after="0" w:line="264" w:lineRule="auto"/>
        <w:rPr>
          <w:sz w:val="20"/>
          <w:szCs w:val="20"/>
          <w:color w:val="auto"/>
        </w:rPr>
      </w:pPr>
      <w:r>
        <w:rPr>
          <w:rFonts w:ascii="Times New Roman" w:cs="Times New Roman" w:eastAsia="Times New Roman" w:hAnsi="Times New Roman"/>
          <w:sz w:val="17"/>
          <w:szCs w:val="17"/>
          <w:b w:val="1"/>
          <w:bCs w:val="1"/>
          <w:color w:val="auto"/>
        </w:rPr>
        <w:t>9.11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Common Interest</w:t>
      </w:r>
      <w:r>
        <w:rPr>
          <w:rFonts w:ascii="Times New Roman" w:cs="Times New Roman" w:eastAsia="Times New Roman" w:hAnsi="Times New Roman"/>
          <w:sz w:val="17"/>
          <w:szCs w:val="17"/>
          <w:color w:val="auto"/>
        </w:rPr>
        <w:t>. All information exchanged between the Parties regarding the Prosecution and Maintenance, and enforcement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defense, of Patents under this </w:t>
      </w:r>
      <w:r>
        <w:rPr>
          <w:rFonts w:ascii="Times New Roman" w:cs="Times New Roman" w:eastAsia="Times New Roman" w:hAnsi="Times New Roman"/>
          <w:sz w:val="17"/>
          <w:szCs w:val="17"/>
          <w:b w:val="1"/>
          <w:bCs w:val="1"/>
          <w:color w:val="auto"/>
        </w:rPr>
        <w:t>Article 9 (Intellectual Property; Ownership)</w:t>
      </w:r>
      <w:r>
        <w:rPr>
          <w:rFonts w:ascii="Times New Roman" w:cs="Times New Roman" w:eastAsia="Times New Roman" w:hAnsi="Times New Roman"/>
          <w:sz w:val="17"/>
          <w:szCs w:val="17"/>
          <w:color w:val="auto"/>
        </w:rPr>
        <w:t xml:space="preserve"> will be deemed Confidential Information of the disclosing Party. In addition, the Parties acknowledge and agree that, with regard to such Prosecution and Maintenance, and enforcement and defense, the interests of the Parties as collaborators and licensor and licensee are to obtain the strongest patent protection possible, and as such, are aligned and are legal in nature. The Parties agree and acknowledge that they have not waived, and nothing in this Agreement constitutes a waiver of, any legal privilege concerning the Patents under this </w:t>
      </w:r>
      <w:r>
        <w:rPr>
          <w:rFonts w:ascii="Times New Roman" w:cs="Times New Roman" w:eastAsia="Times New Roman" w:hAnsi="Times New Roman"/>
          <w:sz w:val="17"/>
          <w:szCs w:val="17"/>
          <w:b w:val="1"/>
          <w:bCs w:val="1"/>
          <w:color w:val="auto"/>
        </w:rPr>
        <w:t>Article 9 (Intellectual Property; Ownership)</w:t>
      </w:r>
      <w:r>
        <w:rPr>
          <w:rFonts w:ascii="Times New Roman" w:cs="Times New Roman" w:eastAsia="Times New Roman" w:hAnsi="Times New Roman"/>
          <w:sz w:val="17"/>
          <w:szCs w:val="17"/>
          <w:color w:val="auto"/>
        </w:rPr>
        <w:t xml:space="preserve">, including privilege under the common interest doctrine and similar or related doctrines. Notwithstanding anything to the contrary contained herein, to the extent a Party has a good faith belief that any information required to be disclosed by such Party to the other Party under this </w:t>
      </w:r>
      <w:r>
        <w:rPr>
          <w:rFonts w:ascii="Times New Roman" w:cs="Times New Roman" w:eastAsia="Times New Roman" w:hAnsi="Times New Roman"/>
          <w:sz w:val="17"/>
          <w:szCs w:val="17"/>
          <w:b w:val="1"/>
          <w:bCs w:val="1"/>
          <w:color w:val="auto"/>
        </w:rPr>
        <w:t>Article 9 (Intellectual Property; Ownership)</w:t>
      </w:r>
      <w:r>
        <w:rPr>
          <w:rFonts w:ascii="Times New Roman" w:cs="Times New Roman" w:eastAsia="Times New Roman" w:hAnsi="Times New Roman"/>
          <w:sz w:val="17"/>
          <w:szCs w:val="17"/>
          <w:color w:val="auto"/>
        </w:rPr>
        <w:t xml:space="preserve"> is protected by attorney-client privilege or any other applicable legal privilege or immunity, such Party shall not be required to disclose such information and the Parties shall in good faith cooperate to agree upon a procedure (including entering into a specific common interest agreement, disclosing such information on a “for counsel eyes only” basis or similar procedure) under which such information may be disclosed without waiving or breaching such privilege or immunity.</w:t>
      </w:r>
    </w:p>
    <w:p>
      <w:pPr>
        <w:spacing w:after="0" w:line="179"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Trademarks</w:t>
      </w:r>
      <w:r>
        <w:rPr>
          <w:rFonts w:ascii="Times New Roman" w:cs="Times New Roman" w:eastAsia="Times New Roman" w:hAnsi="Times New Roman"/>
          <w:sz w:val="18"/>
          <w:szCs w:val="18"/>
          <w:color w:val="auto"/>
        </w:rPr>
        <w:t>. Kissei shall have the right to brand the Products and Companion Diagnostics in the Territory using Kissei related trademarks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other trademarks and trade names it determines appropriate for the Products or Companion Diagnostics, which may vary by country or within a country (other than the CG Trademark, the “</w:t>
      </w:r>
      <w:r>
        <w:rPr>
          <w:rFonts w:ascii="Times New Roman" w:cs="Times New Roman" w:eastAsia="Times New Roman" w:hAnsi="Times New Roman"/>
          <w:sz w:val="18"/>
          <w:szCs w:val="18"/>
          <w:b w:val="1"/>
          <w:bCs w:val="1"/>
          <w:color w:val="auto"/>
        </w:rPr>
        <w:t>Specified Marks</w:t>
      </w:r>
      <w:r>
        <w:rPr>
          <w:rFonts w:ascii="Times New Roman" w:cs="Times New Roman" w:eastAsia="Times New Roman" w:hAnsi="Times New Roman"/>
          <w:sz w:val="18"/>
          <w:szCs w:val="18"/>
          <w:color w:val="auto"/>
        </w:rPr>
        <w:t>”). Kissei shall own all rights in, to and under the Specified Marks, including all goodwill associated therewith, and may register and maintain the Specified Marks in the countries and regions it determines reasonably necessary, and no rights are granted to CG or its Affiliates, under this Agreement 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00"/>
          </w:cols>
          <w:pgMar w:left="540" w:top="265" w:right="559" w:bottom="1440" w:gutter="0" w:footer="0" w:header="0"/>
        </w:sectPr>
      </w:pPr>
    </w:p>
    <w:bookmarkStart w:id="507" w:name="page508"/>
    <w:bookmarkEnd w:id="507"/>
    <w:p>
      <w:pPr>
        <w:ind w:left="2" w:right="4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otherwise, to use the Specified Marks. CG shall have the right to brand the Products and Companion Diagnostics outside of the Territory using CG related trademarks, including the CG Trademark, and any other trademarks and trade names it determines appropriate for the Products or Companion Diagnostics, which may vary by country or within a country. Notwithstanding anything to the contrary in this Agreement, but subject to the licenses granted to Kissei under </w:t>
      </w:r>
      <w:r>
        <w:rPr>
          <w:rFonts w:ascii="Times New Roman" w:cs="Times New Roman" w:eastAsia="Times New Roman" w:hAnsi="Times New Roman"/>
          <w:sz w:val="18"/>
          <w:szCs w:val="18"/>
          <w:b w:val="1"/>
          <w:bCs w:val="1"/>
          <w:color w:val="auto"/>
        </w:rPr>
        <w:t>Sections 4.1.1 (Products)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4.1.2 (Companion Diagnostics)</w:t>
      </w:r>
      <w:r>
        <w:rPr>
          <w:rFonts w:ascii="Times New Roman" w:cs="Times New Roman" w:eastAsia="Times New Roman" w:hAnsi="Times New Roman"/>
          <w:sz w:val="18"/>
          <w:szCs w:val="18"/>
          <w:color w:val="auto"/>
        </w:rPr>
        <w:t>, the Parties agree and acknowledge that, as between the Parties, CG owns and will own the entire right, title, and interest in, to and under the CG Trademarks as well as CG’s corporate name and any trademarks used by CG, including all registrations and applications for registrations of the foregoing and all goodwill associated therewith; provided, that, Kissei will own goodwill associated with the Specified Marks and with Kissei’s business, generally or as it relates to the Collaboration Compounds, Products or Companion Diagnostics in the Territory.</w:t>
      </w:r>
    </w:p>
    <w:p>
      <w:pPr>
        <w:spacing w:after="0" w:line="188"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9.13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Third Party Technologies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firstLine="973"/>
        <w:spacing w:after="0" w:line="249" w:lineRule="auto"/>
        <w:rPr>
          <w:sz w:val="20"/>
          <w:szCs w:val="20"/>
          <w:color w:val="auto"/>
        </w:rPr>
      </w:pPr>
      <w:r>
        <w:rPr>
          <w:rFonts w:ascii="Times New Roman" w:cs="Times New Roman" w:eastAsia="Times New Roman" w:hAnsi="Times New Roman"/>
          <w:sz w:val="18"/>
          <w:szCs w:val="18"/>
          <w:b w:val="1"/>
          <w:bCs w:val="1"/>
          <w:color w:val="auto"/>
        </w:rPr>
        <w:t>9.13.1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Generally</w:t>
      </w:r>
      <w:r>
        <w:rPr>
          <w:rFonts w:ascii="Times New Roman" w:cs="Times New Roman" w:eastAsia="Times New Roman" w:hAnsi="Times New Roman"/>
          <w:sz w:val="18"/>
          <w:szCs w:val="18"/>
          <w:color w:val="auto"/>
        </w:rPr>
        <w:t>. With respect to the Prosecution and Maintenance, and enforcement, of CG Patents licensed by CG from a 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extent CG has the right to do so, CG shall cooperate with Kissei to Prosecute and Maintain, and to enforce, such CG Patents in the Territory in the same manner as set forth in this </w:t>
      </w:r>
      <w:r>
        <w:rPr>
          <w:rFonts w:ascii="Times New Roman" w:cs="Times New Roman" w:eastAsia="Times New Roman" w:hAnsi="Times New Roman"/>
          <w:sz w:val="18"/>
          <w:szCs w:val="18"/>
          <w:b w:val="1"/>
          <w:bCs w:val="1"/>
          <w:color w:val="auto"/>
        </w:rPr>
        <w:t>Article 9 (Intellectual Property; Ownership)</w:t>
      </w:r>
      <w:r>
        <w:rPr>
          <w:rFonts w:ascii="Times New Roman" w:cs="Times New Roman" w:eastAsia="Times New Roman" w:hAnsi="Times New Roman"/>
          <w:sz w:val="18"/>
          <w:szCs w:val="18"/>
          <w:color w:val="auto"/>
        </w:rPr>
        <w:t xml:space="preserve">. As between CG and Kissei, any recoveries from enforcement of such CG Patents licensed from a Third Party (including any amounts that CG receives from the Third Party licensor as a result of such enforcement) shall be shared in accordance with </w:t>
      </w:r>
      <w:r>
        <w:rPr>
          <w:rFonts w:ascii="Times New Roman" w:cs="Times New Roman" w:eastAsia="Times New Roman" w:hAnsi="Times New Roman"/>
          <w:sz w:val="18"/>
          <w:szCs w:val="18"/>
          <w:b w:val="1"/>
          <w:bCs w:val="1"/>
          <w:color w:val="auto"/>
        </w:rPr>
        <w:t>Section 9.7.6 (Withdrawal, Cooperation and Participation; Recoveries)</w:t>
      </w:r>
      <w:r>
        <w:rPr>
          <w:rFonts w:ascii="Times New Roman" w:cs="Times New Roman" w:eastAsia="Times New Roman" w:hAnsi="Times New Roman"/>
          <w:sz w:val="18"/>
          <w:szCs w:val="18"/>
          <w:color w:val="auto"/>
        </w:rPr>
        <w:t xml:space="preserve">, after deducting from such recoveries any amounts owed to the Third Party licensor for such enforcement; provided, that any actions with respect to Competitive Infringement initiated by the Third Party licensor shall be deemed initiated by CG for purposes of </w:t>
      </w:r>
      <w:r>
        <w:rPr>
          <w:rFonts w:ascii="Times New Roman" w:cs="Times New Roman" w:eastAsia="Times New Roman" w:hAnsi="Times New Roman"/>
          <w:sz w:val="18"/>
          <w:szCs w:val="18"/>
          <w:b w:val="1"/>
          <w:bCs w:val="1"/>
          <w:color w:val="auto"/>
        </w:rPr>
        <w:t>Section 9.7.6 (Withdrawal, Cooperation and Participation; Recoveries)</w:t>
      </w:r>
      <w:r>
        <w:rPr>
          <w:rFonts w:ascii="Times New Roman" w:cs="Times New Roman" w:eastAsia="Times New Roman" w:hAnsi="Times New Roman"/>
          <w:sz w:val="18"/>
          <w:szCs w:val="18"/>
          <w:color w:val="auto"/>
        </w:rPr>
        <w:t>, and the costs and expenses incurred by CG in such action shall include the costs and expenses reimbursed or required to be reimbursed by CG to the Third Party licensor in such action.</w:t>
      </w:r>
    </w:p>
    <w:p>
      <w:pPr>
        <w:spacing w:after="0" w:line="399"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17"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1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Non-use and Non-disclosure of Confidential Information</w:t>
      </w:r>
      <w:r>
        <w:rPr>
          <w:rFonts w:ascii="Times New Roman" w:cs="Times New Roman" w:eastAsia="Times New Roman" w:hAnsi="Times New Roman"/>
          <w:sz w:val="18"/>
          <w:szCs w:val="18"/>
          <w:color w:val="auto"/>
        </w:rPr>
        <w:t>. During the Term, and for a period of [***] thereafter, each Party shall</w:t>
      </w:r>
    </w:p>
    <w:p>
      <w:pPr>
        <w:spacing w:after="0" w:line="26" w:lineRule="exact"/>
        <w:rPr>
          <w:sz w:val="20"/>
          <w:szCs w:val="20"/>
          <w:color w:val="auto"/>
        </w:rPr>
      </w:pPr>
    </w:p>
    <w:p>
      <w:pPr>
        <w:ind w:left="2" w:right="40" w:hanging="2"/>
        <w:spacing w:after="0" w:line="247" w:lineRule="auto"/>
        <w:tabs>
          <w:tab w:leader="none" w:pos="21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expressly permitted by this Agreement or otherwise agreed to in writing, keep confidential and not disclose to any Third Party any Confidential Information of the other Party; (ii) except to the extent expressly permitted by this Agreement or reasonably necessary for the performance of its obligations or the exercise of its rights under this Agreement or otherwise agreed to in writing, not use for any purpose any Confidential Information of the other Party; and (iii) take all reasonable precautions to protect the Confidential Information of the other Party, including all precautions a Party employs with respect to its own confidential information.</w:t>
      </w:r>
    </w:p>
    <w:p>
      <w:pPr>
        <w:spacing w:after="0" w:line="186" w:lineRule="exact"/>
        <w:rPr>
          <w:sz w:val="20"/>
          <w:szCs w:val="20"/>
          <w:color w:val="auto"/>
        </w:rPr>
      </w:pPr>
    </w:p>
    <w:p>
      <w:pPr>
        <w:ind w:left="2" w:right="2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Exclusions Regarding Confidential Information</w:t>
      </w:r>
      <w:r>
        <w:rPr>
          <w:rFonts w:ascii="Times New Roman" w:cs="Times New Roman" w:eastAsia="Times New Roman" w:hAnsi="Times New Roman"/>
          <w:sz w:val="18"/>
          <w:szCs w:val="18"/>
          <w:color w:val="auto"/>
        </w:rPr>
        <w:t>. Notwithstanding anything set forth in this</w:t>
      </w:r>
      <w:r>
        <w:rPr>
          <w:rFonts w:ascii="Times New Roman" w:cs="Times New Roman" w:eastAsia="Times New Roman" w:hAnsi="Times New Roman"/>
          <w:sz w:val="18"/>
          <w:szCs w:val="18"/>
          <w:b w:val="1"/>
          <w:bCs w:val="1"/>
          <w:color w:val="auto"/>
        </w:rPr>
        <w:t xml:space="preserve"> Article 10 (Confidentiality) </w:t>
      </w:r>
      <w:r>
        <w:rPr>
          <w:rFonts w:ascii="Times New Roman" w:cs="Times New Roman" w:eastAsia="Times New Roman" w:hAnsi="Times New Roman"/>
          <w:sz w:val="18"/>
          <w:szCs w:val="18"/>
          <w:color w:val="auto"/>
        </w:rPr>
        <w:t>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obligations of </w:t>
      </w:r>
      <w:r>
        <w:rPr>
          <w:rFonts w:ascii="Times New Roman" w:cs="Times New Roman" w:eastAsia="Times New Roman" w:hAnsi="Times New Roman"/>
          <w:sz w:val="18"/>
          <w:szCs w:val="18"/>
          <w:b w:val="1"/>
          <w:bCs w:val="1"/>
          <w:color w:val="auto"/>
        </w:rPr>
        <w:t>Section 10.1 (Non-use and Non-disclosure of Confidential Information)</w:t>
      </w:r>
      <w:r>
        <w:rPr>
          <w:rFonts w:ascii="Times New Roman" w:cs="Times New Roman" w:eastAsia="Times New Roman" w:hAnsi="Times New Roman"/>
          <w:sz w:val="18"/>
          <w:szCs w:val="18"/>
          <w:color w:val="auto"/>
        </w:rPr>
        <w:t xml:space="preserve"> above shall not apply to the extent that the Party seeking the benefit of the exclusion can demonstrate that the Confidential Information of the other Party:</w:t>
      </w:r>
    </w:p>
    <w:p>
      <w:pPr>
        <w:spacing w:after="0" w:line="108"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62"/>
          </w:cols>
          <w:pgMar w:left="538" w:top="267" w:right="599" w:bottom="1440" w:gutter="0" w:footer="0" w:header="0"/>
        </w:sectPr>
      </w:pPr>
    </w:p>
    <w:bookmarkStart w:id="508" w:name="page509"/>
    <w:bookmarkEnd w:id="508"/>
    <w:p>
      <w:pPr>
        <w:ind w:left="1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w:t>
      </w:r>
      <w:r>
        <w:rPr>
          <w:rFonts w:ascii="Times New Roman" w:cs="Times New Roman" w:eastAsia="Times New Roman" w:hAnsi="Times New Roman"/>
          <w:sz w:val="18"/>
          <w:szCs w:val="18"/>
          <w:color w:val="auto"/>
        </w:rPr>
        <w:t xml:space="preserve">   was already known to the receiving Party, other than under an obligation of confidentiality, at the time of receipt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Party;</w:t>
      </w:r>
    </w:p>
    <w:p>
      <w:pPr>
        <w:spacing w:after="0" w:line="19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was generally available to the public or otherwise part of the public domain at the time of its receipt by the receiving Party;</w:t>
      </w:r>
    </w:p>
    <w:p>
      <w:pPr>
        <w:spacing w:after="0" w:line="217" w:lineRule="exact"/>
        <w:rPr>
          <w:sz w:val="20"/>
          <w:szCs w:val="20"/>
          <w:color w:val="auto"/>
        </w:rPr>
      </w:pPr>
    </w:p>
    <w:p>
      <w:pPr>
        <w:ind w:right="32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became generally available to the public or otherwise part of the public domain after its receipt by the receiving Party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through any act or omission of the receiving Party in breach of this Agreement;</w:t>
      </w:r>
    </w:p>
    <w:p>
      <w:pPr>
        <w:spacing w:after="0" w:line="160" w:lineRule="exact"/>
        <w:rPr>
          <w:sz w:val="20"/>
          <w:szCs w:val="20"/>
          <w:color w:val="auto"/>
        </w:rPr>
      </w:pPr>
    </w:p>
    <w:p>
      <w:pPr>
        <w:ind w:right="34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was received by the receiving Party without an obligation of confidentiality from a Third Party having the right to disclose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information without restriction;</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was independently developed by or for the receiving Party without use of or reference to the Confidential Information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Party; or</w:t>
      </w:r>
    </w:p>
    <w:p>
      <w:pPr>
        <w:spacing w:after="0" w:line="19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was released from the restrictions set forth in this Agreement by express prior written consent of the Party.</w:t>
      </w:r>
    </w:p>
    <w:p>
      <w:pPr>
        <w:spacing w:after="0" w:line="217" w:lineRule="exact"/>
        <w:rPr>
          <w:sz w:val="20"/>
          <w:szCs w:val="20"/>
          <w:color w:val="auto"/>
        </w:rPr>
      </w:pPr>
    </w:p>
    <w:p>
      <w:pPr>
        <w:ind w:right="28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Authorized Uses and Disclosures of Confidential Information</w:t>
      </w:r>
      <w:r>
        <w:rPr>
          <w:rFonts w:ascii="Times New Roman" w:cs="Times New Roman" w:eastAsia="Times New Roman" w:hAnsi="Times New Roman"/>
          <w:sz w:val="18"/>
          <w:szCs w:val="18"/>
          <w:color w:val="auto"/>
        </w:rPr>
        <w:t>. Notwithstanding the provisions of</w:t>
      </w:r>
      <w:r>
        <w:rPr>
          <w:rFonts w:ascii="Times New Roman" w:cs="Times New Roman" w:eastAsia="Times New Roman" w:hAnsi="Times New Roman"/>
          <w:sz w:val="18"/>
          <w:szCs w:val="18"/>
          <w:b w:val="1"/>
          <w:bCs w:val="1"/>
          <w:color w:val="auto"/>
        </w:rPr>
        <w:t xml:space="preserve"> Sections 10.1 (Non-use and Non-disclosure of Confidential Information)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10.2 (Exclusions Regarding Confidential Information) </w:t>
      </w:r>
      <w:r>
        <w:rPr>
          <w:rFonts w:ascii="Times New Roman" w:cs="Times New Roman" w:eastAsia="Times New Roman" w:hAnsi="Times New Roman"/>
          <w:sz w:val="18"/>
          <w:szCs w:val="18"/>
          <w:color w:val="auto"/>
        </w:rPr>
        <w:t>and subject to this</w:t>
      </w:r>
      <w:r>
        <w:rPr>
          <w:rFonts w:ascii="Times New Roman" w:cs="Times New Roman" w:eastAsia="Times New Roman" w:hAnsi="Times New Roman"/>
          <w:sz w:val="18"/>
          <w:szCs w:val="18"/>
          <w:b w:val="1"/>
          <w:bCs w:val="1"/>
          <w:color w:val="auto"/>
        </w:rPr>
        <w:t xml:space="preserve"> Section 10.3 (Authorized Uses and Disclosures of Confidential Information)</w:t>
      </w:r>
      <w:r>
        <w:rPr>
          <w:rFonts w:ascii="Times New Roman" w:cs="Times New Roman" w:eastAsia="Times New Roman" w:hAnsi="Times New Roman"/>
          <w:sz w:val="18"/>
          <w:szCs w:val="18"/>
          <w:color w:val="auto"/>
        </w:rPr>
        <w:t>, each Party may use or disclose the Confidential Information of the other Party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77" w:lineRule="exact"/>
        <w:rPr>
          <w:sz w:val="20"/>
          <w:szCs w:val="20"/>
          <w:color w:val="auto"/>
        </w:rPr>
      </w:pPr>
    </w:p>
    <w:p>
      <w:pPr>
        <w:ind w:firstLine="1406"/>
        <w:spacing w:after="0" w:line="251"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to the extent required by any Applicable Law, rule or governmental regulation, including as may be required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filings made with, or by the disclosure requirements of a major stock exchange; provided, that the Party seeking to disclose the Confidential Information of the other Party (i) inform the other Party prior to making any such disclosures and cooperate with the other Party, upon request, in seeking a protective order or other appropriate remedy (including redaction) and (ii) whenever possible, request confidential treatment of such information; provided that any Confidential Information that is disclosed as permitted by this </w:t>
      </w:r>
      <w:r>
        <w:rPr>
          <w:rFonts w:ascii="Times New Roman" w:cs="Times New Roman" w:eastAsia="Times New Roman" w:hAnsi="Times New Roman"/>
          <w:sz w:val="18"/>
          <w:szCs w:val="18"/>
          <w:b w:val="1"/>
          <w:bCs w:val="1"/>
          <w:color w:val="auto"/>
        </w:rPr>
        <w:t>Section 10.3(a) (Authorized Uses and Disclosures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shall remain otherwise subject to the confidentiality and non-use provisions of this</w:t>
      </w:r>
      <w:r>
        <w:rPr>
          <w:rFonts w:ascii="Times New Roman" w:cs="Times New Roman" w:eastAsia="Times New Roman" w:hAnsi="Times New Roman"/>
          <w:sz w:val="18"/>
          <w:szCs w:val="18"/>
          <w:b w:val="1"/>
          <w:bCs w:val="1"/>
          <w:color w:val="auto"/>
        </w:rPr>
        <w:t xml:space="preserve"> Article 10 (Confidentiality)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to the extent such use or disclosure is reasonably required in the Prosecution and Maintenance of a Patent in accordance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196" w:lineRule="exact"/>
        <w:rPr>
          <w:sz w:val="20"/>
          <w:szCs w:val="20"/>
          <w:color w:val="auto"/>
        </w:rPr>
      </w:pPr>
    </w:p>
    <w:p>
      <w:pPr>
        <w:ind w:right="360" w:firstLine="1406"/>
        <w:spacing w:after="0" w:line="261"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as reasonably necessary to obtain or maintain any regulatory approval, including to conduct preclinical studies and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trials and for pricing approvals, for any Products, provided, that, the disclosing Party shall take all reasonable steps to limit disclosure of the Confidential Information outside such regulatory agency and to otherwise maintain the confidentiality of the Confidential Information;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800"/>
          </w:cols>
          <w:pgMar w:left="540" w:top="265" w:right="559" w:bottom="1440" w:gutter="0" w:footer="0" w:header="0"/>
        </w:sectPr>
      </w:pPr>
    </w:p>
    <w:bookmarkStart w:id="509" w:name="page510"/>
    <w:bookmarkEnd w:id="509"/>
    <w:p>
      <w:pPr>
        <w:ind w:right="22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(d)</w:t>
      </w:r>
      <w:r>
        <w:rPr>
          <w:rFonts w:ascii="Times New Roman" w:cs="Times New Roman" w:eastAsia="Times New Roman" w:hAnsi="Times New Roman"/>
          <w:sz w:val="18"/>
          <w:szCs w:val="18"/>
          <w:color w:val="auto"/>
        </w:rPr>
        <w:t xml:space="preserve">  to the extent reasonably necessary to file or pursue any legal action that it deems necessary to protect its interest under,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 compliance with the terms and conditions of, this Agreement; or</w:t>
      </w:r>
    </w:p>
    <w:p>
      <w:pPr>
        <w:spacing w:after="0" w:line="160" w:lineRule="exact"/>
        <w:rPr>
          <w:sz w:val="20"/>
          <w:szCs w:val="20"/>
          <w:color w:val="auto"/>
        </w:rPr>
      </w:pPr>
    </w:p>
    <w:p>
      <w:pPr>
        <w:ind w:right="80" w:firstLine="1406"/>
        <w:spacing w:after="0" w:line="268" w:lineRule="auto"/>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xml:space="preserve">  to the extent reasonably necessary, to permitted sublicensees, licensees, collaborators, vendors, consultants, agents, attorneys,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contractors and clinicians under written agreements of confidentiality at least as restrictive on those set forth in this Agreement, who have a need to know such information for such Party to perform its obligations or exercise its rights under this Agreement. Further, the receiving Party may disclose Confidential Information of the disclosing Party to existing or potential acquirers, merger partners, collaborators, licensees, sublicensees and sources of financing or to professional advisors (e.g., attorneys, accountants and prospective investment bankers) involved in such activities, for the limited purpose of evaluating such transaction, collaboration, or license or sublicense and under appropriate conditions of confidentiality, only to the extent necessary and with the agreement by those permitted individuals to maintain such Confidential Information in strict confidence.</w:t>
      </w:r>
    </w:p>
    <w:p>
      <w:pPr>
        <w:spacing w:after="0" w:line="168"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Terms of this Agreement</w:t>
      </w:r>
      <w:r>
        <w:rPr>
          <w:rFonts w:ascii="Times New Roman" w:cs="Times New Roman" w:eastAsia="Times New Roman" w:hAnsi="Times New Roman"/>
          <w:sz w:val="18"/>
          <w:szCs w:val="18"/>
          <w:color w:val="auto"/>
        </w:rPr>
        <w:t>. The Parties agree that this Agreement and the terms hereof will be considered Confidential Information of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w:t>
      </w:r>
    </w:p>
    <w:p>
      <w:pPr>
        <w:spacing w:after="0" w:line="160" w:lineRule="exact"/>
        <w:rPr>
          <w:sz w:val="20"/>
          <w:szCs w:val="20"/>
          <w:color w:val="auto"/>
        </w:rPr>
      </w:pPr>
    </w:p>
    <w:p>
      <w:pPr>
        <w:ind w:right="20" w:firstLine="432"/>
        <w:spacing w:after="0" w:line="271" w:lineRule="auto"/>
        <w:rPr>
          <w:sz w:val="20"/>
          <w:szCs w:val="20"/>
          <w:color w:val="auto"/>
        </w:rPr>
      </w:pPr>
      <w:r>
        <w:rPr>
          <w:rFonts w:ascii="Times New Roman" w:cs="Times New Roman" w:eastAsia="Times New Roman" w:hAnsi="Times New Roman"/>
          <w:sz w:val="17"/>
          <w:szCs w:val="17"/>
          <w:b w:val="1"/>
          <w:bCs w:val="1"/>
          <w:color w:val="auto"/>
        </w:rPr>
        <w:t>10.5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Prior Agreements</w:t>
      </w:r>
      <w:r>
        <w:rPr>
          <w:rFonts w:ascii="Times New Roman" w:cs="Times New Roman" w:eastAsia="Times New Roman" w:hAnsi="Times New Roman"/>
          <w:sz w:val="17"/>
          <w:szCs w:val="17"/>
          <w:color w:val="auto"/>
        </w:rPr>
        <w:t>. As of the Effective Date, as between the Parties, (a) all “</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(as defined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Mutual Confidentiality Agreement effective as of November 15th, 2018 and as amended as of November 6th, 2019 by and between CG and Kissei (the “</w:t>
      </w:r>
      <w:r>
        <w:rPr>
          <w:rFonts w:ascii="Times New Roman" w:cs="Times New Roman" w:eastAsia="Times New Roman" w:hAnsi="Times New Roman"/>
          <w:sz w:val="17"/>
          <w:szCs w:val="17"/>
          <w:b w:val="1"/>
          <w:bCs w:val="1"/>
          <w:color w:val="auto"/>
        </w:rPr>
        <w:t>CDA</w:t>
      </w:r>
      <w:r>
        <w:rPr>
          <w:rFonts w:ascii="Times New Roman" w:cs="Times New Roman" w:eastAsia="Times New Roman" w:hAnsi="Times New Roman"/>
          <w:sz w:val="17"/>
          <w:szCs w:val="17"/>
          <w:color w:val="auto"/>
        </w:rPr>
        <w:t xml:space="preserve">”) ) and all other information exchanged between the Parties thereunder relating to the subject matter of this Agreement shall be deemed Confidential Information hereunder and shall be subject to the provisions of this </w:t>
      </w:r>
      <w:r>
        <w:rPr>
          <w:rFonts w:ascii="Times New Roman" w:cs="Times New Roman" w:eastAsia="Times New Roman" w:hAnsi="Times New Roman"/>
          <w:sz w:val="17"/>
          <w:szCs w:val="17"/>
          <w:b w:val="1"/>
          <w:bCs w:val="1"/>
          <w:color w:val="auto"/>
        </w:rPr>
        <w:t>Article 10 (Confidentiality)</w:t>
      </w:r>
      <w:r>
        <w:rPr>
          <w:rFonts w:ascii="Times New Roman" w:cs="Times New Roman" w:eastAsia="Times New Roman" w:hAnsi="Times New Roman"/>
          <w:sz w:val="17"/>
          <w:szCs w:val="17"/>
          <w:color w:val="auto"/>
        </w:rPr>
        <w:t xml:space="preserve">, and (b) without limiting the provisions of </w:t>
      </w:r>
      <w:r>
        <w:rPr>
          <w:rFonts w:ascii="Times New Roman" w:cs="Times New Roman" w:eastAsia="Times New Roman" w:hAnsi="Times New Roman"/>
          <w:sz w:val="17"/>
          <w:szCs w:val="17"/>
          <w:b w:val="1"/>
          <w:bCs w:val="1"/>
          <w:color w:val="auto"/>
        </w:rPr>
        <w:t>Section 16.5 (Integration)</w:t>
      </w:r>
      <w:r>
        <w:rPr>
          <w:rFonts w:ascii="Times New Roman" w:cs="Times New Roman" w:eastAsia="Times New Roman" w:hAnsi="Times New Roman"/>
          <w:sz w:val="17"/>
          <w:szCs w:val="17"/>
          <w:color w:val="auto"/>
        </w:rPr>
        <w:t>, the confidentiality provisions of the CDA shall be superseded by the provisions of this</w:t>
      </w:r>
      <w:r>
        <w:rPr>
          <w:rFonts w:ascii="Times New Roman" w:cs="Times New Roman" w:eastAsia="Times New Roman" w:hAnsi="Times New Roman"/>
          <w:sz w:val="17"/>
          <w:szCs w:val="17"/>
          <w:b w:val="1"/>
          <w:bCs w:val="1"/>
          <w:color w:val="auto"/>
        </w:rPr>
        <w:t xml:space="preserve"> Article 10 (Confidentiality)</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right="520" w:firstLine="432"/>
        <w:spacing w:after="0" w:line="283" w:lineRule="auto"/>
        <w:rPr>
          <w:sz w:val="20"/>
          <w:szCs w:val="20"/>
          <w:color w:val="auto"/>
        </w:rPr>
      </w:pPr>
      <w:r>
        <w:rPr>
          <w:rFonts w:ascii="Times New Roman" w:cs="Times New Roman" w:eastAsia="Times New Roman" w:hAnsi="Times New Roman"/>
          <w:sz w:val="17"/>
          <w:szCs w:val="17"/>
          <w:b w:val="1"/>
          <w:bCs w:val="1"/>
          <w:color w:val="auto"/>
        </w:rPr>
        <w:t>10.6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 License</w:t>
      </w:r>
      <w:r>
        <w:rPr>
          <w:rFonts w:ascii="Times New Roman" w:cs="Times New Roman" w:eastAsia="Times New Roman" w:hAnsi="Times New Roman"/>
          <w:sz w:val="17"/>
          <w:szCs w:val="17"/>
          <w:color w:val="auto"/>
        </w:rPr>
        <w:t>. As between the Parties, Confidential Information disclosed hereunder shall remain the property of the disclosing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Disclosure of Confidential Information to the other Party shall not constitute any grant, option or license to the other Party, beyond those licenses expressly granted under </w:t>
      </w:r>
      <w:r>
        <w:rPr>
          <w:rFonts w:ascii="Times New Roman" w:cs="Times New Roman" w:eastAsia="Times New Roman" w:hAnsi="Times New Roman"/>
          <w:sz w:val="17"/>
          <w:szCs w:val="17"/>
          <w:b w:val="1"/>
          <w:bCs w:val="1"/>
          <w:color w:val="auto"/>
        </w:rPr>
        <w:t>Article 4 (Licenses and Rights)</w:t>
      </w:r>
      <w:r>
        <w:rPr>
          <w:rFonts w:ascii="Times New Roman" w:cs="Times New Roman" w:eastAsia="Times New Roman" w:hAnsi="Times New Roman"/>
          <w:sz w:val="17"/>
          <w:szCs w:val="17"/>
          <w:color w:val="auto"/>
        </w:rPr>
        <w:t>, under any patent, trade secret or other rights held by the disclosing Party.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PUBLICITY; PUBLICATIONS; USE OF NAME</w:t>
      </w:r>
    </w:p>
    <w:p>
      <w:pPr>
        <w:spacing w:after="0" w:line="217"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Initial Press Release</w:t>
      </w:r>
      <w:r>
        <w:rPr>
          <w:rFonts w:ascii="Times New Roman" w:cs="Times New Roman" w:eastAsia="Times New Roman" w:hAnsi="Times New Roman"/>
          <w:sz w:val="18"/>
          <w:szCs w:val="18"/>
          <w:color w:val="auto"/>
        </w:rPr>
        <w:t>. The Parties shall have the right to make a public announcement of the execution of this Agreement in the form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press release, to be mutually agreed upon by the Parties, on or shortly following the Effective Date, and thereafter each Party shall be entitled to make or publish any public statement consistent with the contents thereof upon [***] prior notice to the other Party, but only to the extent such subsequent publication or public statement only discloses information that has previously been approved for disclosure by the other Party. For the avoidance of doubt, each Party may make subsequent public disclosure of the all or a portion of the contents of the initial press release without the further approval of the other Party.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80"/>
          </w:cols>
          <w:pgMar w:left="540" w:top="265" w:right="579" w:bottom="1440" w:gutter="0" w:footer="0" w:header="0"/>
        </w:sectPr>
      </w:pPr>
    </w:p>
    <w:bookmarkStart w:id="510" w:name="page511"/>
    <w:bookmarkEnd w:id="510"/>
    <w:p>
      <w:pPr>
        <w:jc w:val="both"/>
        <w:ind w:right="44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Releases</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b w:val="1"/>
          <w:bCs w:val="1"/>
          <w:color w:val="auto"/>
        </w:rPr>
        <w:t xml:space="preserve"> Section 11.1 (Initial Press Release)</w:t>
      </w:r>
      <w:r>
        <w:rPr>
          <w:rFonts w:ascii="Times New Roman" w:cs="Times New Roman" w:eastAsia="Times New Roman" w:hAnsi="Times New Roman"/>
          <w:sz w:val="18"/>
          <w:szCs w:val="18"/>
          <w:color w:val="auto"/>
        </w:rPr>
        <w:t>, the text of any other press releases or other public statements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announcement concerning this Agreement, the subject matter hereof, or the research, development or commercial results of products hereunder (a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shall be addressed pursuant to this </w:t>
      </w:r>
      <w:r>
        <w:rPr>
          <w:rFonts w:ascii="Times New Roman" w:cs="Times New Roman" w:eastAsia="Times New Roman" w:hAnsi="Times New Roman"/>
          <w:sz w:val="18"/>
          <w:szCs w:val="18"/>
          <w:b w:val="1"/>
          <w:bCs w:val="1"/>
          <w:color w:val="auto"/>
        </w:rPr>
        <w:t>Section 11.2 (Releases)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11.2.1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Releases Reporting the Activities of the Development Program</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Section 11.2.4 (Releases Requires by Law or Regulation)</w:t>
      </w:r>
      <w:r>
        <w:rPr>
          <w:rFonts w:ascii="Times New Roman" w:cs="Times New Roman" w:eastAsia="Times New Roman" w:hAnsi="Times New Roman"/>
          <w:sz w:val="18"/>
          <w:szCs w:val="18"/>
          <w:color w:val="auto"/>
        </w:rPr>
        <w:t>, neither Party may issue a Release reporting on the activities under the Development Program without the prior written consent of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consent shall not be unreasonably withheld, conditioned or delayed.</w:t>
      </w:r>
    </w:p>
    <w:p>
      <w:pPr>
        <w:spacing w:after="0" w:line="173" w:lineRule="exact"/>
        <w:rPr>
          <w:sz w:val="20"/>
          <w:szCs w:val="20"/>
          <w:color w:val="auto"/>
        </w:rPr>
      </w:pPr>
    </w:p>
    <w:p>
      <w:pPr>
        <w:ind w:right="28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11.2.2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Releases Reporting on the Development or Commercialization of Collaboration Compounds, Products and Companion Diagnostics.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Section 11.2.4 (Releases Requires by Law or Regulation)</w:t>
      </w:r>
      <w:r>
        <w:rPr>
          <w:rFonts w:ascii="Times New Roman" w:cs="Times New Roman" w:eastAsia="Times New Roman" w:hAnsi="Times New Roman"/>
          <w:sz w:val="18"/>
          <w:szCs w:val="18"/>
          <w:color w:val="auto"/>
        </w:rPr>
        <w:t>, in connection with the development (outside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or commercialization of Collaboration Compound, Products and Companion Diagnostics:</w:t>
      </w:r>
    </w:p>
    <w:p>
      <w:pPr>
        <w:spacing w:after="0" w:line="6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CG may not issue a Release without Kissei’s prior written consent; and</w:t>
      </w:r>
    </w:p>
    <w:p>
      <w:pPr>
        <w:spacing w:after="0" w:line="111" w:lineRule="exact"/>
        <w:rPr>
          <w:sz w:val="20"/>
          <w:szCs w:val="20"/>
          <w:color w:val="auto"/>
        </w:rPr>
      </w:pPr>
    </w:p>
    <w:p>
      <w:pPr>
        <w:ind w:right="300" w:firstLine="1946"/>
        <w:spacing w:after="0" w:line="276"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Kissei may not issue a Release without CG’s prior written consent if it includes reference to CG by name, which,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case, consent shall not be unreasonably withheld, conditioned or delayed.</w:t>
      </w:r>
    </w:p>
    <w:p>
      <w:pPr>
        <w:spacing w:after="0" w:line="160" w:lineRule="exact"/>
        <w:rPr>
          <w:sz w:val="20"/>
          <w:szCs w:val="20"/>
          <w:color w:val="auto"/>
        </w:rPr>
      </w:pPr>
    </w:p>
    <w:p>
      <w:pPr>
        <w:ind w:right="120" w:firstLine="973"/>
        <w:spacing w:after="0" w:line="251" w:lineRule="auto"/>
        <w:rPr>
          <w:sz w:val="20"/>
          <w:szCs w:val="20"/>
          <w:color w:val="auto"/>
        </w:rPr>
      </w:pPr>
      <w:r>
        <w:rPr>
          <w:rFonts w:ascii="Times New Roman" w:cs="Times New Roman" w:eastAsia="Times New Roman" w:hAnsi="Times New Roman"/>
          <w:sz w:val="18"/>
          <w:szCs w:val="18"/>
          <w:b w:val="1"/>
          <w:bCs w:val="1"/>
          <w:color w:val="auto"/>
        </w:rPr>
        <w:t>11.2.3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Approved Releases</w:t>
      </w:r>
      <w:r>
        <w:rPr>
          <w:rFonts w:ascii="Times New Roman" w:cs="Times New Roman" w:eastAsia="Times New Roman" w:hAnsi="Times New Roman"/>
          <w:sz w:val="18"/>
          <w:szCs w:val="18"/>
          <w:color w:val="auto"/>
        </w:rPr>
        <w:t>. If a Release requires consent pursuant to this</w:t>
      </w:r>
      <w:r>
        <w:rPr>
          <w:rFonts w:ascii="Times New Roman" w:cs="Times New Roman" w:eastAsia="Times New Roman" w:hAnsi="Times New Roman"/>
          <w:sz w:val="18"/>
          <w:szCs w:val="18"/>
          <w:b w:val="1"/>
          <w:bCs w:val="1"/>
          <w:color w:val="auto"/>
        </w:rPr>
        <w:t xml:space="preserve"> Section 11.2 (Releases)</w:t>
      </w:r>
      <w:r>
        <w:rPr>
          <w:rFonts w:ascii="Times New Roman" w:cs="Times New Roman" w:eastAsia="Times New Roman" w:hAnsi="Times New Roman"/>
          <w:sz w:val="18"/>
          <w:szCs w:val="18"/>
          <w:color w:val="auto"/>
        </w:rPr>
        <w:t>, (a) the Party reviewing such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notify the Party seeking to issue such Release of any such consent (together with any associated comments) or denial (together the rationale therefor) within [***] of receipt of a draft of the proposed Release and (b) once consent has been given both Parties may make subsequent public disclosure of the contents of such statement without the further approval of the Party whose consent was required; provided, such content is not presented with any new data or information or conclusions and/or in a form or manner that materially alters the understanding of the subject matter therein.</w:t>
      </w:r>
    </w:p>
    <w:p>
      <w:pPr>
        <w:spacing w:after="0" w:line="185" w:lineRule="exact"/>
        <w:rPr>
          <w:sz w:val="20"/>
          <w:szCs w:val="20"/>
          <w:color w:val="auto"/>
        </w:rPr>
      </w:pPr>
    </w:p>
    <w:p>
      <w:pPr>
        <w:ind w:right="140" w:firstLine="973"/>
        <w:spacing w:after="0" w:line="249" w:lineRule="auto"/>
        <w:rPr>
          <w:sz w:val="20"/>
          <w:szCs w:val="20"/>
          <w:color w:val="auto"/>
        </w:rPr>
      </w:pPr>
      <w:r>
        <w:rPr>
          <w:rFonts w:ascii="Times New Roman" w:cs="Times New Roman" w:eastAsia="Times New Roman" w:hAnsi="Times New Roman"/>
          <w:sz w:val="18"/>
          <w:szCs w:val="18"/>
          <w:b w:val="1"/>
          <w:bCs w:val="1"/>
          <w:color w:val="auto"/>
        </w:rPr>
        <w:t>11.2.4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Releases Required by Law or Regulation</w:t>
      </w:r>
      <w:r>
        <w:rPr>
          <w:rFonts w:ascii="Times New Roman" w:cs="Times New Roman" w:eastAsia="Times New Roman" w:hAnsi="Times New Roman"/>
          <w:sz w:val="18"/>
          <w:szCs w:val="18"/>
          <w:color w:val="auto"/>
        </w:rPr>
        <w:t>. Each Party may issue any Release it is required to issue by Applicable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or rules of any stock exchange on which it or its Affiliate’s equity securities is traded (such a Release, a “</w:t>
      </w:r>
      <w:r>
        <w:rPr>
          <w:rFonts w:ascii="Times New Roman" w:cs="Times New Roman" w:eastAsia="Times New Roman" w:hAnsi="Times New Roman"/>
          <w:sz w:val="18"/>
          <w:szCs w:val="18"/>
          <w:b w:val="1"/>
          <w:bCs w:val="1"/>
          <w:color w:val="auto"/>
        </w:rPr>
        <w:t>Required Release</w:t>
      </w:r>
      <w:r>
        <w:rPr>
          <w:rFonts w:ascii="Times New Roman" w:cs="Times New Roman" w:eastAsia="Times New Roman" w:hAnsi="Times New Roman"/>
          <w:sz w:val="18"/>
          <w:szCs w:val="18"/>
          <w:color w:val="auto"/>
        </w:rPr>
        <w:t>”) in accordance with the following procedure: the Party proposed to issue a Required Release (the “</w:t>
      </w:r>
      <w:r>
        <w:rPr>
          <w:rFonts w:ascii="Times New Roman" w:cs="Times New Roman" w:eastAsia="Times New Roman" w:hAnsi="Times New Roman"/>
          <w:sz w:val="18"/>
          <w:szCs w:val="18"/>
          <w:b w:val="1"/>
          <w:bCs w:val="1"/>
          <w:color w:val="auto"/>
        </w:rPr>
        <w:t>Requesting Party</w:t>
      </w:r>
      <w:r>
        <w:rPr>
          <w:rFonts w:ascii="Times New Roman" w:cs="Times New Roman" w:eastAsia="Times New Roman" w:hAnsi="Times New Roman"/>
          <w:sz w:val="18"/>
          <w:szCs w:val="18"/>
          <w:color w:val="auto"/>
        </w:rPr>
        <w:t>”) shall provide the other Party (the “</w:t>
      </w:r>
      <w:r>
        <w:rPr>
          <w:rFonts w:ascii="Times New Roman" w:cs="Times New Roman" w:eastAsia="Times New Roman" w:hAnsi="Times New Roman"/>
          <w:sz w:val="18"/>
          <w:szCs w:val="18"/>
          <w:b w:val="1"/>
          <w:bCs w:val="1"/>
          <w:color w:val="auto"/>
        </w:rPr>
        <w:t>Reviewing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with a draft of the Required Release at least [***] in advance of the issuance thereof, to the extent practicable under the circumstances.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Reviewing Party may notify the Requesting Party of any reasonable objections or suggestions that such Party may have regarding the content in the draft Required Release provided for review under this </w:t>
      </w:r>
      <w:r>
        <w:rPr>
          <w:rFonts w:ascii="Times New Roman" w:cs="Times New Roman" w:eastAsia="Times New Roman" w:hAnsi="Times New Roman"/>
          <w:sz w:val="18"/>
          <w:szCs w:val="18"/>
          <w:b w:val="1"/>
          <w:bCs w:val="1"/>
          <w:color w:val="auto"/>
        </w:rPr>
        <w:t>Section 11.2.4 (Releases Requires by Law or Regulation)</w:t>
      </w:r>
      <w:r>
        <w:rPr>
          <w:rFonts w:ascii="Times New Roman" w:cs="Times New Roman" w:eastAsia="Times New Roman" w:hAnsi="Times New Roman"/>
          <w:sz w:val="18"/>
          <w:szCs w:val="18"/>
          <w:color w:val="auto"/>
        </w:rPr>
        <w:t>, and the Requesting Party shall reasonably consider any such objections or suggestions that are provided within [***]. The principles to be observed with respect to disclosures of Required Release shall include accuracy, compliance with Applicable Law and regulatory guidance documents, reasonable sensitivity to potential negative reactions of a Regulatory Authority, reasonable sensitivity to commercial information of value to competitors, the need to keep investors informed regarding the Requesting Party’s business. The Requesting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800"/>
          </w:cols>
          <w:pgMar w:left="540" w:top="264" w:right="559" w:bottom="1440" w:gutter="0" w:footer="0" w:header="0"/>
        </w:sectPr>
      </w:pPr>
    </w:p>
    <w:bookmarkStart w:id="511" w:name="page512"/>
    <w:bookmarkEnd w:id="511"/>
    <w:p>
      <w:pPr>
        <w:ind w:left="2" w:right="1040"/>
        <w:spacing w:after="0" w:line="27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Party may disclose the Confidential Information of the Reviewing Party solely as permitted under </w:t>
      </w:r>
      <w:r>
        <w:rPr>
          <w:rFonts w:ascii="Times New Roman" w:cs="Times New Roman" w:eastAsia="Times New Roman" w:hAnsi="Times New Roman"/>
          <w:sz w:val="18"/>
          <w:szCs w:val="18"/>
          <w:b w:val="1"/>
          <w:bCs w:val="1"/>
          <w:color w:val="auto"/>
        </w:rPr>
        <w:t>Article 10 (Confidentiality)</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b w:val="1"/>
          <w:bCs w:val="1"/>
          <w:color w:val="auto"/>
        </w:rPr>
        <w:t>Section 10.3(a) (Authorized Uses and Disclosures of Confidential Information)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2" w:right="40" w:firstLine="973"/>
        <w:spacing w:after="0" w:line="250" w:lineRule="auto"/>
        <w:rPr>
          <w:sz w:val="20"/>
          <w:szCs w:val="20"/>
          <w:color w:val="auto"/>
        </w:rPr>
      </w:pPr>
      <w:r>
        <w:rPr>
          <w:rFonts w:ascii="Times New Roman" w:cs="Times New Roman" w:eastAsia="Times New Roman" w:hAnsi="Times New Roman"/>
          <w:sz w:val="18"/>
          <w:szCs w:val="18"/>
          <w:b w:val="1"/>
          <w:bCs w:val="1"/>
          <w:color w:val="auto"/>
        </w:rPr>
        <w:t>11.2.5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Publications. </w:t>
      </w:r>
      <w:r>
        <w:rPr>
          <w:rFonts w:ascii="Times New Roman" w:cs="Times New Roman" w:eastAsia="Times New Roman" w:hAnsi="Times New Roman"/>
          <w:sz w:val="18"/>
          <w:szCs w:val="18"/>
          <w:color w:val="auto"/>
        </w:rPr>
        <w:t>Notwithstanding</w:t>
      </w:r>
      <w:r>
        <w:rPr>
          <w:rFonts w:ascii="Times New Roman" w:cs="Times New Roman" w:eastAsia="Times New Roman" w:hAnsi="Times New Roman"/>
          <w:sz w:val="18"/>
          <w:szCs w:val="18"/>
          <w:b w:val="1"/>
          <w:bCs w:val="1"/>
          <w:color w:val="auto"/>
        </w:rPr>
        <w:t xml:space="preserve"> Sections 11.2.1 (Releases Reporting the Activities of the Development Program)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11.2.4 (Releases Require by Law or Regulation)</w:t>
      </w:r>
      <w:r>
        <w:rPr>
          <w:rFonts w:ascii="Times New Roman" w:cs="Times New Roman" w:eastAsia="Times New Roman" w:hAnsi="Times New Roman"/>
          <w:sz w:val="18"/>
          <w:szCs w:val="18"/>
          <w:color w:val="auto"/>
        </w:rPr>
        <w:t>, both Parties recognize that the publication or disclosure of papers, presentations, abstracts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or oral presentations regarding results of and other information regarding the Products or Products obtained by or on behalf of the Parties in the performance of their obligations under this Agreement for the Territory including the P3 Trial may be beneficial to both Parties, provided, that such publications or presentations are subject to reasonable controls to protect Confidential Information, the patentability of inventions and other commercial considerations. Accordingly, the following shall apply with respect to any such papers and presentations proposed for disclosure by either Party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 w:right="40"/>
        <w:spacing w:after="0" w:line="265" w:lineRule="auto"/>
        <w:rPr>
          <w:sz w:val="20"/>
          <w:szCs w:val="20"/>
          <w:color w:val="auto"/>
        </w:rPr>
      </w:pPr>
      <w:r>
        <w:rPr>
          <w:rFonts w:ascii="Times New Roman" w:cs="Times New Roman" w:eastAsia="Times New Roman" w:hAnsi="Times New Roman"/>
          <w:sz w:val="17"/>
          <w:szCs w:val="17"/>
          <w:color w:val="auto"/>
        </w:rPr>
        <w:t>The other Non-Disclosing Party shall have the right to review and approve any such proposed paper or presentation. The Disclosing Party shall submit to the Non-Disclosing Party the proposed publication or presentation (including posters, slides, abstracts, manuscripts, marketing materials and written descriptions of oral presentations) at least [***] prior to the date of submission for publication or the date of presentation, whichever is earlier, of any of such submitted materials. The Non-Disclosing Party shall review such submitted materials and respond to the Disclosing Party as soon as reasonably possible, but in any case within [***] ([***] for abstracts) of receipt thereof. At the option of the Non-Disclosing Party, the Disclosing Party shall</w:t>
      </w:r>
    </w:p>
    <w:p>
      <w:pPr>
        <w:ind w:left="2" w:hanging="2"/>
        <w:spacing w:after="0" w:line="246" w:lineRule="auto"/>
        <w:tabs>
          <w:tab w:leader="none" w:pos="242"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delete from such proposed publication or presentation any Confidential Information of the Non-Disclosing Party, and/or (b) delay the date of such submission for publication or the date of such presentation for a period of time sufficiently long (but in no event longer than an additional [***]) to permit the Non-Disclosing Party to prepare and file a patent application for any patentable subject matter in accordance with </w:t>
      </w:r>
      <w:r>
        <w:rPr>
          <w:rFonts w:ascii="Times New Roman" w:cs="Times New Roman" w:eastAsia="Times New Roman" w:hAnsi="Times New Roman"/>
          <w:sz w:val="18"/>
          <w:szCs w:val="18"/>
          <w:b w:val="1"/>
          <w:bCs w:val="1"/>
          <w:color w:val="auto"/>
        </w:rPr>
        <w:t>Section 9.6 (Patent 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Prosecutions, Maintenance and Strategy)</w:t>
      </w:r>
      <w:r>
        <w:rPr>
          <w:rFonts w:ascii="Times New Roman" w:cs="Times New Roman" w:eastAsia="Times New Roman" w:hAnsi="Times New Roman"/>
          <w:sz w:val="18"/>
          <w:szCs w:val="18"/>
          <w:color w:val="auto"/>
        </w:rPr>
        <w:t>, and/or (c) in the case of proposed publication or presentation under clause (ii) above, delete from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publication or presentation any information described in such clause (ii) the disclosure of which information could have an adverse effect on the further research, development, manufacture or commercialization of the relevant Collaboration Compound, Product or Companion Diagnostic as reasonably determined by Non-Disclosing Party. Once a publication has been approved by the Non-Disclosing Party, the Disclosing Party may make subsequent public disclosure of the contents of such publication without the further approval of the Non-Disclosing Party; provided, such content is not presented with any new data or information or conclusions and/or in a form or manner that materially alters the understanding of the subject matter therein.</w:t>
      </w:r>
    </w:p>
    <w:p>
      <w:pPr>
        <w:spacing w:after="0" w:line="191" w:lineRule="exact"/>
        <w:rPr>
          <w:sz w:val="20"/>
          <w:szCs w:val="20"/>
          <w:color w:val="auto"/>
        </w:rPr>
      </w:pPr>
    </w:p>
    <w:p>
      <w:pPr>
        <w:ind w:left="2" w:right="120"/>
        <w:spacing w:after="0" w:line="252" w:lineRule="auto"/>
        <w:rPr>
          <w:sz w:val="20"/>
          <w:szCs w:val="20"/>
          <w:color w:val="auto"/>
        </w:rPr>
      </w:pPr>
      <w:r>
        <w:rPr>
          <w:rFonts w:ascii="Times New Roman" w:cs="Times New Roman" w:eastAsia="Times New Roman" w:hAnsi="Times New Roman"/>
          <w:sz w:val="18"/>
          <w:szCs w:val="18"/>
          <w:color w:val="auto"/>
        </w:rPr>
        <w:t>In addition, CG will submit to Kissei the proposed publications or presentations (including posters, slides, abstracts, manuscripts, marketing materials and written descriptions of oral presentations) for CG Territory Activities prior to the date of submission for publication or the date of presentation, whichever is earlier, of any of such submitted materials for Kissei’s review to the extent possible under agreements with Third Parties existing at the time of such submission. In the case that such prior submission is not possible due to such agreements with Third Parties, CG will submit the materials to Kissei immediately after the publication or presentation.</w:t>
      </w:r>
    </w:p>
    <w:p>
      <w:pPr>
        <w:spacing w:after="0" w:line="119"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82"/>
          </w:cols>
          <w:pgMar w:left="538" w:top="265" w:right="579" w:bottom="1440" w:gutter="0" w:footer="0" w:header="0"/>
        </w:sectPr>
      </w:pPr>
    </w:p>
    <w:bookmarkStart w:id="512" w:name="page513"/>
    <w:bookmarkEnd w:id="512"/>
    <w:p>
      <w:pPr>
        <w:ind w:left="2"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Right to Use Names</w:t>
      </w:r>
      <w:r>
        <w:rPr>
          <w:rFonts w:ascii="Times New Roman" w:cs="Times New Roman" w:eastAsia="Times New Roman" w:hAnsi="Times New Roman"/>
          <w:sz w:val="18"/>
          <w:szCs w:val="18"/>
          <w:color w:val="auto"/>
        </w:rPr>
        <w:t>. Except as expressly provided herein, no right, express or implied, is granted by the Agreement to Kissei to use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manner the name of “CG Oncology” or any other trade name, symbol, logo or trademark or derivative thereof of CG or its Affiliates, or to CG to use in any manner the name of “Kissei” or any other trade name, symbol, logo or trademark or derivative thereof of Kissei or its Affiliates, in connection with the performance of this Agreement or otherwise.</w:t>
      </w:r>
    </w:p>
    <w:p>
      <w:pPr>
        <w:spacing w:after="0" w:line="38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REPRESENTATIONS AND WARRANTIES; DISCLAIMERS</w:t>
      </w:r>
    </w:p>
    <w:p>
      <w:pPr>
        <w:spacing w:after="0" w:line="21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Mutual Representations and Warranties</w:t>
      </w:r>
      <w:r>
        <w:rPr>
          <w:rFonts w:ascii="Times New Roman" w:cs="Times New Roman" w:eastAsia="Times New Roman" w:hAnsi="Times New Roman"/>
          <w:sz w:val="18"/>
          <w:szCs w:val="18"/>
          <w:color w:val="auto"/>
        </w:rPr>
        <w:t>. Each Party represents and warrants to the other Party that:</w:t>
      </w:r>
    </w:p>
    <w:p>
      <w:pPr>
        <w:spacing w:after="0" w:line="217"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it is validly organized under the laws of its jurisdiction of incorporation;</w:t>
      </w:r>
    </w:p>
    <w:p>
      <w:pPr>
        <w:spacing w:after="0" w:line="217" w:lineRule="exact"/>
        <w:rPr>
          <w:sz w:val="20"/>
          <w:szCs w:val="20"/>
          <w:color w:val="auto"/>
        </w:rPr>
      </w:pPr>
    </w:p>
    <w:p>
      <w:pPr>
        <w:ind w:left="2"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it has obtained all necessary consents, approvals and authorizations of all governmental authorities and other persons or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obtained by it in connection with this Agreement;</w:t>
      </w:r>
    </w:p>
    <w:p>
      <w:pPr>
        <w:spacing w:after="0" w:line="160"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the execution, delivery and performance of this Agreement have been duly authorized by all necessary corporate action on its</w:t>
      </w:r>
    </w:p>
    <w:p>
      <w:pPr>
        <w:spacing w:after="0" w:line="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part;</w:t>
      </w:r>
    </w:p>
    <w:p>
      <w:pPr>
        <w:spacing w:after="0" w:line="196"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it has the legal right and power to enter into this Agreement and to fully perform its obligations hereunder;</w:t>
      </w:r>
    </w:p>
    <w:p>
      <w:pPr>
        <w:spacing w:after="0" w:line="217" w:lineRule="exact"/>
        <w:rPr>
          <w:sz w:val="20"/>
          <w:szCs w:val="20"/>
          <w:color w:val="auto"/>
        </w:rPr>
      </w:pPr>
    </w:p>
    <w:p>
      <w:pPr>
        <w:ind w:left="2" w:right="34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the performance of its obligations will not conflict with such Party’s charter documents or any agreement, contract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to which such Party is a party;</w:t>
      </w:r>
    </w:p>
    <w:p>
      <w:pPr>
        <w:spacing w:after="0" w:line="160" w:lineRule="exact"/>
        <w:rPr>
          <w:sz w:val="20"/>
          <w:szCs w:val="20"/>
          <w:color w:val="auto"/>
        </w:rPr>
      </w:pPr>
    </w:p>
    <w:p>
      <w:pPr>
        <w:ind w:left="2" w:right="200" w:firstLine="1406"/>
        <w:spacing w:after="0" w:line="253"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it follows reasonable commercial practices common in the industry to protect its proprietary and 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requiring its employees, consultants and agents to be bound in writing by obligations of confidentiality and non-disclosure, and requiring its employees, consultants and agents to assign to it any and all inventions and discoveries discovered by such employees, consultants or agents made within the scope of, and during their employment, and only disclosing proprietary and confidential information to Third Parties pursuant to written confidentiality and non-disclosure agreements; and</w:t>
      </w:r>
    </w:p>
    <w:p>
      <w:pPr>
        <w:spacing w:after="0" w:line="181"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neither it nor anyone employed by it has been debarred under 21 USC § 335a, disqualified under 21 USC § 312.70 or</w:t>
      </w:r>
    </w:p>
    <w:p>
      <w:pPr>
        <w:spacing w:after="0" w:line="26" w:lineRule="exact"/>
        <w:rPr>
          <w:sz w:val="20"/>
          <w:szCs w:val="20"/>
          <w:color w:val="auto"/>
        </w:rPr>
      </w:pPr>
    </w:p>
    <w:p>
      <w:pPr>
        <w:ind w:left="2" w:right="20" w:hanging="2"/>
        <w:spacing w:after="0" w:line="247" w:lineRule="auto"/>
        <w:tabs>
          <w:tab w:leader="none" w:pos="13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812.119, sanctioned by a Federal Health Care Program (as defined in 42 USC § 1320a-7b(f)), including the federal Medicare or a state Medicaid program, or debarred, suspended, excluded or otherwise declared ineligible from any other similar regional, national, federal or state agency or program. If a Party receives notice of debarment, suspension, sanction, exclusion, ineligibility or disqualification under the foregoing-referenced statutes, such Party shall notify the other Party within two (2) Business Days of its becoming aware of this fact, and the Parties shall agree upon appropriate action to address the matter.</w:t>
      </w:r>
    </w:p>
    <w:p>
      <w:pPr>
        <w:spacing w:after="0" w:line="1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802"/>
          </w:cols>
          <w:pgMar w:left="538" w:top="265" w:right="559" w:bottom="1440" w:gutter="0" w:footer="0" w:header="0"/>
        </w:sectPr>
      </w:pPr>
    </w:p>
    <w:bookmarkStart w:id="513" w:name="page514"/>
    <w:bookmarkEnd w:id="51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Compliance</w:t>
      </w:r>
      <w:r>
        <w:rPr>
          <w:rFonts w:ascii="Times New Roman" w:cs="Times New Roman" w:eastAsia="Times New Roman" w:hAnsi="Times New Roman"/>
          <w:sz w:val="18"/>
          <w:szCs w:val="18"/>
          <w:color w:val="auto"/>
        </w:rPr>
        <w:t>. Each Party covenants as follows:</w:t>
      </w:r>
    </w:p>
    <w:p>
      <w:pPr>
        <w:spacing w:after="0" w:line="217" w:lineRule="exact"/>
        <w:rPr>
          <w:sz w:val="20"/>
          <w:szCs w:val="20"/>
          <w:color w:val="auto"/>
        </w:rPr>
      </w:pPr>
    </w:p>
    <w:p>
      <w:pPr>
        <w:ind w:right="70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12.2.1</w:t>
      </w:r>
      <w:r>
        <w:rPr>
          <w:rFonts w:ascii="Times New Roman" w:cs="Times New Roman" w:eastAsia="Times New Roman" w:hAnsi="Times New Roman"/>
          <w:sz w:val="18"/>
          <w:szCs w:val="18"/>
          <w:color w:val="auto"/>
        </w:rPr>
        <w:t xml:space="preserve">  In the performance of its obligations under this Agreement, each Party shall comply and shall cause its and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licensees, sublicensees, and contractors to comply with all Applicable Laws.</w:t>
      </w:r>
    </w:p>
    <w:p>
      <w:pPr>
        <w:spacing w:after="0" w:line="160" w:lineRule="exact"/>
        <w:rPr>
          <w:sz w:val="20"/>
          <w:szCs w:val="20"/>
          <w:color w:val="auto"/>
        </w:rPr>
      </w:pPr>
    </w:p>
    <w:p>
      <w:pPr>
        <w:ind w:right="80" w:firstLine="973"/>
        <w:spacing w:after="0" w:line="249" w:lineRule="auto"/>
        <w:rPr>
          <w:sz w:val="20"/>
          <w:szCs w:val="20"/>
          <w:color w:val="auto"/>
        </w:rPr>
      </w:pPr>
      <w:r>
        <w:rPr>
          <w:rFonts w:ascii="Times New Roman" w:cs="Times New Roman" w:eastAsia="Times New Roman" w:hAnsi="Times New Roman"/>
          <w:sz w:val="18"/>
          <w:szCs w:val="18"/>
          <w:b w:val="1"/>
          <w:bCs w:val="1"/>
          <w:color w:val="auto"/>
        </w:rPr>
        <w:t>12.2.2</w:t>
      </w:r>
      <w:r>
        <w:rPr>
          <w:rFonts w:ascii="Times New Roman" w:cs="Times New Roman" w:eastAsia="Times New Roman" w:hAnsi="Times New Roman"/>
          <w:sz w:val="18"/>
          <w:szCs w:val="18"/>
          <w:color w:val="auto"/>
        </w:rPr>
        <w:t xml:space="preserve">  Each Party and its and its Affiliates’ employees, licensees, sublicensees, and contractors shall not,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each Party (and each Party represents and warrants that as of the Effective Date, such Party, and to its knowledge, its and its Affiliates’ employees, licensees, sublicensees, and contractors, have not directly or indirectly promised, offered, or provided any corrupt payment, gratuity, emolument, bribe, kickback, illicit gift, or hospitality or other illegal or unethical benefit to a Public Official or Entity or any other person in connection with the performance of such Party’s obligations under this Agreement, and such Party covenants that it and its Affiliates’ employees, licensees, sublicensees, and contractors shall not, directly or indirectly, engage in any of the foregoing)</w:t>
      </w:r>
    </w:p>
    <w:p>
      <w:pPr>
        <w:spacing w:after="0" w:line="187" w:lineRule="exact"/>
        <w:rPr>
          <w:sz w:val="20"/>
          <w:szCs w:val="20"/>
          <w:color w:val="auto"/>
        </w:rPr>
      </w:pPr>
    </w:p>
    <w:p>
      <w:pPr>
        <w:ind w:right="18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12.2.3</w:t>
      </w:r>
      <w:r>
        <w:rPr>
          <w:rFonts w:ascii="Times New Roman" w:cs="Times New Roman" w:eastAsia="Times New Roman" w:hAnsi="Times New Roman"/>
          <w:sz w:val="18"/>
          <w:szCs w:val="18"/>
          <w:color w:val="auto"/>
        </w:rPr>
        <w:t xml:space="preserve">  Each Party and its Affiliates, and their respective employees, licensees, sublicensees, and contractors,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their respective obligations under this Agreement, shall not violate or cause the violation of the Anti-Corruption Laws, Export Control Laws, or any other Applicable Laws, or otherwise cause any reputational harm to the other Party.</w:t>
      </w:r>
    </w:p>
    <w:p>
      <w:pPr>
        <w:spacing w:after="0" w:line="173" w:lineRule="exact"/>
        <w:rPr>
          <w:sz w:val="20"/>
          <w:szCs w:val="20"/>
          <w:color w:val="auto"/>
        </w:rPr>
      </w:pPr>
    </w:p>
    <w:p>
      <w:pPr>
        <w:ind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12.2.4</w:t>
      </w:r>
      <w:r>
        <w:rPr>
          <w:rFonts w:ascii="Times New Roman" w:cs="Times New Roman" w:eastAsia="Times New Roman" w:hAnsi="Times New Roman"/>
          <w:sz w:val="18"/>
          <w:szCs w:val="18"/>
          <w:color w:val="auto"/>
        </w:rPr>
        <w:t xml:space="preserve">  Each Party shall immediately notify the other Party if it has any information or suspicion that there may be a violation of the Anti-Corruption Laws, Export Control Laws, or any other Applicable Laws in connection with the performance of this Agreement or the development or commercialization of any Product.</w:t>
      </w:r>
    </w:p>
    <w:p>
      <w:pPr>
        <w:spacing w:after="0" w:line="173" w:lineRule="exact"/>
        <w:rPr>
          <w:sz w:val="20"/>
          <w:szCs w:val="20"/>
          <w:color w:val="auto"/>
        </w:rPr>
      </w:pPr>
    </w:p>
    <w:p>
      <w:pPr>
        <w:ind w:firstLine="973"/>
        <w:spacing w:after="0" w:line="256" w:lineRule="auto"/>
        <w:rPr>
          <w:sz w:val="20"/>
          <w:szCs w:val="20"/>
          <w:color w:val="auto"/>
        </w:rPr>
      </w:pPr>
      <w:r>
        <w:rPr>
          <w:rFonts w:ascii="Times New Roman" w:cs="Times New Roman" w:eastAsia="Times New Roman" w:hAnsi="Times New Roman"/>
          <w:sz w:val="18"/>
          <w:szCs w:val="18"/>
          <w:b w:val="1"/>
          <w:bCs w:val="1"/>
          <w:color w:val="auto"/>
        </w:rPr>
        <w:t>12.2.5</w:t>
      </w:r>
      <w:r>
        <w:rPr>
          <w:rFonts w:ascii="Times New Roman" w:cs="Times New Roman" w:eastAsia="Times New Roman" w:hAnsi="Times New Roman"/>
          <w:sz w:val="18"/>
          <w:szCs w:val="18"/>
          <w:color w:val="auto"/>
        </w:rPr>
        <w:t xml:space="preserve">  Each Party will have the right, upon reasonable prior written notice and during the other Party’s regular business hours, to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its own cost and expenses inspections of and to audit the other Party’s books and records in the event of a suspected violation or to ensure compliance with the representations, warranties, and covenants of this </w:t>
      </w:r>
      <w:r>
        <w:rPr>
          <w:rFonts w:ascii="Times New Roman" w:cs="Times New Roman" w:eastAsia="Times New Roman" w:hAnsi="Times New Roman"/>
          <w:sz w:val="18"/>
          <w:szCs w:val="18"/>
          <w:b w:val="1"/>
          <w:bCs w:val="1"/>
          <w:color w:val="auto"/>
        </w:rPr>
        <w:t>Section 12.2 (Compliance)</w:t>
      </w:r>
      <w:r>
        <w:rPr>
          <w:rFonts w:ascii="Times New Roman" w:cs="Times New Roman" w:eastAsia="Times New Roman" w:hAnsi="Times New Roman"/>
          <w:sz w:val="18"/>
          <w:szCs w:val="18"/>
          <w:color w:val="auto"/>
        </w:rPr>
        <w:t xml:space="preserve"> provided, however, that in the absence of good cause for such inspections and audits, each Party exercise this right no more than annually.</w:t>
      </w:r>
    </w:p>
    <w:p>
      <w:pPr>
        <w:spacing w:after="0" w:line="177" w:lineRule="exact"/>
        <w:rPr>
          <w:sz w:val="20"/>
          <w:szCs w:val="20"/>
          <w:color w:val="auto"/>
        </w:rPr>
      </w:pPr>
    </w:p>
    <w:p>
      <w:pPr>
        <w:ind w:right="14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12.2.6</w:t>
      </w:r>
      <w:r>
        <w:rPr>
          <w:rFonts w:ascii="Times New Roman" w:cs="Times New Roman" w:eastAsia="Times New Roman" w:hAnsi="Times New Roman"/>
          <w:sz w:val="18"/>
          <w:szCs w:val="18"/>
          <w:color w:val="auto"/>
        </w:rPr>
        <w:t xml:space="preserve">  In the event that one Party has violated or been suspected of violating any of the representations, warranties, or covenants in this</w:t>
      </w:r>
      <w:r>
        <w:rPr>
          <w:rFonts w:ascii="Times New Roman" w:cs="Times New Roman" w:eastAsia="Times New Roman" w:hAnsi="Times New Roman"/>
          <w:sz w:val="18"/>
          <w:szCs w:val="18"/>
          <w:b w:val="1"/>
          <w:bCs w:val="1"/>
          <w:color w:val="auto"/>
        </w:rPr>
        <w:t xml:space="preserve"> Section 12.2 (Compliance)</w:t>
      </w:r>
      <w:r>
        <w:rPr>
          <w:rFonts w:ascii="Times New Roman" w:cs="Times New Roman" w:eastAsia="Times New Roman" w:hAnsi="Times New Roman"/>
          <w:sz w:val="18"/>
          <w:szCs w:val="18"/>
          <w:color w:val="auto"/>
        </w:rPr>
        <w:t>, such Party will cause its or its Affiliates’ personnel or others working under its direction or control to submit to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training that it will provide on Anti-Corruption Law compliance or other relevant compliance.</w:t>
      </w:r>
    </w:p>
    <w:p>
      <w:pPr>
        <w:spacing w:after="0" w:line="173" w:lineRule="exact"/>
        <w:rPr>
          <w:sz w:val="20"/>
          <w:szCs w:val="20"/>
          <w:color w:val="auto"/>
        </w:rPr>
      </w:pPr>
    </w:p>
    <w:p>
      <w:pPr>
        <w:ind w:right="62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12.2.7</w:t>
      </w:r>
      <w:r>
        <w:rPr>
          <w:rFonts w:ascii="Times New Roman" w:cs="Times New Roman" w:eastAsia="Times New Roman" w:hAnsi="Times New Roman"/>
          <w:sz w:val="18"/>
          <w:szCs w:val="18"/>
          <w:color w:val="auto"/>
        </w:rPr>
        <w:t xml:space="preserve">  Each Party will, at the other’s request, annually certify to the other Party in writing its compliance,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performance of its obligations under this Agreement, with the representations, warranties, or covenants in </w:t>
      </w:r>
      <w:r>
        <w:rPr>
          <w:rFonts w:ascii="Times New Roman" w:cs="Times New Roman" w:eastAsia="Times New Roman" w:hAnsi="Times New Roman"/>
          <w:sz w:val="18"/>
          <w:szCs w:val="18"/>
          <w:b w:val="1"/>
          <w:bCs w:val="1"/>
          <w:color w:val="auto"/>
        </w:rPr>
        <w:t>Section 12.2 (Compliance)</w:t>
      </w:r>
      <w:r>
        <w:rPr>
          <w:rFonts w:ascii="Times New Roman" w:cs="Times New Roman" w:eastAsia="Times New Roman" w:hAnsi="Times New Roman"/>
          <w:sz w:val="18"/>
          <w:szCs w:val="18"/>
          <w:color w:val="auto"/>
        </w:rPr>
        <w:t>, which certification shall be issued by its appropriate executive.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800"/>
          </w:cols>
          <w:pgMar w:left="540" w:top="265" w:right="559" w:bottom="1440" w:gutter="0" w:footer="0" w:header="0"/>
        </w:sectPr>
      </w:pPr>
    </w:p>
    <w:bookmarkStart w:id="514" w:name="page515"/>
    <w:bookmarkEnd w:id="514"/>
    <w:p>
      <w:pPr>
        <w:ind w:left="2" w:right="38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12.2.8</w:t>
      </w:r>
      <w:r>
        <w:rPr>
          <w:rFonts w:ascii="Times New Roman" w:cs="Times New Roman" w:eastAsia="Times New Roman" w:hAnsi="Times New Roman"/>
          <w:sz w:val="18"/>
          <w:szCs w:val="18"/>
          <w:color w:val="auto"/>
        </w:rPr>
        <w:t xml:space="preserve">  Each Party shall have the right to suspend or terminate this Agreement in its entirety where there is a credible finding, after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investigation, that the other Party or its Affiliates, licensees, or sublicensees in connection with the performance of such other Party’s obligations under this Agreement, has engaged in chronic or material violations of the Anti-Corruption Laws.</w:t>
      </w:r>
    </w:p>
    <w:p>
      <w:pPr>
        <w:spacing w:after="0" w:line="173" w:lineRule="exact"/>
        <w:rPr>
          <w:sz w:val="20"/>
          <w:szCs w:val="20"/>
          <w:color w:val="auto"/>
        </w:rPr>
      </w:pPr>
    </w:p>
    <w:p>
      <w:pPr>
        <w:jc w:val="both"/>
        <w:ind w:left="2"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CG Covenants and Additional Representations and Warranties</w:t>
      </w:r>
      <w:r>
        <w:rPr>
          <w:rFonts w:ascii="Times New Roman" w:cs="Times New Roman" w:eastAsia="Times New Roman" w:hAnsi="Times New Roman"/>
          <w:sz w:val="18"/>
          <w:szCs w:val="18"/>
          <w:color w:val="auto"/>
        </w:rPr>
        <w:t>. CG also covenants that CG will not, and will cause its Affiliates to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during the term of this Agreement, any right, license or interest in or to the Licensed Intellectual Property or any portion thereof, inconsistent with the rights granted to Kissei herein; and CG represents and warrants to Kissei that</w:t>
      </w:r>
    </w:p>
    <w:p>
      <w:pPr>
        <w:spacing w:after="0" w:line="173" w:lineRule="exact"/>
        <w:rPr>
          <w:sz w:val="20"/>
          <w:szCs w:val="20"/>
          <w:color w:val="auto"/>
        </w:rPr>
      </w:pPr>
    </w:p>
    <w:p>
      <w:pPr>
        <w:jc w:val="both"/>
        <w:ind w:left="2" w:right="2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to its actual knowledge, CG owns the entire right, title and interest in, or otherwise Controls the CG IP and it has the legal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power to extend the rights and licenses granted to Kissei hereunder free and clear of all Encumbrances;</w:t>
      </w:r>
    </w:p>
    <w:p>
      <w:pPr>
        <w:spacing w:after="0" w:line="160" w:lineRule="exact"/>
        <w:rPr>
          <w:sz w:val="20"/>
          <w:szCs w:val="20"/>
          <w:color w:val="auto"/>
        </w:rPr>
      </w:pPr>
    </w:p>
    <w:p>
      <w:pPr>
        <w:ind w:left="2" w:right="80" w:firstLine="1406"/>
        <w:spacing w:after="0" w:line="253"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as of the Effective Date, (i) CG has not been notified of any action, lawsuit, claim or arbitration proceeding contesting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validity, ownership or enforceability of the Licensed Intellectual Property, and (ii) to its actual knowledge, there is no reasonable threat of any actions, lawsuits, claims or arbitration proceedings contesting the validity, ownership or enforceability of the Licensed Intellectual Property; provided, however, that nothing in this </w:t>
      </w:r>
      <w:r>
        <w:rPr>
          <w:rFonts w:ascii="Times New Roman" w:cs="Times New Roman" w:eastAsia="Times New Roman" w:hAnsi="Times New Roman"/>
          <w:sz w:val="18"/>
          <w:szCs w:val="18"/>
          <w:b w:val="1"/>
          <w:bCs w:val="1"/>
          <w:color w:val="auto"/>
        </w:rPr>
        <w:t>Section 12.3 (CG Covenants and Additional Representations and Warranties)</w:t>
      </w:r>
      <w:r>
        <w:rPr>
          <w:rFonts w:ascii="Times New Roman" w:cs="Times New Roman" w:eastAsia="Times New Roman" w:hAnsi="Times New Roman"/>
          <w:sz w:val="18"/>
          <w:szCs w:val="18"/>
          <w:color w:val="auto"/>
        </w:rPr>
        <w:t xml:space="preserve"> shall be interpreted as requiring CG to have undertaken any inquiries or to have obtained any freedom to operate opinion;</w:t>
      </w:r>
    </w:p>
    <w:p>
      <w:pPr>
        <w:spacing w:after="0" w:line="181" w:lineRule="exact"/>
        <w:rPr>
          <w:sz w:val="20"/>
          <w:szCs w:val="20"/>
          <w:color w:val="auto"/>
        </w:rPr>
      </w:pPr>
    </w:p>
    <w:p>
      <w:pPr>
        <w:jc w:val="both"/>
        <w:ind w:left="2" w:right="220" w:firstLine="1406"/>
        <w:spacing w:after="0" w:line="261"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to its actual knowledge, as of the Effective Date, no activities of any Third Parties are infringing or threatening to infringe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misappropriating or threatening to misappropriate any CG IP (including any pending Patent applications and registrations within the CG IP as if such applications or registrations were to issue or become registered);</w:t>
      </w:r>
    </w:p>
    <w:p>
      <w:pPr>
        <w:spacing w:after="0" w:line="173" w:lineRule="exact"/>
        <w:rPr>
          <w:sz w:val="20"/>
          <w:szCs w:val="20"/>
          <w:color w:val="auto"/>
        </w:rPr>
      </w:pPr>
    </w:p>
    <w:p>
      <w:pPr>
        <w:ind w:left="2" w:right="240" w:firstLine="1406"/>
        <w:spacing w:after="0" w:line="253"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to its actual knowledge, as of the Effective Date (i) the conception, reduction to practice or creation of the CG IP did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 or misappropriate or otherwise violate any intellectual property right of any Third Party under the Applicable Laws of any jurisdiction where there is a Valid Claim; (ii) the research, development, manufacture or commercialization of Products based upon the CG IP does not infringe or misappropriate or otherwise violate any intellectual property right of any Third Party under the Applicable Laws of any jurisdiction where there is a Valid Claim; and (iii) the CG Patents are not dominated by any Patent of any Third Party and not Controlled by CG;</w:t>
      </w:r>
    </w:p>
    <w:p>
      <w:pPr>
        <w:spacing w:after="0" w:line="181" w:lineRule="exact"/>
        <w:rPr>
          <w:sz w:val="20"/>
          <w:szCs w:val="20"/>
          <w:color w:val="auto"/>
        </w:rPr>
      </w:pPr>
    </w:p>
    <w:p>
      <w:pPr>
        <w:ind w:left="2" w:right="20" w:firstLine="1406"/>
        <w:spacing w:after="0" w:line="258"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as of the Effective Date, (i) to its actual knowledge, none of the CG Patents has ever been, or now are subject to any pending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threatened, re-examination, opposition, interference or litigation proceedings; and (ii) there are no acts or omissions of CG that would reasonably</w:t>
      </w:r>
    </w:p>
    <w:p>
      <w:pPr>
        <w:ind w:left="2" w:right="80" w:hanging="2"/>
        <w:spacing w:after="0" w:line="251" w:lineRule="auto"/>
        <w:tabs>
          <w:tab w:leader="none" w:pos="242"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inequitable conduct, fraud or misrepresentation with respect to any Patent application included within CG Patents or (b) render any Patent within the CG Patents invalid or unenforceable in whole or in part;</w:t>
      </w:r>
    </w:p>
    <w:p>
      <w:pPr>
        <w:spacing w:after="0" w:line="11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802"/>
          </w:cols>
          <w:pgMar w:left="538" w:top="264" w:right="559" w:bottom="1440" w:gutter="0" w:footer="0" w:header="0"/>
        </w:sectPr>
      </w:pPr>
    </w:p>
    <w:bookmarkStart w:id="515" w:name="page516"/>
    <w:bookmarkEnd w:id="515"/>
    <w:p>
      <w:pPr>
        <w:ind w:left="2" w:right="80" w:firstLine="1406"/>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w:t>
      </w:r>
      <w:r>
        <w:rPr>
          <w:rFonts w:ascii="Times New Roman" w:cs="Times New Roman" w:eastAsia="Times New Roman" w:hAnsi="Times New Roman"/>
          <w:sz w:val="18"/>
          <w:szCs w:val="18"/>
          <w:color w:val="auto"/>
        </w:rPr>
        <w:t xml:space="preserve">  as of the Effective Date, neither CG nor any of its Affiliates has (i) granted any Third Party the right to control the Prosecution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Maintenance of any of the CG Patents in the Territory, (ii) granted any Third Party the right to bring infringement actions with respect to, or otherwise to enforce rights with respect to, any of the CG Patents in the Territory, or (iii) expressly agreed not to sue or to indemnify any Third Party against any charge of infringement of any of CG Patents in the Territory;</w:t>
      </w:r>
    </w:p>
    <w:p>
      <w:pPr>
        <w:spacing w:after="0" w:line="177" w:lineRule="exact"/>
        <w:rPr>
          <w:sz w:val="20"/>
          <w:szCs w:val="20"/>
          <w:color w:val="auto"/>
        </w:rPr>
      </w:pPr>
    </w:p>
    <w:p>
      <w:pPr>
        <w:ind w:left="2" w:firstLine="1406"/>
        <w:spacing w:after="0" w:line="253"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except as set forth on</w:t>
      </w:r>
      <w:r>
        <w:rPr>
          <w:rFonts w:ascii="Times New Roman" w:cs="Times New Roman" w:eastAsia="Times New Roman" w:hAnsi="Times New Roman"/>
          <w:sz w:val="18"/>
          <w:szCs w:val="18"/>
          <w:b w:val="1"/>
          <w:bCs w:val="1"/>
          <w:color w:val="auto"/>
        </w:rPr>
        <w:t xml:space="preserve"> Schedule 12.3(g)</w:t>
      </w:r>
      <w:r>
        <w:rPr>
          <w:rFonts w:ascii="Times New Roman" w:cs="Times New Roman" w:eastAsia="Times New Roman" w:hAnsi="Times New Roman"/>
          <w:sz w:val="18"/>
          <w:szCs w:val="18"/>
          <w:color w:val="auto"/>
        </w:rPr>
        <w:t>, as of the Effective Date, there are no agreements between CG or its Affiliates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Parties (i) pursuant to which a Third Party has obtained, or has a right to obtain, a license, right, or interest in, or to use, any CG IP in the Territory or (ii) pursuant to which CG or its Affiliate otherwise owes, or would otherwise owe, payments to a Third Party as a result of the activities conducted hereunder (whether by CG or Kissei or their respective Affiliates or (sub)licensees), including the grant of rights, interests, and licenses under this Agreement or the transfer or sale of Products;</w:t>
      </w:r>
    </w:p>
    <w:p>
      <w:pPr>
        <w:spacing w:after="0" w:line="181" w:lineRule="exact"/>
        <w:rPr>
          <w:sz w:val="20"/>
          <w:szCs w:val="20"/>
          <w:color w:val="auto"/>
        </w:rPr>
      </w:pPr>
    </w:p>
    <w:p>
      <w:pPr>
        <w:ind w:left="1402"/>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CG has made available to Kissei true and complete copies of the Existing In-License; and the agreement referenced in</w:t>
      </w:r>
    </w:p>
    <w:p>
      <w:pPr>
        <w:spacing w:after="0" w:line="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Schedule 12.3(g)</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2"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12.4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Disclaimers</w:t>
      </w:r>
      <w:r>
        <w:rPr>
          <w:rFonts w:ascii="Times New Roman" w:cs="Times New Roman" w:eastAsia="Times New Roman" w:hAnsi="Times New Roman"/>
          <w:sz w:val="18"/>
          <w:szCs w:val="18"/>
          <w:color w:val="auto"/>
        </w:rPr>
        <w:t>. EXCEPT AS OTHERWISE EXPRESSLY STATED IN THIS AGREEMENT, NEITHER PARTY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OR WARRANTY OF ANY KIND WITH RESPECT TO PATENTS, KNOW-HOW, MATERIALS OR CONFIDENTIAL INFORMATION SUPPLIED BY IT TO THE OTHER PARTY HEREUNDER, AND EXPRESSLY DISCLAIMS ALL WARRANTIES, EXPRESS OR IMPLIED, INCLUDING BUT NOT LIMITED TO WARRANTIES OF MERCHANTABILITY, FITNESS FOR A PARTICULAR PURPOSE AND NON INFRINGEMENT.</w:t>
      </w:r>
    </w:p>
    <w:p>
      <w:pPr>
        <w:spacing w:after="0" w:line="39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17"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1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Indemnification</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firstLine="973"/>
        <w:spacing w:after="0" w:line="266" w:lineRule="auto"/>
        <w:rPr>
          <w:sz w:val="20"/>
          <w:szCs w:val="20"/>
          <w:color w:val="auto"/>
        </w:rPr>
      </w:pPr>
      <w:r>
        <w:rPr>
          <w:rFonts w:ascii="Times New Roman" w:cs="Times New Roman" w:eastAsia="Times New Roman" w:hAnsi="Times New Roman"/>
          <w:sz w:val="17"/>
          <w:szCs w:val="17"/>
          <w:b w:val="1"/>
          <w:bCs w:val="1"/>
          <w:color w:val="auto"/>
        </w:rPr>
        <w:t>13.1.1</w:t>
      </w:r>
      <w:r>
        <w:rPr>
          <w:rFonts w:ascii="Times New Roman" w:cs="Times New Roman" w:eastAsia="Times New Roman" w:hAnsi="Times New Roman"/>
          <w:sz w:val="17"/>
          <w:szCs w:val="17"/>
          <w:color w:val="auto"/>
        </w:rPr>
        <w:t xml:space="preserve">  Subject to</w:t>
      </w:r>
      <w:r>
        <w:rPr>
          <w:rFonts w:ascii="Times New Roman" w:cs="Times New Roman" w:eastAsia="Times New Roman" w:hAnsi="Times New Roman"/>
          <w:sz w:val="17"/>
          <w:szCs w:val="17"/>
          <w:b w:val="1"/>
          <w:bCs w:val="1"/>
          <w:color w:val="auto"/>
        </w:rPr>
        <w:t xml:space="preserve"> Section 13.2 (Procedure)</w:t>
      </w:r>
      <w:r>
        <w:rPr>
          <w:rFonts w:ascii="Times New Roman" w:cs="Times New Roman" w:eastAsia="Times New Roman" w:hAnsi="Times New Roman"/>
          <w:sz w:val="17"/>
          <w:szCs w:val="17"/>
          <w:color w:val="auto"/>
        </w:rPr>
        <w:t>, CG shall indemnify, defend and hold harmless (“</w:t>
      </w:r>
      <w:r>
        <w:rPr>
          <w:rFonts w:ascii="Times New Roman" w:cs="Times New Roman" w:eastAsia="Times New Roman" w:hAnsi="Times New Roman"/>
          <w:sz w:val="17"/>
          <w:szCs w:val="17"/>
          <w:b w:val="1"/>
          <w:bCs w:val="1"/>
          <w:color w:val="auto"/>
        </w:rPr>
        <w:t>Indemnify</w:t>
      </w:r>
      <w:r>
        <w:rPr>
          <w:rFonts w:ascii="Times New Roman" w:cs="Times New Roman" w:eastAsia="Times New Roman" w:hAnsi="Times New Roman"/>
          <w:sz w:val="17"/>
          <w:szCs w:val="17"/>
          <w:color w:val="auto"/>
        </w:rPr>
        <w:t>”) Kissei, its Affiliates and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respective directors, officers, and employees and the successors and assigns of any of the foregoing (“</w:t>
      </w:r>
      <w:r>
        <w:rPr>
          <w:rFonts w:ascii="Times New Roman" w:cs="Times New Roman" w:eastAsia="Times New Roman" w:hAnsi="Times New Roman"/>
          <w:sz w:val="17"/>
          <w:szCs w:val="17"/>
          <w:b w:val="1"/>
          <w:bCs w:val="1"/>
          <w:color w:val="auto"/>
        </w:rPr>
        <w:t>Kissei Indemnitees</w:t>
      </w:r>
      <w:r>
        <w:rPr>
          <w:rFonts w:ascii="Times New Roman" w:cs="Times New Roman" w:eastAsia="Times New Roman" w:hAnsi="Times New Roman"/>
          <w:sz w:val="17"/>
          <w:szCs w:val="17"/>
          <w:color w:val="auto"/>
        </w:rPr>
        <w:t>”) harmless from and against any and all liabilities, damages, settlements, penalties, fines, costs or expenses (including reasonable attorneys’ fees and other expenses of litigation) (collectively, “</w:t>
      </w:r>
      <w:r>
        <w:rPr>
          <w:rFonts w:ascii="Times New Roman" w:cs="Times New Roman" w:eastAsia="Times New Roman" w:hAnsi="Times New Roman"/>
          <w:sz w:val="17"/>
          <w:szCs w:val="17"/>
          <w:b w:val="1"/>
          <w:bCs w:val="1"/>
          <w:color w:val="auto"/>
        </w:rPr>
        <w:t>Loss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resulting from any Third Party claims, suits, actions, demands or judgments (“</w:t>
      </w:r>
      <w:r>
        <w:rPr>
          <w:rFonts w:ascii="Times New Roman" w:cs="Times New Roman" w:eastAsia="Times New Roman" w:hAnsi="Times New Roman"/>
          <w:sz w:val="17"/>
          <w:szCs w:val="17"/>
          <w:b w:val="1"/>
          <w:bCs w:val="1"/>
          <w:color w:val="auto"/>
        </w:rPr>
        <w:t>Third Party Claims</w:t>
      </w:r>
      <w:r>
        <w:rPr>
          <w:rFonts w:ascii="Times New Roman" w:cs="Times New Roman" w:eastAsia="Times New Roman" w:hAnsi="Times New Roman"/>
          <w:sz w:val="17"/>
          <w:szCs w:val="17"/>
          <w:color w:val="auto"/>
        </w:rPr>
        <w:t>”) arising out of</w:t>
      </w:r>
    </w:p>
    <w:p>
      <w:pPr>
        <w:spacing w:after="0" w:line="3" w:lineRule="exact"/>
        <w:rPr>
          <w:sz w:val="20"/>
          <w:szCs w:val="20"/>
          <w:color w:val="auto"/>
        </w:rPr>
      </w:pPr>
    </w:p>
    <w:p>
      <w:pPr>
        <w:ind w:left="2" w:right="100" w:hanging="2"/>
        <w:spacing w:after="0" w:line="247" w:lineRule="auto"/>
        <w:tabs>
          <w:tab w:leader="none" w:pos="242"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breach by CG of this Agreement, including any of the representations and warranties made by CG under </w:t>
      </w:r>
      <w:r>
        <w:rPr>
          <w:rFonts w:ascii="Times New Roman" w:cs="Times New Roman" w:eastAsia="Times New Roman" w:hAnsi="Times New Roman"/>
          <w:sz w:val="18"/>
          <w:szCs w:val="18"/>
          <w:b w:val="1"/>
          <w:bCs w:val="1"/>
          <w:color w:val="auto"/>
        </w:rPr>
        <w:t>Article 12 (Representations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Warranties; Disclaimers)</w:t>
      </w:r>
      <w:r>
        <w:rPr>
          <w:rFonts w:ascii="Times New Roman" w:cs="Times New Roman" w:eastAsia="Times New Roman" w:hAnsi="Times New Roman"/>
          <w:sz w:val="18"/>
          <w:szCs w:val="18"/>
          <w:color w:val="auto"/>
        </w:rPr>
        <w:t>, (b) any CG Indemnitee’s gross negligence or willful misconduct, or (c) the activities performed by or on behalf of CG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of its Affiliates or its or their licensees (i) in connection with the exercise of its licenses and rights hereunder, including product liability claims and infringement claims (including the costs and expenses described in </w:t>
      </w:r>
      <w:r>
        <w:rPr>
          <w:rFonts w:ascii="Times New Roman" w:cs="Times New Roman" w:eastAsia="Times New Roman" w:hAnsi="Times New Roman"/>
          <w:sz w:val="18"/>
          <w:szCs w:val="18"/>
          <w:b w:val="1"/>
          <w:bCs w:val="1"/>
          <w:color w:val="auto"/>
        </w:rPr>
        <w:t>Section 9.8.3 (Costs and</w:t>
      </w:r>
    </w:p>
    <w:p>
      <w:pPr>
        <w:spacing w:after="0" w:line="12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782"/>
          </w:cols>
          <w:pgMar w:left="538" w:top="265" w:right="579" w:bottom="1440" w:gutter="0" w:footer="0" w:header="0"/>
        </w:sectPr>
      </w:pPr>
    </w:p>
    <w:bookmarkStart w:id="516" w:name="page517"/>
    <w:bookmarkEnd w:id="516"/>
    <w:p>
      <w:pPr>
        <w:ind w:left="2" w:right="20"/>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Expenses)</w:t>
      </w:r>
      <w:r>
        <w:rPr>
          <w:rFonts w:ascii="Times New Roman" w:cs="Times New Roman" w:eastAsia="Times New Roman" w:hAnsi="Times New Roman"/>
          <w:sz w:val="18"/>
          <w:szCs w:val="18"/>
          <w:color w:val="auto"/>
        </w:rPr>
        <w:t>) or (ii) unrelated to the Development Program, Collaboration Compound, Product or Companion Diagnostic, except, in each case (a)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 that CG’s obligation to Indemnify the Kissei Indemnitees pursuant to this </w:t>
      </w:r>
      <w:r>
        <w:rPr>
          <w:rFonts w:ascii="Times New Roman" w:cs="Times New Roman" w:eastAsia="Times New Roman" w:hAnsi="Times New Roman"/>
          <w:sz w:val="18"/>
          <w:szCs w:val="18"/>
          <w:b w:val="1"/>
          <w:bCs w:val="1"/>
          <w:color w:val="auto"/>
        </w:rPr>
        <w:t>Section 13.1.1 (Indemnification)</w:t>
      </w:r>
      <w:r>
        <w:rPr>
          <w:rFonts w:ascii="Times New Roman" w:cs="Times New Roman" w:eastAsia="Times New Roman" w:hAnsi="Times New Roman"/>
          <w:sz w:val="18"/>
          <w:szCs w:val="18"/>
          <w:color w:val="auto"/>
        </w:rPr>
        <w:t xml:space="preserve"> shall not apply to the extent that any such Losses are Losses for which Kissei is obligated to Indemnify the CG Indemnitees pursuant to </w:t>
      </w:r>
      <w:r>
        <w:rPr>
          <w:rFonts w:ascii="Times New Roman" w:cs="Times New Roman" w:eastAsia="Times New Roman" w:hAnsi="Times New Roman"/>
          <w:sz w:val="18"/>
          <w:szCs w:val="18"/>
          <w:b w:val="1"/>
          <w:bCs w:val="1"/>
          <w:color w:val="auto"/>
        </w:rPr>
        <w:t>Section 13.1.2 (Indemnification)</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2" w:right="20" w:firstLine="973"/>
        <w:spacing w:after="0" w:line="264" w:lineRule="auto"/>
        <w:rPr>
          <w:sz w:val="20"/>
          <w:szCs w:val="20"/>
          <w:color w:val="auto"/>
        </w:rPr>
      </w:pPr>
      <w:r>
        <w:rPr>
          <w:rFonts w:ascii="Times New Roman" w:cs="Times New Roman" w:eastAsia="Times New Roman" w:hAnsi="Times New Roman"/>
          <w:sz w:val="17"/>
          <w:szCs w:val="17"/>
          <w:b w:val="1"/>
          <w:bCs w:val="1"/>
          <w:color w:val="auto"/>
        </w:rPr>
        <w:t>13.1.2</w:t>
      </w:r>
      <w:r>
        <w:rPr>
          <w:rFonts w:ascii="Times New Roman" w:cs="Times New Roman" w:eastAsia="Times New Roman" w:hAnsi="Times New Roman"/>
          <w:sz w:val="17"/>
          <w:szCs w:val="17"/>
          <w:color w:val="auto"/>
        </w:rPr>
        <w:t xml:space="preserve">  Subject to</w:t>
      </w:r>
      <w:r>
        <w:rPr>
          <w:rFonts w:ascii="Times New Roman" w:cs="Times New Roman" w:eastAsia="Times New Roman" w:hAnsi="Times New Roman"/>
          <w:sz w:val="17"/>
          <w:szCs w:val="17"/>
          <w:b w:val="1"/>
          <w:bCs w:val="1"/>
          <w:color w:val="auto"/>
        </w:rPr>
        <w:t xml:space="preserve"> Section 13.2 (Procedure)</w:t>
      </w:r>
      <w:r>
        <w:rPr>
          <w:rFonts w:ascii="Times New Roman" w:cs="Times New Roman" w:eastAsia="Times New Roman" w:hAnsi="Times New Roman"/>
          <w:sz w:val="17"/>
          <w:szCs w:val="17"/>
          <w:color w:val="auto"/>
        </w:rPr>
        <w:t>, Kissei shall Indemnify CG, its Affiliates and their respective directors, officers,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and the successors and assigns of any of the foregoing (“</w:t>
      </w:r>
      <w:r>
        <w:rPr>
          <w:rFonts w:ascii="Times New Roman" w:cs="Times New Roman" w:eastAsia="Times New Roman" w:hAnsi="Times New Roman"/>
          <w:sz w:val="17"/>
          <w:szCs w:val="17"/>
          <w:b w:val="1"/>
          <w:bCs w:val="1"/>
          <w:color w:val="auto"/>
        </w:rPr>
        <w:t>CG Indemnitees</w:t>
      </w:r>
      <w:r>
        <w:rPr>
          <w:rFonts w:ascii="Times New Roman" w:cs="Times New Roman" w:eastAsia="Times New Roman" w:hAnsi="Times New Roman"/>
          <w:sz w:val="17"/>
          <w:szCs w:val="17"/>
          <w:color w:val="auto"/>
        </w:rPr>
        <w:t xml:space="preserve">”) harmless from and against any and all Losses resulting from any Third Party Claims arising out of (a) breach by Kissei of this Agreement, including any of the representations and warranties made by Kissei under </w:t>
      </w:r>
      <w:r>
        <w:rPr>
          <w:rFonts w:ascii="Times New Roman" w:cs="Times New Roman" w:eastAsia="Times New Roman" w:hAnsi="Times New Roman"/>
          <w:sz w:val="17"/>
          <w:szCs w:val="17"/>
          <w:b w:val="1"/>
          <w:bCs w:val="1"/>
          <w:color w:val="auto"/>
        </w:rPr>
        <w:t>Article 12 (Representations and Warranties; Disclaimers)</w:t>
      </w:r>
      <w:r>
        <w:rPr>
          <w:rFonts w:ascii="Times New Roman" w:cs="Times New Roman" w:eastAsia="Times New Roman" w:hAnsi="Times New Roman"/>
          <w:sz w:val="17"/>
          <w:szCs w:val="17"/>
          <w:color w:val="auto"/>
        </w:rPr>
        <w:t>, (b) any Kissei Indemnitee’s gross negligence or willful misconduct, or (c) the activities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performed by or on behalf of Kissei or any of its Affiliates or its or their sublicensees (i) in connection with the exercise of its licenses and rights hereunder, including, product liability and infringement claims (including the costs and expenses described in </w:t>
      </w:r>
      <w:r>
        <w:rPr>
          <w:rFonts w:ascii="Times New Roman" w:cs="Times New Roman" w:eastAsia="Times New Roman" w:hAnsi="Times New Roman"/>
          <w:sz w:val="17"/>
          <w:szCs w:val="17"/>
          <w:b w:val="1"/>
          <w:bCs w:val="1"/>
          <w:color w:val="auto"/>
        </w:rPr>
        <w:t>Section 9.8.3 (Costs and Expenses)</w:t>
      </w:r>
      <w:r>
        <w:rPr>
          <w:rFonts w:ascii="Times New Roman" w:cs="Times New Roman" w:eastAsia="Times New Roman" w:hAnsi="Times New Roman"/>
          <w:sz w:val="17"/>
          <w:szCs w:val="17"/>
          <w:color w:val="auto"/>
        </w:rPr>
        <w:t>) or</w:t>
      </w:r>
    </w:p>
    <w:p>
      <w:pPr>
        <w:spacing w:after="0" w:line="3" w:lineRule="exact"/>
        <w:rPr>
          <w:sz w:val="20"/>
          <w:szCs w:val="20"/>
          <w:color w:val="auto"/>
        </w:rPr>
      </w:pPr>
    </w:p>
    <w:p>
      <w:pPr>
        <w:jc w:val="both"/>
        <w:ind w:left="2" w:right="480" w:hanging="2"/>
        <w:spacing w:after="0" w:line="248" w:lineRule="auto"/>
        <w:tabs>
          <w:tab w:leader="none" w:pos="262"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unrelated to the Development Program, Collaboration Compound, Product or Companion Diagnostic, except, in each case (a) through (c), that Kissei’s obligation to Indemnify the CG Indemnitees pursuant to this </w:t>
      </w:r>
      <w:r>
        <w:rPr>
          <w:rFonts w:ascii="Times New Roman" w:cs="Times New Roman" w:eastAsia="Times New Roman" w:hAnsi="Times New Roman"/>
          <w:sz w:val="18"/>
          <w:szCs w:val="18"/>
          <w:b w:val="1"/>
          <w:bCs w:val="1"/>
          <w:color w:val="auto"/>
        </w:rPr>
        <w:t>Section 13.1.2 (Indemnification)</w:t>
      </w:r>
      <w:r>
        <w:rPr>
          <w:rFonts w:ascii="Times New Roman" w:cs="Times New Roman" w:eastAsia="Times New Roman" w:hAnsi="Times New Roman"/>
          <w:sz w:val="18"/>
          <w:szCs w:val="18"/>
          <w:color w:val="auto"/>
        </w:rPr>
        <w:t xml:space="preserve"> shall not apply to the extent that any such Losses are Losses for which CG is obligated to Indemnify the Kissei Indemnitees pursuant to </w:t>
      </w:r>
      <w:r>
        <w:rPr>
          <w:rFonts w:ascii="Times New Roman" w:cs="Times New Roman" w:eastAsia="Times New Roman" w:hAnsi="Times New Roman"/>
          <w:sz w:val="18"/>
          <w:szCs w:val="18"/>
          <w:b w:val="1"/>
          <w:bCs w:val="1"/>
          <w:color w:val="auto"/>
        </w:rPr>
        <w:t>Section 13.1.1 (Indemnification)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 w:firstLine="432"/>
        <w:spacing w:after="0" w:line="248" w:lineRule="auto"/>
        <w:rPr>
          <w:sz w:val="20"/>
          <w:szCs w:val="20"/>
          <w:color w:val="auto"/>
        </w:rPr>
      </w:pPr>
      <w:r>
        <w:rPr>
          <w:rFonts w:ascii="Times New Roman" w:cs="Times New Roman" w:eastAsia="Times New Roman" w:hAnsi="Times New Roman"/>
          <w:sz w:val="18"/>
          <w:szCs w:val="18"/>
          <w:b w:val="1"/>
          <w:bCs w:val="1"/>
          <w:color w:val="auto"/>
        </w:rPr>
        <w:t>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Procedure</w:t>
      </w:r>
      <w:r>
        <w:rPr>
          <w:rFonts w:ascii="Times New Roman" w:cs="Times New Roman" w:eastAsia="Times New Roman" w:hAnsi="Times New Roman"/>
          <w:sz w:val="18"/>
          <w:szCs w:val="18"/>
          <w:color w:val="auto"/>
        </w:rPr>
        <w:t>. In order for a Party to be eligible to claim indemnification under this Agreement (the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it shall promptly notify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Party (the “</w:t>
      </w:r>
      <w:r>
        <w:rPr>
          <w:rFonts w:ascii="Times New Roman" w:cs="Times New Roman" w:eastAsia="Times New Roman" w:hAnsi="Times New Roman"/>
          <w:sz w:val="18"/>
          <w:szCs w:val="18"/>
          <w:b w:val="1"/>
          <w:bCs w:val="1"/>
          <w:color w:val="auto"/>
        </w:rPr>
        <w:t>Indemnitor</w:t>
      </w:r>
      <w:r>
        <w:rPr>
          <w:rFonts w:ascii="Times New Roman" w:cs="Times New Roman" w:eastAsia="Times New Roman" w:hAnsi="Times New Roman"/>
          <w:sz w:val="18"/>
          <w:szCs w:val="18"/>
          <w:color w:val="auto"/>
        </w:rPr>
        <w:t xml:space="preserve">”) in writing of such alleged Loss. Except as provided in </w:t>
      </w:r>
      <w:r>
        <w:rPr>
          <w:rFonts w:ascii="Times New Roman" w:cs="Times New Roman" w:eastAsia="Times New Roman" w:hAnsi="Times New Roman"/>
          <w:sz w:val="18"/>
          <w:szCs w:val="18"/>
          <w:b w:val="1"/>
          <w:bCs w:val="1"/>
          <w:color w:val="auto"/>
        </w:rPr>
        <w:t>Section 9.8.2 (Defense in the Territory)</w:t>
      </w:r>
      <w:r>
        <w:rPr>
          <w:rFonts w:ascii="Times New Roman" w:cs="Times New Roman" w:eastAsia="Times New Roman" w:hAnsi="Times New Roman"/>
          <w:sz w:val="18"/>
          <w:szCs w:val="18"/>
          <w:color w:val="auto"/>
        </w:rPr>
        <w:t xml:space="preserve">, the Indemnitor shall have the exclusive right to control the defense or settlement thereof with counsel of its choice as long as such counsel is reasonably acceptable to Indemnitee; provided, however, that the Indemnitor shall not enter into any settlement that admits fault, wrongdoing or damages without the Indemnitee’s written consent, such consent not to be unreasonably withheld, conditioned or delayed. Any Indemnitee shall have the right to retain its own counsel at its own expense for any reason, provided, however, that if the Indemnitee shall have reasonably concluded, based upon a written opinion from outside legal counsel, that there is a conflict of interest between the Indemnitor and the Indemnitee in the defense of such action by the Indemnitor’s selected counsel, the Indemnitor shall pay the fees and expenses of one law firm serving as counsel for the Indemnitee. In any event, the Indemnitor shall have no obligations with respect to any Losses resulting from the Indemnitee’s admission, settlement or other communication without the prior written consent of the Indemnitor. The Indemnitee, its employees and agents, shall reasonably cooperate with the Indemnitor and its legal representatives in the investigation of any Third Party Claims covered by this Agreement. The failure to deliver written notice to the Indemnitor within a reasonable time after the commencement of any such action, to the extent prejudicial to its ability to defend such action, shall relieve the Indemnitor of any obligation to the Indemnitee under this </w:t>
      </w:r>
      <w:r>
        <w:rPr>
          <w:rFonts w:ascii="Times New Roman" w:cs="Times New Roman" w:eastAsia="Times New Roman" w:hAnsi="Times New Roman"/>
          <w:sz w:val="18"/>
          <w:szCs w:val="18"/>
          <w:b w:val="1"/>
          <w:bCs w:val="1"/>
          <w:color w:val="auto"/>
        </w:rPr>
        <w:t>Section 13.2 (Procedure)</w:t>
      </w:r>
      <w:r>
        <w:rPr>
          <w:rFonts w:ascii="Times New Roman" w:cs="Times New Roman" w:eastAsia="Times New Roman" w:hAnsi="Times New Roman"/>
          <w:sz w:val="18"/>
          <w:szCs w:val="18"/>
          <w:color w:val="auto"/>
        </w:rPr>
        <w:t>. It is understood that only Kissei or CG may claim indemnity under this Agreement (on its own behalf or on behalf of its Indemnitees), and other Indemnitees may not directly claim indemnity hereunder.</w:t>
      </w:r>
    </w:p>
    <w:p>
      <w:pPr>
        <w:spacing w:after="0" w:line="12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02"/>
          </w:cols>
          <w:pgMar w:left="538" w:top="265" w:right="559" w:bottom="1440" w:gutter="0" w:footer="0" w:header="0"/>
        </w:sectPr>
      </w:pPr>
    </w:p>
    <w:bookmarkStart w:id="517" w:name="page518"/>
    <w:bookmarkEnd w:id="51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Insurance</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0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13.3.1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Insurance Coverage</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Section 13.3.4 (Election to Self-Insure)</w:t>
      </w:r>
      <w:r>
        <w:rPr>
          <w:rFonts w:ascii="Times New Roman" w:cs="Times New Roman" w:eastAsia="Times New Roman" w:hAnsi="Times New Roman"/>
          <w:sz w:val="18"/>
          <w:szCs w:val="18"/>
          <w:color w:val="auto"/>
        </w:rPr>
        <w:t>, each Party shall obtain and maintain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liability insurance customary in the industry for companies of similar size conducting similar business, and in any case sufficient to cover its obligations.</w:t>
      </w:r>
    </w:p>
    <w:p>
      <w:pPr>
        <w:spacing w:after="0" w:line="173" w:lineRule="exact"/>
        <w:rPr>
          <w:sz w:val="20"/>
          <w:szCs w:val="20"/>
          <w:color w:val="auto"/>
        </w:rPr>
      </w:pPr>
    </w:p>
    <w:p>
      <w:pPr>
        <w:jc w:val="both"/>
        <w:ind w:right="20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13.3.2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Evidence of Insurance</w:t>
      </w:r>
      <w:r>
        <w:rPr>
          <w:rFonts w:ascii="Times New Roman" w:cs="Times New Roman" w:eastAsia="Times New Roman" w:hAnsi="Times New Roman"/>
          <w:sz w:val="18"/>
          <w:szCs w:val="18"/>
          <w:color w:val="auto"/>
        </w:rPr>
        <w:t>. Within [***] of signing this Agreement, each Party shall provide the other Party with its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insurance evidencing the insurance coverage set forth </w:t>
      </w:r>
      <w:r>
        <w:rPr>
          <w:rFonts w:ascii="Times New Roman" w:cs="Times New Roman" w:eastAsia="Times New Roman" w:hAnsi="Times New Roman"/>
          <w:sz w:val="18"/>
          <w:szCs w:val="18"/>
          <w:b w:val="1"/>
          <w:bCs w:val="1"/>
          <w:color w:val="auto"/>
        </w:rPr>
        <w:t>Section 13.3.1 (Insurance Coverage)</w:t>
      </w:r>
      <w:r>
        <w:rPr>
          <w:rFonts w:ascii="Times New Roman" w:cs="Times New Roman" w:eastAsia="Times New Roman" w:hAnsi="Times New Roman"/>
          <w:sz w:val="18"/>
          <w:szCs w:val="18"/>
          <w:color w:val="auto"/>
        </w:rPr>
        <w:t>. Each Party shall provide to the other Party at least thirty (30) days prior written notice of any cancellation, non-renewal or material change in any of such insurance coverage.</w:t>
      </w:r>
    </w:p>
    <w:p>
      <w:pPr>
        <w:spacing w:after="0" w:line="173" w:lineRule="exact"/>
        <w:rPr>
          <w:sz w:val="20"/>
          <w:szCs w:val="20"/>
          <w:color w:val="auto"/>
        </w:rPr>
      </w:pPr>
    </w:p>
    <w:p>
      <w:pPr>
        <w:ind w:firstLine="973"/>
        <w:spacing w:after="0" w:line="249" w:lineRule="auto"/>
        <w:rPr>
          <w:sz w:val="20"/>
          <w:szCs w:val="20"/>
          <w:color w:val="auto"/>
        </w:rPr>
      </w:pPr>
      <w:r>
        <w:rPr>
          <w:rFonts w:ascii="Times New Roman" w:cs="Times New Roman" w:eastAsia="Times New Roman" w:hAnsi="Times New Roman"/>
          <w:sz w:val="18"/>
          <w:szCs w:val="18"/>
          <w:b w:val="1"/>
          <w:bCs w:val="1"/>
          <w:color w:val="auto"/>
        </w:rPr>
        <w:t>13.3.3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Product / Clinical Trial Liability Insurance</w:t>
      </w:r>
      <w:r>
        <w:rPr>
          <w:rFonts w:ascii="Times New Roman" w:cs="Times New Roman" w:eastAsia="Times New Roman" w:hAnsi="Times New Roman"/>
          <w:sz w:val="18"/>
          <w:szCs w:val="18"/>
          <w:color w:val="auto"/>
        </w:rPr>
        <w:t>. Commencing not later than [***] prior to the a Clinical Trial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Plan under this Agreement with respect to a Collaboration Compound, Product or Companion Diagnostic by a Party or any of its Affiliates or sublicensees, such Party and such Affiliate or sublicensee shall have and maintain such type and amounts of Products / Clinical Trial Liability insurance covering the development, manufacture, use and sale of Products, Products and Companion Diagnostics as is normal and customary in the industry generally for parties similarly situated, but, in any event, with a minimum combined single limit per occurrence for products / clinical trials liability as follows: (a) a minimum limit of [***] for any period during which such Party or any of its sublicensees is conducting a Clinical Trial with any Collaboration Compound(s), Product(s) or Companion Diagnostic(s); and (b) a minimum limit of [***] for any period during which Kissei or any of its Affiliates or sublicensees is selling any Product(s) or Companion Diagnostic(s) in the Territory. Each of the above insurance policies shall be primary insurance.</w:t>
      </w:r>
    </w:p>
    <w:p>
      <w:pPr>
        <w:spacing w:after="0" w:line="187" w:lineRule="exact"/>
        <w:rPr>
          <w:sz w:val="20"/>
          <w:szCs w:val="20"/>
          <w:color w:val="auto"/>
        </w:rPr>
      </w:pPr>
    </w:p>
    <w:p>
      <w:pPr>
        <w:ind w:right="80" w:firstLine="973"/>
        <w:spacing w:after="0" w:line="250" w:lineRule="auto"/>
        <w:rPr>
          <w:sz w:val="20"/>
          <w:szCs w:val="20"/>
          <w:color w:val="auto"/>
        </w:rPr>
      </w:pPr>
      <w:r>
        <w:rPr>
          <w:rFonts w:ascii="Times New Roman" w:cs="Times New Roman" w:eastAsia="Times New Roman" w:hAnsi="Times New Roman"/>
          <w:sz w:val="18"/>
          <w:szCs w:val="18"/>
          <w:b w:val="1"/>
          <w:bCs w:val="1"/>
          <w:color w:val="auto"/>
        </w:rPr>
        <w:t>13.3.4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Election to Self-Insure</w:t>
      </w:r>
      <w:r>
        <w:rPr>
          <w:rFonts w:ascii="Times New Roman" w:cs="Times New Roman" w:eastAsia="Times New Roman" w:hAnsi="Times New Roman"/>
          <w:sz w:val="18"/>
          <w:szCs w:val="18"/>
          <w:color w:val="auto"/>
        </w:rPr>
        <w:t>. In the event that either Party is or becomes an entity which, by Change of Control or otherwise,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its Affiliates, has worldwide revenues from pharmaceutical sales in excess of [***] per year, the obligations set forth in </w:t>
      </w:r>
      <w:r>
        <w:rPr>
          <w:rFonts w:ascii="Times New Roman" w:cs="Times New Roman" w:eastAsia="Times New Roman" w:hAnsi="Times New Roman"/>
          <w:sz w:val="18"/>
          <w:szCs w:val="18"/>
          <w:b w:val="1"/>
          <w:bCs w:val="1"/>
          <w:color w:val="auto"/>
        </w:rPr>
        <w:t>Section 13.3.3 (Product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Clinical Trial Liability 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13.3.1 (Insurance Coverage)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 13.3.2 (Evidence of Insurance) </w:t>
      </w:r>
      <w:r>
        <w:rPr>
          <w:rFonts w:ascii="Times New Roman" w:cs="Times New Roman" w:eastAsia="Times New Roman" w:hAnsi="Times New Roman"/>
          <w:sz w:val="18"/>
          <w:szCs w:val="18"/>
          <w:color w:val="auto"/>
        </w:rPr>
        <w:t>above shall not apply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such Party, if such Party notifies the other Party in writing that it elects to provide coverage through a commercially reasonable program of self-insurance; provided, however, that the obligations set forth in </w:t>
      </w:r>
      <w:r>
        <w:rPr>
          <w:rFonts w:ascii="Times New Roman" w:cs="Times New Roman" w:eastAsia="Times New Roman" w:hAnsi="Times New Roman"/>
          <w:sz w:val="18"/>
          <w:szCs w:val="18"/>
          <w:b w:val="1"/>
          <w:bCs w:val="1"/>
          <w:color w:val="auto"/>
        </w:rPr>
        <w:t>Section 13.3.1 (Insurance 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13.3.2 (Evidence of Insurance)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Section 13.3.3 (Product / Clinical Trial Liability Insurance) </w:t>
      </w:r>
      <w:r>
        <w:rPr>
          <w:rFonts w:ascii="Times New Roman" w:cs="Times New Roman" w:eastAsia="Times New Roman" w:hAnsi="Times New Roman"/>
          <w:sz w:val="18"/>
          <w:szCs w:val="18"/>
          <w:color w:val="auto"/>
        </w:rPr>
        <w:t>above shall resume with respect to such Party and its Affiliates, or successor-in-interest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Affiliates, if such program of self-insurance is terminated or discontinued for any reason.</w:t>
      </w:r>
    </w:p>
    <w:p>
      <w:pPr>
        <w:spacing w:after="0" w:line="187"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13.4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Limitation of Damages</w:t>
      </w:r>
      <w:r>
        <w:rPr>
          <w:rFonts w:ascii="Times New Roman" w:cs="Times New Roman" w:eastAsia="Times New Roman" w:hAnsi="Times New Roman"/>
          <w:sz w:val="18"/>
          <w:szCs w:val="18"/>
          <w:color w:val="auto"/>
        </w:rPr>
        <w:t>. NEITHER PARTY HERETO WILL BE LIABLE FOR INDIRECT, INCIDENTAL, CONSEQUENTIAL,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SPECIAL, EXEMPLARY, OR PUNITIVE DAMAGES, INCLUDING LOST PROFITS, ARISING FROM OR RELATING TO THIS AGREEMENT, REGARDLESS OF ANY NOTICE OF SUCH DAMAGES, EXCEPT IN RESPECT OF ANY BREACH OF A PARTY’S OBLIGATIONS UNDER </w:t>
      </w:r>
      <w:r>
        <w:rPr>
          <w:rFonts w:ascii="Times New Roman" w:cs="Times New Roman" w:eastAsia="Times New Roman" w:hAnsi="Times New Roman"/>
          <w:sz w:val="18"/>
          <w:szCs w:val="18"/>
          <w:b w:val="1"/>
          <w:bCs w:val="1"/>
          <w:color w:val="auto"/>
        </w:rPr>
        <w:t xml:space="preserve">SECTION 4.3 (EXCLUSIVITY)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ARTICLE 10 (CONFIDENTIALITY</w:t>
      </w:r>
      <w:r>
        <w:rPr>
          <w:rFonts w:ascii="Times New Roman" w:cs="Times New Roman" w:eastAsia="Times New Roman" w:hAnsi="Times New Roman"/>
          <w:sz w:val="18"/>
          <w:szCs w:val="18"/>
          <w:color w:val="auto"/>
        </w:rPr>
        <w:t>) OR INDEMNIFICATION OBLIGATIONS UNDER THIS</w:t>
      </w:r>
      <w:r>
        <w:rPr>
          <w:rFonts w:ascii="Times New Roman" w:cs="Times New Roman" w:eastAsia="Times New Roman" w:hAnsi="Times New Roman"/>
          <w:sz w:val="18"/>
          <w:szCs w:val="18"/>
          <w:b w:val="1"/>
          <w:bCs w:val="1"/>
          <w:color w:val="auto"/>
        </w:rPr>
        <w:t xml:space="preserve"> ARTICLE 13 (INDEMNIFICATION) </w:t>
      </w:r>
      <w:r>
        <w:rPr>
          <w:rFonts w:ascii="Times New Roman" w:cs="Times New Roman" w:eastAsia="Times New Roman" w:hAnsi="Times New Roman"/>
          <w:sz w:val="18"/>
          <w:szCs w:val="18"/>
          <w:color w:val="auto"/>
        </w:rPr>
        <w:t>FOR CLAIMS OF THIRD PARTIES.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800"/>
          </w:cols>
          <w:pgMar w:left="540" w:top="265" w:right="559" w:bottom="1440" w:gutter="0" w:footer="0" w:header="0"/>
        </w:sectPr>
      </w:pPr>
    </w:p>
    <w:bookmarkStart w:id="518" w:name="page519"/>
    <w:bookmarkEnd w:id="518"/>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ARTICLE 14</w:t>
      </w:r>
    </w:p>
    <w:p>
      <w:pPr>
        <w:spacing w:after="0" w:line="21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TERM; TERMINATION</w:t>
      </w:r>
    </w:p>
    <w:p>
      <w:pPr>
        <w:spacing w:after="0" w:line="217" w:lineRule="exact"/>
        <w:rPr>
          <w:sz w:val="20"/>
          <w:szCs w:val="20"/>
          <w:color w:val="auto"/>
        </w:rPr>
      </w:pPr>
    </w:p>
    <w:p>
      <w:pPr>
        <w:ind w:left="2" w:firstLine="432"/>
        <w:spacing w:after="0" w:line="249" w:lineRule="auto"/>
        <w:rPr>
          <w:sz w:val="20"/>
          <w:szCs w:val="20"/>
          <w:color w:val="auto"/>
        </w:rPr>
      </w:pPr>
      <w:r>
        <w:rPr>
          <w:rFonts w:ascii="Times New Roman" w:cs="Times New Roman" w:eastAsia="Times New Roman" w:hAnsi="Times New Roman"/>
          <w:sz w:val="18"/>
          <w:szCs w:val="18"/>
          <w:b w:val="1"/>
          <w:bCs w:val="1"/>
          <w:color w:val="auto"/>
        </w:rPr>
        <w:t>14.1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w:t>
      </w:r>
      <w:r>
        <w:rPr>
          <w:rFonts w:ascii="Times New Roman" w:cs="Times New Roman" w:eastAsia="Times New Roman" w:hAnsi="Times New Roman"/>
          <w:sz w:val="18"/>
          <w:szCs w:val="18"/>
          <w:color w:val="auto"/>
        </w:rPr>
        <w:t>. The term of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commence on the Effective Date and, unless sooner terminated as provided in this</w:t>
      </w:r>
      <w:r>
        <w:rPr>
          <w:rFonts w:ascii="Times New Roman" w:cs="Times New Roman" w:eastAsia="Times New Roman" w:hAnsi="Times New Roman"/>
          <w:sz w:val="18"/>
          <w:szCs w:val="18"/>
          <w:b w:val="1"/>
          <w:bCs w:val="1"/>
          <w:color w:val="auto"/>
        </w:rPr>
        <w:t xml:space="preserve"> Article 14 (Term; Termination)</w:t>
      </w:r>
      <w:r>
        <w:rPr>
          <w:rFonts w:ascii="Times New Roman" w:cs="Times New Roman" w:eastAsia="Times New Roman" w:hAnsi="Times New Roman"/>
          <w:sz w:val="18"/>
          <w:szCs w:val="18"/>
          <w:color w:val="auto"/>
        </w:rPr>
        <w:t>, shall continue in full force and effect, on a country-by-country and Product-by-Product basis until there is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remaining royalty payment or other payment obligation in such country with respect to such Product, at which time this Agreement shall expire with respect to such Product in such country. Subject to </w:t>
      </w:r>
      <w:r>
        <w:rPr>
          <w:rFonts w:ascii="Times New Roman" w:cs="Times New Roman" w:eastAsia="Times New Roman" w:hAnsi="Times New Roman"/>
          <w:sz w:val="18"/>
          <w:szCs w:val="18"/>
          <w:b w:val="1"/>
          <w:bCs w:val="1"/>
          <w:color w:val="auto"/>
        </w:rPr>
        <w:t>Section 7.4.8 (Rights Following Expiration of Royalty Term)</w:t>
      </w:r>
      <w:r>
        <w:rPr>
          <w:rFonts w:ascii="Times New Roman" w:cs="Times New Roman" w:eastAsia="Times New Roman" w:hAnsi="Times New Roman"/>
          <w:sz w:val="18"/>
          <w:szCs w:val="18"/>
          <w:color w:val="auto"/>
        </w:rPr>
        <w:t xml:space="preserve"> the Term shall expire on the date this Agreement has expired in its entirety with respect to all Products in all countries in the world. Following the expiration of the Term, (i) the grants in </w:t>
      </w:r>
      <w:r>
        <w:rPr>
          <w:rFonts w:ascii="Times New Roman" w:cs="Times New Roman" w:eastAsia="Times New Roman" w:hAnsi="Times New Roman"/>
          <w:sz w:val="18"/>
          <w:szCs w:val="18"/>
          <w:b w:val="1"/>
          <w:bCs w:val="1"/>
          <w:color w:val="auto"/>
        </w:rPr>
        <w:t xml:space="preserve">Section 4.1.1 (Products)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 4.1.2 (Companion Diagnostics) </w:t>
      </w:r>
      <w:r>
        <w:rPr>
          <w:rFonts w:ascii="Times New Roman" w:cs="Times New Roman" w:eastAsia="Times New Roman" w:hAnsi="Times New Roman"/>
          <w:sz w:val="18"/>
          <w:szCs w:val="18"/>
          <w:color w:val="auto"/>
        </w:rPr>
        <w:t>shall become non-exclusive, fully-paid, royalty-free and irrevocable and</w:t>
      </w:r>
    </w:p>
    <w:p>
      <w:pPr>
        <w:spacing w:after="0" w:line="5" w:lineRule="exact"/>
        <w:rPr>
          <w:sz w:val="20"/>
          <w:szCs w:val="20"/>
          <w:color w:val="auto"/>
        </w:rPr>
      </w:pPr>
    </w:p>
    <w:p>
      <w:pPr>
        <w:ind w:left="2" w:right="120" w:hanging="2"/>
        <w:spacing w:after="0" w:line="251" w:lineRule="auto"/>
        <w:tabs>
          <w:tab w:leader="none" w:pos="26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Kissei shall have the right to negotiate directly with CG’s then-existing CMO(s), including Fuji Film, an agreement for the manufacture and supply of the Collaboration Compound and Product independent of, and without any financial obligation to, CG.</w:t>
      </w:r>
    </w:p>
    <w:p>
      <w:pPr>
        <w:spacing w:after="0" w:line="182" w:lineRule="exact"/>
        <w:rPr>
          <w:sz w:val="20"/>
          <w:szCs w:val="20"/>
          <w:color w:val="auto"/>
        </w:rPr>
      </w:pPr>
    </w:p>
    <w:p>
      <w:pPr>
        <w:ind w:left="2" w:right="20" w:firstLine="432"/>
        <w:spacing w:after="0" w:line="248" w:lineRule="auto"/>
        <w:rPr>
          <w:sz w:val="20"/>
          <w:szCs w:val="20"/>
          <w:color w:val="auto"/>
        </w:rPr>
      </w:pPr>
      <w:r>
        <w:rPr>
          <w:rFonts w:ascii="Times New Roman" w:cs="Times New Roman" w:eastAsia="Times New Roman" w:hAnsi="Times New Roman"/>
          <w:sz w:val="18"/>
          <w:szCs w:val="18"/>
          <w:b w:val="1"/>
          <w:bCs w:val="1"/>
          <w:color w:val="auto"/>
        </w:rPr>
        <w:t>14.2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by Either Party for Material Breach</w:t>
      </w:r>
      <w:r>
        <w:rPr>
          <w:rFonts w:ascii="Times New Roman" w:cs="Times New Roman" w:eastAsia="Times New Roman" w:hAnsi="Times New Roman"/>
          <w:sz w:val="18"/>
          <w:szCs w:val="18"/>
          <w:color w:val="auto"/>
        </w:rPr>
        <w:t>. Either Party may terminate this Agreement (a) on a Product-by-Product basis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notice to the other Party for any material breach of this Agreement by the other Party specific to a particular Product or (b) in its entirety by written notice to the other Party for any material breach of this Agreement by the other Party that is not specific to a particular Product, if, in the case of remediable breach, such material breach is not cured within [***] ([***] for payment defaults) after the breaching Party receives written notice of such breach from the non-breaching Party; provided, that if such breach is not capable of being cured within such [***] ([***]) period, the cure period shall be extended for such amount of time that the Parties may agree in writing is reasonably necessary to cure such breach, so long as (1) the breaching Party is making Commercially Reasonable Efforts to do so, and (2) the Parties agree on an extension within such [***] ([***]) period. Notwithstanding anything to the contrary herein, if the allegedly breaching Party in good faith either disputes (i) whether a breach is material or has occurred or (ii) the alleged failure to cure or remedy such material breach, and provides written notice of that dispute to the other Party within the above time periods, then the matter will be addressed under the dispute resolution provisions in </w:t>
      </w:r>
      <w:r>
        <w:rPr>
          <w:rFonts w:ascii="Times New Roman" w:cs="Times New Roman" w:eastAsia="Times New Roman" w:hAnsi="Times New Roman"/>
          <w:sz w:val="18"/>
          <w:szCs w:val="18"/>
          <w:b w:val="1"/>
          <w:bCs w:val="1"/>
          <w:color w:val="auto"/>
        </w:rPr>
        <w:t>Article 15 (Dispute Resolution)</w:t>
      </w:r>
      <w:r>
        <w:rPr>
          <w:rFonts w:ascii="Times New Roman" w:cs="Times New Roman" w:eastAsia="Times New Roman" w:hAnsi="Times New Roman"/>
          <w:sz w:val="18"/>
          <w:szCs w:val="18"/>
          <w:color w:val="auto"/>
        </w:rPr>
        <w:t xml:space="preserve">, and the notifying Party may not so terminate this Agreement until it has been determined under </w:t>
      </w:r>
      <w:r>
        <w:rPr>
          <w:rFonts w:ascii="Times New Roman" w:cs="Times New Roman" w:eastAsia="Times New Roman" w:hAnsi="Times New Roman"/>
          <w:sz w:val="18"/>
          <w:szCs w:val="18"/>
          <w:b w:val="1"/>
          <w:bCs w:val="1"/>
          <w:color w:val="auto"/>
        </w:rPr>
        <w:t>Article 15 (Dispute Resolution)</w:t>
      </w:r>
      <w:r>
        <w:rPr>
          <w:rFonts w:ascii="Times New Roman" w:cs="Times New Roman" w:eastAsia="Times New Roman" w:hAnsi="Times New Roman"/>
          <w:sz w:val="18"/>
          <w:szCs w:val="18"/>
          <w:color w:val="auto"/>
        </w:rPr>
        <w:t xml:space="preserve"> that the allegedly breaching Party is in material breach of this Agreement, and such breaching Party further fails to cure such breach within [***] ([***] for payment defaults) (or such longer period as determined by the arbiter of such dispute resolution) after the conclusion of that dispute resolution procedure.</w:t>
      </w:r>
    </w:p>
    <w:p>
      <w:pPr>
        <w:spacing w:after="0" w:line="188"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14.3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by Either Party for Insolvency or Bankruptcy</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left="2" w:right="80" w:firstLine="1406"/>
        <w:spacing w:after="0" w:line="269"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Either Party may terminate this Agreement, effective on written notice to the other Party, upon (i) the liquidation, dissolution,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winding up, adjudication of insolvency or bankruptcy, (ii) the filing of any petition therefor, appointment of a receiver, custodian or trustee with respect to all or substantially all of such other Party’s (the “</w:t>
      </w:r>
      <w:r>
        <w:rPr>
          <w:rFonts w:ascii="Times New Roman" w:cs="Times New Roman" w:eastAsia="Times New Roman" w:hAnsi="Times New Roman"/>
          <w:sz w:val="17"/>
          <w:szCs w:val="17"/>
          <w:b w:val="1"/>
          <w:bCs w:val="1"/>
          <w:color w:val="auto"/>
        </w:rPr>
        <w:t>Bankrupt Party</w:t>
      </w:r>
      <w:r>
        <w:rPr>
          <w:rFonts w:ascii="Times New Roman" w:cs="Times New Roman" w:eastAsia="Times New Roman" w:hAnsi="Times New Roman"/>
          <w:sz w:val="17"/>
          <w:szCs w:val="17"/>
          <w:color w:val="auto"/>
        </w:rPr>
        <w:t>”) assessor (iii) any other similar proceeding (the proceedings referred to in</w:t>
      </w:r>
    </w:p>
    <w:p>
      <w:pPr>
        <w:ind w:left="2" w:right="420" w:hanging="2"/>
        <w:spacing w:after="0" w:line="251" w:lineRule="auto"/>
        <w:tabs>
          <w:tab w:leader="none" w:pos="21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(iii), the “</w:t>
      </w:r>
      <w:r>
        <w:rPr>
          <w:rFonts w:ascii="Times New Roman" w:cs="Times New Roman" w:eastAsia="Times New Roman" w:hAnsi="Times New Roman"/>
          <w:sz w:val="18"/>
          <w:szCs w:val="18"/>
          <w:b w:val="1"/>
          <w:bCs w:val="1"/>
          <w:color w:val="auto"/>
        </w:rPr>
        <w:t>Insolvency Proceedings</w:t>
      </w:r>
      <w:r>
        <w:rPr>
          <w:rFonts w:ascii="Times New Roman" w:cs="Times New Roman" w:eastAsia="Times New Roman" w:hAnsi="Times New Roman"/>
          <w:sz w:val="18"/>
          <w:szCs w:val="18"/>
          <w:color w:val="auto"/>
        </w:rPr>
        <w:t>”), by or of the Bankrupt Party where such Insolvency Proceeding is not dismissed or vacated within [***].</w:t>
      </w:r>
    </w:p>
    <w:p>
      <w:pPr>
        <w:spacing w:after="0" w:line="11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782"/>
          </w:cols>
          <w:pgMar w:left="538" w:top="264" w:right="579" w:bottom="1440" w:gutter="0" w:footer="0" w:header="0"/>
        </w:sectPr>
      </w:pPr>
    </w:p>
    <w:bookmarkStart w:id="519" w:name="page520"/>
    <w:bookmarkEnd w:id="519"/>
    <w:p>
      <w:pPr>
        <w:ind w:right="22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w:t>
      </w:r>
      <w:r>
        <w:rPr>
          <w:rFonts w:ascii="Times New Roman" w:cs="Times New Roman" w:eastAsia="Times New Roman" w:hAnsi="Times New Roman"/>
          <w:sz w:val="18"/>
          <w:szCs w:val="18"/>
          <w:color w:val="auto"/>
        </w:rPr>
        <w:t xml:space="preserve">  All rights and licenses granted pursuant to this Agreement are for purposes of Section 365(n) of Title 11 of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or any equivalents thereof in any other countries (“</w:t>
      </w:r>
      <w:r>
        <w:rPr>
          <w:rFonts w:ascii="Times New Roman" w:cs="Times New Roman" w:eastAsia="Times New Roman" w:hAnsi="Times New Roman"/>
          <w:sz w:val="18"/>
          <w:szCs w:val="18"/>
          <w:b w:val="1"/>
          <w:bCs w:val="1"/>
          <w:color w:val="auto"/>
        </w:rPr>
        <w:t>Title 11</w:t>
      </w:r>
      <w:r>
        <w:rPr>
          <w:rFonts w:ascii="Times New Roman" w:cs="Times New Roman" w:eastAsia="Times New Roman" w:hAnsi="Times New Roman"/>
          <w:sz w:val="18"/>
          <w:szCs w:val="18"/>
          <w:color w:val="auto"/>
        </w:rPr>
        <w:t>”), licenses of rights to “intellectual property” as defined in Title 11.</w:t>
      </w:r>
    </w:p>
    <w:p>
      <w:pPr>
        <w:spacing w:after="0" w:line="160" w:lineRule="exact"/>
        <w:rPr>
          <w:sz w:val="20"/>
          <w:szCs w:val="20"/>
          <w:color w:val="auto"/>
        </w:rPr>
      </w:pPr>
    </w:p>
    <w:p>
      <w:pPr>
        <w:ind w:right="40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The Parties recognize that this Agreement is personal to the Parties and that intellectual property law excuses a Party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accepting the performance from or rendering performance to anyone other than the other Party.</w:t>
      </w:r>
    </w:p>
    <w:p>
      <w:pPr>
        <w:spacing w:after="0" w:line="160" w:lineRule="exact"/>
        <w:rPr>
          <w:sz w:val="20"/>
          <w:szCs w:val="20"/>
          <w:color w:val="auto"/>
        </w:rPr>
      </w:pPr>
    </w:p>
    <w:p>
      <w:pPr>
        <w:ind w:firstLine="432"/>
        <w:spacing w:after="0" w:line="248" w:lineRule="auto"/>
        <w:rPr>
          <w:sz w:val="20"/>
          <w:szCs w:val="20"/>
          <w:color w:val="auto"/>
        </w:rPr>
      </w:pPr>
      <w:r>
        <w:rPr>
          <w:rFonts w:ascii="Times New Roman" w:cs="Times New Roman" w:eastAsia="Times New Roman" w:hAnsi="Times New Roman"/>
          <w:sz w:val="18"/>
          <w:szCs w:val="18"/>
          <w:b w:val="1"/>
          <w:bCs w:val="1"/>
          <w:color w:val="auto"/>
        </w:rPr>
        <w:t>14.4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for Patent Challenge</w:t>
      </w:r>
      <w:r>
        <w:rPr>
          <w:rFonts w:ascii="Times New Roman" w:cs="Times New Roman" w:eastAsia="Times New Roman" w:hAnsi="Times New Roman"/>
          <w:sz w:val="18"/>
          <w:szCs w:val="18"/>
          <w:color w:val="auto"/>
        </w:rPr>
        <w:t>. If, without the prior consent of CG and except as provided below, Kissei or any of its Affiliates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their sublicensees voluntarily challenges under any court action or proceeding, or before any patent office, the validity, patentability, enforceability, scope or non-infringement of any CG Patent, or voluntarily initiates a reexamination of any such Patent, or voluntarily assists any Third Party to conduct any of the foregoing activities (each, a “</w:t>
      </w:r>
      <w:r>
        <w:rPr>
          <w:rFonts w:ascii="Times New Roman" w:cs="Times New Roman" w:eastAsia="Times New Roman" w:hAnsi="Times New Roman"/>
          <w:sz w:val="18"/>
          <w:szCs w:val="18"/>
          <w:b w:val="1"/>
          <w:bCs w:val="1"/>
          <w:color w:val="auto"/>
        </w:rPr>
        <w:t>Challenge</w:t>
      </w:r>
      <w:r>
        <w:rPr>
          <w:rFonts w:ascii="Times New Roman" w:cs="Times New Roman" w:eastAsia="Times New Roman" w:hAnsi="Times New Roman"/>
          <w:sz w:val="18"/>
          <w:szCs w:val="18"/>
          <w:color w:val="auto"/>
        </w:rPr>
        <w:t xml:space="preserve">”), then either (a) Kissei or its Affiliate or sublicensee shall withdraw (or cause to be withdrawn) such Challenge within [***] after being requested to do so by CG in writing and CG shall have no right to terminate this Agreement pursuant to this </w:t>
      </w:r>
      <w:r>
        <w:rPr>
          <w:rFonts w:ascii="Times New Roman" w:cs="Times New Roman" w:eastAsia="Times New Roman" w:hAnsi="Times New Roman"/>
          <w:sz w:val="18"/>
          <w:szCs w:val="18"/>
          <w:b w:val="1"/>
          <w:bCs w:val="1"/>
          <w:color w:val="auto"/>
        </w:rPr>
        <w:t xml:space="preserve">Section 14.4 (Termination for Patent Challenge) </w:t>
      </w:r>
      <w:r>
        <w:rPr>
          <w:rFonts w:ascii="Times New Roman" w:cs="Times New Roman" w:eastAsia="Times New Roman" w:hAnsi="Times New Roman"/>
          <w:sz w:val="18"/>
          <w:szCs w:val="18"/>
          <w:color w:val="auto"/>
        </w:rPr>
        <w:t>with respect to such Challenge; or (b) if such challenge is maintained or is not capable of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withdrawn and terminated, CG shall have the right to terminate this Agreement on [***] written notice to Kissei; such termination to be effective immediately. However the foregoing shall not apply: (i) to any such action or proceeding brought in response to an action brought by or under the authority of CG or its Affiliate against Kissei, its Affiliate or sublicensee for infringement of any CG Patent, (ii) to any ordinary course Prosecution and Maintenance matters (i.e., those intended to cause a Patent to issue or strengthen an already issued Patent or that are approved by CG) controlled by Kissei in accordance with </w:t>
      </w:r>
      <w:r>
        <w:rPr>
          <w:rFonts w:ascii="Times New Roman" w:cs="Times New Roman" w:eastAsia="Times New Roman" w:hAnsi="Times New Roman"/>
          <w:sz w:val="18"/>
          <w:szCs w:val="18"/>
          <w:b w:val="1"/>
          <w:bCs w:val="1"/>
          <w:color w:val="auto"/>
        </w:rPr>
        <w:t>Section 9.6 (Patent Filing, Prosecution, Maintenance and Strategy)</w:t>
      </w:r>
      <w:r>
        <w:rPr>
          <w:rFonts w:ascii="Times New Roman" w:cs="Times New Roman" w:eastAsia="Times New Roman" w:hAnsi="Times New Roman"/>
          <w:sz w:val="18"/>
          <w:szCs w:val="18"/>
          <w:color w:val="auto"/>
        </w:rPr>
        <w:t xml:space="preserve"> above, or (iii) if Kissei acquires or is acquired by a Third Party already engaged in a Challenge at the time of such acquisition; provided, that neither Kissei nor any of its Affiliates (as in existence immediately prior to such acquisition), directly or indirectly, assists or supports such Third Party in any manner with respect to such Challenge. Further, for the avoidance of doubt, CG may not terminate the Agreement if Kissei or its Affiliate or sublicensee is required by legal process to be joined as a party in such proceedings by a Third Party.</w:t>
      </w:r>
    </w:p>
    <w:p>
      <w:pPr>
        <w:spacing w:after="0" w:line="184" w:lineRule="exact"/>
        <w:rPr>
          <w:sz w:val="20"/>
          <w:szCs w:val="20"/>
          <w:color w:val="auto"/>
        </w:rPr>
      </w:pPr>
    </w:p>
    <w:p>
      <w:pPr>
        <w:ind w:right="50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at Will</w:t>
      </w:r>
      <w:r>
        <w:rPr>
          <w:rFonts w:ascii="Times New Roman" w:cs="Times New Roman" w:eastAsia="Times New Roman" w:hAnsi="Times New Roman"/>
          <w:sz w:val="18"/>
          <w:szCs w:val="18"/>
          <w:color w:val="auto"/>
        </w:rPr>
        <w:t>. Kissei shall also have the right to terminate this Agreement at will in its entirety, or with respect to a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in its sole discretion, any time after the [***] of the Effective Date by providing [***] written notice to CG.</w:t>
      </w:r>
    </w:p>
    <w:p>
      <w:pPr>
        <w:spacing w:after="0" w:line="160" w:lineRule="exact"/>
        <w:rPr>
          <w:sz w:val="20"/>
          <w:szCs w:val="20"/>
          <w:color w:val="auto"/>
        </w:rPr>
      </w:pPr>
    </w:p>
    <w:p>
      <w:pPr>
        <w:jc w:val="both"/>
        <w:ind w:firstLine="432"/>
        <w:spacing w:after="0" w:line="271" w:lineRule="auto"/>
        <w:rPr>
          <w:sz w:val="20"/>
          <w:szCs w:val="20"/>
          <w:color w:val="auto"/>
        </w:rPr>
      </w:pPr>
      <w:r>
        <w:rPr>
          <w:rFonts w:ascii="Times New Roman" w:cs="Times New Roman" w:eastAsia="Times New Roman" w:hAnsi="Times New Roman"/>
          <w:sz w:val="17"/>
          <w:szCs w:val="17"/>
          <w:b w:val="1"/>
          <w:bCs w:val="1"/>
          <w:color w:val="auto"/>
        </w:rPr>
        <w:t>14.6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Termination for Catastrophic Breach</w:t>
      </w:r>
      <w:r>
        <w:rPr>
          <w:rFonts w:ascii="Times New Roman" w:cs="Times New Roman" w:eastAsia="Times New Roman" w:hAnsi="Times New Roman"/>
          <w:sz w:val="17"/>
          <w:szCs w:val="17"/>
          <w:color w:val="auto"/>
        </w:rPr>
        <w:t>. If CG commits an incurable Catastrophic Breach of this Agreement, Kissei shall have the right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terminate the entire Agreement on [***] written notice. If Kissei fails to provide such written termination notice within [***] from the date when Kissei learns of the Catastrophic Breach, then Kissei’s termination under this </w:t>
      </w:r>
      <w:r>
        <w:rPr>
          <w:rFonts w:ascii="Times New Roman" w:cs="Times New Roman" w:eastAsia="Times New Roman" w:hAnsi="Times New Roman"/>
          <w:sz w:val="17"/>
          <w:szCs w:val="17"/>
          <w:b w:val="1"/>
          <w:bCs w:val="1"/>
          <w:color w:val="auto"/>
        </w:rPr>
        <w:t>Section 14.6 (Termination for Catastrophic Breach)</w:t>
      </w:r>
      <w:r>
        <w:rPr>
          <w:rFonts w:ascii="Times New Roman" w:cs="Times New Roman" w:eastAsia="Times New Roman" w:hAnsi="Times New Roman"/>
          <w:sz w:val="17"/>
          <w:szCs w:val="17"/>
          <w:color w:val="auto"/>
        </w:rPr>
        <w:t xml:space="preserve"> will be deemed waived for such Catastrophic Breach. For purposes of this Agreement, “</w:t>
      </w:r>
      <w:r>
        <w:rPr>
          <w:rFonts w:ascii="Times New Roman" w:cs="Times New Roman" w:eastAsia="Times New Roman" w:hAnsi="Times New Roman"/>
          <w:sz w:val="17"/>
          <w:szCs w:val="17"/>
          <w:b w:val="1"/>
          <w:bCs w:val="1"/>
          <w:color w:val="auto"/>
        </w:rPr>
        <w:t>Catastrophic Breach</w:t>
      </w:r>
      <w:r>
        <w:rPr>
          <w:rFonts w:ascii="Times New Roman" w:cs="Times New Roman" w:eastAsia="Times New Roman" w:hAnsi="Times New Roman"/>
          <w:sz w:val="17"/>
          <w:szCs w:val="17"/>
          <w:color w:val="auto"/>
        </w:rPr>
        <w:t>” means a material breach of this Agreement by CG caused solely by CG’s willful and malicious misconduct that results in substantial and irreparable harm to the commercial value of the Product in the Territory.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800"/>
          </w:cols>
          <w:pgMar w:left="540" w:top="264" w:right="559" w:bottom="1440" w:gutter="0" w:footer="0" w:header="0"/>
        </w:sectPr>
      </w:pPr>
    </w:p>
    <w:bookmarkStart w:id="520" w:name="page521"/>
    <w:bookmarkEnd w:id="52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Effects of Termination</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14.7.1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Effects of Termination in General</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40" w:firstLine="1406"/>
        <w:spacing w:after="0" w:line="253"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Accrued Rights and Obligations</w:t>
      </w:r>
      <w:r>
        <w:rPr>
          <w:rFonts w:ascii="Times New Roman" w:cs="Times New Roman" w:eastAsia="Times New Roman" w:hAnsi="Times New Roman"/>
          <w:sz w:val="18"/>
          <w:szCs w:val="18"/>
          <w:color w:val="auto"/>
        </w:rPr>
        <w:t>. Expiration or termination of this Agreement in its entirety, or with respect to a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for any reason shall not release either Party hereto from any liability which, as of the effective date of such expiration or termination, had already accrued to the other Party or which is attributable to a period prior to such termination, nor preclude either Party from pursuing any rights and remedies it may have hereunder or at law or in equity which accrued or are based upon any event occurring prior to the effective date of such expiration or termination.</w:t>
      </w:r>
    </w:p>
    <w:p>
      <w:pPr>
        <w:spacing w:after="0" w:line="18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of Licenses. Upon termination of this Agreement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40" w:firstLine="1946"/>
        <w:spacing w:after="0" w:line="250" w:lineRule="auto"/>
        <w:rPr>
          <w:sz w:val="20"/>
          <w:szCs w:val="20"/>
          <w:color w:val="auto"/>
        </w:rPr>
      </w:pPr>
      <w:r>
        <w:rPr>
          <w:rFonts w:ascii="Times New Roman" w:cs="Times New Roman" w:eastAsia="Times New Roman" w:hAnsi="Times New Roman"/>
          <w:sz w:val="18"/>
          <w:szCs w:val="18"/>
          <w:color w:val="auto"/>
        </w:rPr>
        <w:t xml:space="preserve">(i)  with respect to a particular Product by either Party pursuant to </w:t>
      </w:r>
      <w:r>
        <w:rPr>
          <w:rFonts w:ascii="Times New Roman" w:cs="Times New Roman" w:eastAsia="Times New Roman" w:hAnsi="Times New Roman"/>
          <w:sz w:val="18"/>
          <w:szCs w:val="18"/>
          <w:b w:val="1"/>
          <w:bCs w:val="1"/>
          <w:color w:val="auto"/>
        </w:rPr>
        <w:t>Section 14.2 (Termination by Either Party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Material Breach) </w:t>
      </w:r>
      <w:r>
        <w:rPr>
          <w:rFonts w:ascii="Times New Roman" w:cs="Times New Roman" w:eastAsia="Times New Roman" w:hAnsi="Times New Roman"/>
          <w:sz w:val="18"/>
          <w:szCs w:val="18"/>
          <w:color w:val="auto"/>
        </w:rPr>
        <w:t>or by Kissei pursuant to</w:t>
      </w:r>
      <w:r>
        <w:rPr>
          <w:rFonts w:ascii="Times New Roman" w:cs="Times New Roman" w:eastAsia="Times New Roman" w:hAnsi="Times New Roman"/>
          <w:sz w:val="18"/>
          <w:szCs w:val="18"/>
          <w:b w:val="1"/>
          <w:bCs w:val="1"/>
          <w:color w:val="auto"/>
        </w:rPr>
        <w:t xml:space="preserve"> Section 14.5 (Termination at Will) </w:t>
      </w:r>
      <w:r>
        <w:rPr>
          <w:rFonts w:ascii="Times New Roman" w:cs="Times New Roman" w:eastAsia="Times New Roman" w:hAnsi="Times New Roman"/>
          <w:sz w:val="18"/>
          <w:szCs w:val="18"/>
          <w:color w:val="auto"/>
        </w:rPr>
        <w:t>all licenses under this Agreement with respect to such Product,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Collaboration Compound contained therein and the Companion Diagnostic thereto (other than the licenses set forth in </w:t>
      </w:r>
      <w:r>
        <w:rPr>
          <w:rFonts w:ascii="Times New Roman" w:cs="Times New Roman" w:eastAsia="Times New Roman" w:hAnsi="Times New Roman"/>
          <w:sz w:val="18"/>
          <w:szCs w:val="18"/>
          <w:b w:val="1"/>
          <w:bCs w:val="1"/>
          <w:color w:val="auto"/>
        </w:rPr>
        <w:t>Sections 4.1.3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4.1.2 (Companion Diagnostics)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4.2.1 (Collaboration IP)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4.2.4 (Residuals)</w:t>
      </w:r>
      <w:r>
        <w:rPr>
          <w:rFonts w:ascii="Times New Roman" w:cs="Times New Roman" w:eastAsia="Times New Roman" w:hAnsi="Times New Roman"/>
          <w:sz w:val="18"/>
          <w:szCs w:val="18"/>
          <w:color w:val="auto"/>
        </w:rPr>
        <w:t>) shall terminate, and the provisions of</w:t>
      </w:r>
      <w:r>
        <w:rPr>
          <w:rFonts w:ascii="Times New Roman" w:cs="Times New Roman" w:eastAsia="Times New Roman" w:hAnsi="Times New Roman"/>
          <w:sz w:val="18"/>
          <w:szCs w:val="18"/>
          <w:b w:val="1"/>
          <w:bCs w:val="1"/>
          <w:color w:val="auto"/>
        </w:rPr>
        <w:t xml:space="preserve"> Section 4.3 (Exclusivity) </w:t>
      </w:r>
      <w:r>
        <w:rPr>
          <w:rFonts w:ascii="Times New Roman" w:cs="Times New Roman" w:eastAsia="Times New Roman" w:hAnsi="Times New Roman"/>
          <w:sz w:val="18"/>
          <w:szCs w:val="18"/>
          <w:color w:val="auto"/>
        </w:rPr>
        <w:t>shall terminate solely with respect to such Product, the Collaboration Compound contained therein, the Companion Diagnostic thereto or the Indication to which such Product is directed (if there are no other exclusive licenses to any Product directed to such Indication is then in effect), in each case, as of the effective date of such termination;</w:t>
      </w:r>
    </w:p>
    <w:p>
      <w:pPr>
        <w:spacing w:after="0" w:line="187" w:lineRule="exact"/>
        <w:rPr>
          <w:sz w:val="20"/>
          <w:szCs w:val="20"/>
          <w:color w:val="auto"/>
        </w:rPr>
      </w:pPr>
    </w:p>
    <w:p>
      <w:pPr>
        <w:ind w:firstLine="1946"/>
        <w:spacing w:after="0" w:line="256" w:lineRule="auto"/>
        <w:rPr>
          <w:sz w:val="20"/>
          <w:szCs w:val="20"/>
          <w:color w:val="auto"/>
        </w:rPr>
      </w:pPr>
      <w:r>
        <w:rPr>
          <w:rFonts w:ascii="Times New Roman" w:cs="Times New Roman" w:eastAsia="Times New Roman" w:hAnsi="Times New Roman"/>
          <w:sz w:val="18"/>
          <w:szCs w:val="18"/>
          <w:color w:val="auto"/>
        </w:rPr>
        <w:t xml:space="preserve">(ii)  in its entirety by either Party pursuant to </w:t>
      </w:r>
      <w:r>
        <w:rPr>
          <w:rFonts w:ascii="Times New Roman" w:cs="Times New Roman" w:eastAsia="Times New Roman" w:hAnsi="Times New Roman"/>
          <w:sz w:val="18"/>
          <w:szCs w:val="18"/>
          <w:b w:val="1"/>
          <w:bCs w:val="1"/>
          <w:color w:val="auto"/>
        </w:rPr>
        <w:t>Section 14.2 (Termination by Either Party for Material Breach)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(Termination by Either Party for Insolvency or Bankruptcy)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14.4 (Termination for Patent Challenge) </w:t>
      </w:r>
      <w:r>
        <w:rPr>
          <w:rFonts w:ascii="Times New Roman" w:cs="Times New Roman" w:eastAsia="Times New Roman" w:hAnsi="Times New Roman"/>
          <w:sz w:val="18"/>
          <w:szCs w:val="18"/>
          <w:color w:val="auto"/>
        </w:rPr>
        <w:t>all licenses under this Agreement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than the licenses set forth in </w:t>
      </w:r>
      <w:r>
        <w:rPr>
          <w:rFonts w:ascii="Times New Roman" w:cs="Times New Roman" w:eastAsia="Times New Roman" w:hAnsi="Times New Roman"/>
          <w:sz w:val="18"/>
          <w:szCs w:val="18"/>
          <w:b w:val="1"/>
          <w:bCs w:val="1"/>
          <w:color w:val="auto"/>
        </w:rPr>
        <w:t>Sections 4.1.3 (Collaboration IP), 4.1.2 (Companion Diagnostics), 4.2.1 (Collaboration IP)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4.2.4 (Residuals)</w:t>
      </w:r>
      <w:r>
        <w:rPr>
          <w:rFonts w:ascii="Times New Roman" w:cs="Times New Roman" w:eastAsia="Times New Roman" w:hAnsi="Times New Roman"/>
          <w:sz w:val="18"/>
          <w:szCs w:val="18"/>
          <w:color w:val="auto"/>
        </w:rPr>
        <w:t>) shall terminate as of the effective date of such termination;</w:t>
      </w:r>
    </w:p>
    <w:p>
      <w:pPr>
        <w:spacing w:after="0" w:line="177" w:lineRule="exact"/>
        <w:rPr>
          <w:sz w:val="20"/>
          <w:szCs w:val="20"/>
          <w:color w:val="auto"/>
        </w:rPr>
      </w:pPr>
    </w:p>
    <w:p>
      <w:pPr>
        <w:ind w:right="320" w:firstLine="1946"/>
        <w:spacing w:after="0" w:line="256" w:lineRule="auto"/>
        <w:rPr>
          <w:sz w:val="20"/>
          <w:szCs w:val="20"/>
          <w:color w:val="auto"/>
        </w:rPr>
      </w:pPr>
      <w:r>
        <w:rPr>
          <w:rFonts w:ascii="Times New Roman" w:cs="Times New Roman" w:eastAsia="Times New Roman" w:hAnsi="Times New Roman"/>
          <w:sz w:val="18"/>
          <w:szCs w:val="18"/>
          <w:color w:val="auto"/>
        </w:rPr>
        <w:t xml:space="preserve">(iii)  in its entirety by Kissei pursuant to </w:t>
      </w:r>
      <w:r>
        <w:rPr>
          <w:rFonts w:ascii="Times New Roman" w:cs="Times New Roman" w:eastAsia="Times New Roman" w:hAnsi="Times New Roman"/>
          <w:sz w:val="18"/>
          <w:szCs w:val="18"/>
          <w:b w:val="1"/>
          <w:bCs w:val="1"/>
          <w:color w:val="auto"/>
        </w:rPr>
        <w:t>Section 14.6 (Termination for Catastrophic Breach)</w:t>
      </w:r>
      <w:r>
        <w:rPr>
          <w:rFonts w:ascii="Times New Roman" w:cs="Times New Roman" w:eastAsia="Times New Roman" w:hAnsi="Times New Roman"/>
          <w:sz w:val="18"/>
          <w:szCs w:val="18"/>
          <w:color w:val="auto"/>
        </w:rPr>
        <w:t xml:space="preserve"> all licenses granted to Kissei under </w:t>
      </w:r>
      <w:r>
        <w:rPr>
          <w:rFonts w:ascii="Times New Roman" w:cs="Times New Roman" w:eastAsia="Times New Roman" w:hAnsi="Times New Roman"/>
          <w:sz w:val="18"/>
          <w:szCs w:val="18"/>
          <w:b w:val="1"/>
          <w:bCs w:val="1"/>
          <w:color w:val="auto"/>
        </w:rPr>
        <w:t>Section 4.1 (License Grants to Kissei)</w:t>
      </w:r>
      <w:r>
        <w:rPr>
          <w:rFonts w:ascii="Times New Roman" w:cs="Times New Roman" w:eastAsia="Times New Roman" w:hAnsi="Times New Roman"/>
          <w:sz w:val="18"/>
          <w:szCs w:val="18"/>
          <w:color w:val="auto"/>
        </w:rPr>
        <w:t xml:space="preserve"> shall become royalty-free, fully paid-up licenses, and Kissei shall have the right to negotiate directly with CG’s then-existing CMO(s), including Fuji Film, an agreement for the manufacture or and supply of the Collaboration Compound and Product independent of, and without any financial obligation to, CG.</w:t>
      </w:r>
    </w:p>
    <w:p>
      <w:pPr>
        <w:spacing w:after="0" w:line="177" w:lineRule="exact"/>
        <w:rPr>
          <w:sz w:val="20"/>
          <w:szCs w:val="20"/>
          <w:color w:val="auto"/>
        </w:rPr>
      </w:pPr>
    </w:p>
    <w:p>
      <w:pPr>
        <w:ind w:right="180" w:firstLine="1946"/>
        <w:spacing w:after="0" w:line="253" w:lineRule="auto"/>
        <w:rPr>
          <w:sz w:val="20"/>
          <w:szCs w:val="20"/>
          <w:color w:val="auto"/>
        </w:rPr>
      </w:pPr>
      <w:r>
        <w:rPr>
          <w:rFonts w:ascii="Times New Roman" w:cs="Times New Roman" w:eastAsia="Times New Roman" w:hAnsi="Times New Roman"/>
          <w:sz w:val="18"/>
          <w:szCs w:val="18"/>
          <w:color w:val="auto"/>
        </w:rPr>
        <w:t xml:space="preserve">(iv)  with respect to the last Product by Kissei pursuant to </w:t>
      </w:r>
      <w:r>
        <w:rPr>
          <w:rFonts w:ascii="Times New Roman" w:cs="Times New Roman" w:eastAsia="Times New Roman" w:hAnsi="Times New Roman"/>
          <w:sz w:val="18"/>
          <w:szCs w:val="18"/>
          <w:b w:val="1"/>
          <w:bCs w:val="1"/>
          <w:color w:val="auto"/>
        </w:rPr>
        <w:t>Section 14.5 (Termination at Will)</w:t>
      </w:r>
      <w:r>
        <w:rPr>
          <w:rFonts w:ascii="Times New Roman" w:cs="Times New Roman" w:eastAsia="Times New Roman" w:hAnsi="Times New Roman"/>
          <w:sz w:val="18"/>
          <w:szCs w:val="18"/>
          <w:color w:val="auto"/>
        </w:rPr>
        <w:t xml:space="preserve"> (i.e., there are no other exclusive licenses to any Product in effect), or in its entirety pursuant to </w:t>
      </w:r>
      <w:r>
        <w:rPr>
          <w:rFonts w:ascii="Times New Roman" w:cs="Times New Roman" w:eastAsia="Times New Roman" w:hAnsi="Times New Roman"/>
          <w:sz w:val="18"/>
          <w:szCs w:val="18"/>
          <w:b w:val="1"/>
          <w:bCs w:val="1"/>
          <w:color w:val="auto"/>
        </w:rPr>
        <w:t>Section 14.2 (Termination by Either Party for Material Breach)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14.3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 by Either Party for Insolvency or Bankruptcy)</w:t>
      </w:r>
      <w:r>
        <w:rPr>
          <w:rFonts w:ascii="Times New Roman" w:cs="Times New Roman" w:eastAsia="Times New Roman" w:hAnsi="Times New Roman"/>
          <w:sz w:val="18"/>
          <w:szCs w:val="18"/>
          <w:color w:val="auto"/>
        </w:rPr>
        <w:t>, all licenses under this Agreement (other than the licenses set forth in</w:t>
      </w:r>
      <w:r>
        <w:rPr>
          <w:rFonts w:ascii="Times New Roman" w:cs="Times New Roman" w:eastAsia="Times New Roman" w:hAnsi="Times New Roman"/>
          <w:sz w:val="18"/>
          <w:szCs w:val="18"/>
          <w:b w:val="1"/>
          <w:bCs w:val="1"/>
          <w:color w:val="auto"/>
        </w:rPr>
        <w:t xml:space="preserve"> Sections 4.1.3 (Collaboration IP), 4.1.2 (Companion Diagnostics), 4.2.1 (Collaboration IP)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4.2.4 (Residuals)</w:t>
      </w:r>
      <w:r>
        <w:rPr>
          <w:rFonts w:ascii="Times New Roman" w:cs="Times New Roman" w:eastAsia="Times New Roman" w:hAnsi="Times New Roman"/>
          <w:sz w:val="18"/>
          <w:szCs w:val="18"/>
          <w:color w:val="auto"/>
        </w:rPr>
        <w:t>) shall terminate as of the effective date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and</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760"/>
          </w:cols>
          <w:pgMar w:left="540" w:top="265" w:right="599" w:bottom="1440" w:gutter="0" w:footer="0" w:header="0"/>
        </w:sectPr>
      </w:pPr>
    </w:p>
    <w:bookmarkStart w:id="521" w:name="page522"/>
    <w:bookmarkEnd w:id="521"/>
    <w:p>
      <w:pPr>
        <w:jc w:val="both"/>
        <w:ind w:right="240" w:firstLine="194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(v)  for clarity, from and after the effective date of termination of this Agreement with respect to a Product, such Product shall be excluded from the definition of Product for all purposes of this Agreement (except as required to implement the provisions of this </w:t>
      </w:r>
      <w:r>
        <w:rPr>
          <w:rFonts w:ascii="Times New Roman" w:cs="Times New Roman" w:eastAsia="Times New Roman" w:hAnsi="Times New Roman"/>
          <w:sz w:val="18"/>
          <w:szCs w:val="18"/>
          <w:b w:val="1"/>
          <w:bCs w:val="1"/>
          <w:color w:val="auto"/>
        </w:rPr>
        <w:t>Article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(Term; Termination) </w:t>
      </w:r>
      <w:r>
        <w:rPr>
          <w:rFonts w:ascii="Times New Roman" w:cs="Times New Roman" w:eastAsia="Times New Roman" w:hAnsi="Times New Roman"/>
          <w:sz w:val="18"/>
          <w:szCs w:val="18"/>
          <w:color w:val="auto"/>
        </w:rPr>
        <w:t>with respect to such Product).</w:t>
      </w:r>
    </w:p>
    <w:p>
      <w:pPr>
        <w:spacing w:after="0" w:line="176" w:lineRule="exact"/>
        <w:rPr>
          <w:sz w:val="20"/>
          <w:szCs w:val="20"/>
          <w:color w:val="auto"/>
        </w:rPr>
      </w:pPr>
    </w:p>
    <w:p>
      <w:pPr>
        <w:ind w:firstLine="1406"/>
        <w:spacing w:after="0" w:line="249"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Continuation of Sublicenses</w:t>
      </w:r>
      <w:r>
        <w:rPr>
          <w:rFonts w:ascii="Times New Roman" w:cs="Times New Roman" w:eastAsia="Times New Roman" w:hAnsi="Times New Roman"/>
          <w:sz w:val="18"/>
          <w:szCs w:val="18"/>
          <w:color w:val="auto"/>
        </w:rPr>
        <w:t>. Upon termination by CG of this Agreement with respect to a particular Product under</w:t>
      </w:r>
      <w:r>
        <w:rPr>
          <w:rFonts w:ascii="Times New Roman" w:cs="Times New Roman" w:eastAsia="Times New Roman" w:hAnsi="Times New Roman"/>
          <w:sz w:val="18"/>
          <w:szCs w:val="18"/>
          <w:b w:val="1"/>
          <w:bCs w:val="1"/>
          <w:color w:val="auto"/>
        </w:rPr>
        <w:t xml:space="preserve"> Section 14.2 (Termination by Either Party for Material Breach)</w:t>
      </w:r>
      <w:r>
        <w:rPr>
          <w:rFonts w:ascii="Times New Roman" w:cs="Times New Roman" w:eastAsia="Times New Roman" w:hAnsi="Times New Roman"/>
          <w:sz w:val="18"/>
          <w:szCs w:val="18"/>
          <w:color w:val="auto"/>
        </w:rPr>
        <w:t>, any existing, permitted sublicense granted by Kissei under this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such Product may, in CG’s sole discretion, continue in full force and effect, provided, that the permitted sublicensee did not cause the breach that gave rise to a termination under </w:t>
      </w:r>
      <w:r>
        <w:rPr>
          <w:rFonts w:ascii="Times New Roman" w:cs="Times New Roman" w:eastAsia="Times New Roman" w:hAnsi="Times New Roman"/>
          <w:sz w:val="18"/>
          <w:szCs w:val="18"/>
          <w:b w:val="1"/>
          <w:bCs w:val="1"/>
          <w:color w:val="auto"/>
        </w:rPr>
        <w:t>Section 14.2 (Termination by Either Party for Material Breach)</w:t>
      </w:r>
      <w:r>
        <w:rPr>
          <w:rFonts w:ascii="Times New Roman" w:cs="Times New Roman" w:eastAsia="Times New Roman" w:hAnsi="Times New Roman"/>
          <w:sz w:val="18"/>
          <w:szCs w:val="18"/>
          <w:color w:val="auto"/>
        </w:rPr>
        <w:t xml:space="preserve"> and agrees to be bound by all the terms and conditions of this Agreement that are applicable to such permitted sublicensee including rendering directly to CG all payments and other obligations due to CG related to such sublicense (including all event payments and royalty payments) that would have been owed by Kissei if not for such termination and granting rights and licenses to CG of the same scope as set forth in </w:t>
      </w:r>
      <w:r>
        <w:rPr>
          <w:rFonts w:ascii="Times New Roman" w:cs="Times New Roman" w:eastAsia="Times New Roman" w:hAnsi="Times New Roman"/>
          <w:sz w:val="18"/>
          <w:szCs w:val="18"/>
          <w:b w:val="1"/>
          <w:bCs w:val="1"/>
          <w:color w:val="auto"/>
        </w:rPr>
        <w:t>Section 4.2 (License Grants to CG)</w:t>
      </w:r>
      <w:r>
        <w:rPr>
          <w:rFonts w:ascii="Times New Roman" w:cs="Times New Roman" w:eastAsia="Times New Roman" w:hAnsi="Times New Roman"/>
          <w:sz w:val="18"/>
          <w:szCs w:val="18"/>
          <w:color w:val="auto"/>
        </w:rPr>
        <w:t xml:space="preserve"> with respect to the intellectual property rights of such sublicensee; provided further CG is not obligated to assume any obligations under such sublicense that are greater or more adverse to CG than the obligations contained within this Agreement.</w:t>
      </w:r>
    </w:p>
    <w:p>
      <w:pPr>
        <w:spacing w:after="0" w:line="187" w:lineRule="exact"/>
        <w:rPr>
          <w:sz w:val="20"/>
          <w:szCs w:val="20"/>
          <w:color w:val="auto"/>
        </w:rPr>
      </w:pPr>
    </w:p>
    <w:p>
      <w:pPr>
        <w:ind w:right="20" w:firstLine="1406"/>
        <w:spacing w:after="0" w:line="249"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Return of Confidential Information</w:t>
      </w:r>
      <w:r>
        <w:rPr>
          <w:rFonts w:ascii="Times New Roman" w:cs="Times New Roman" w:eastAsia="Times New Roman" w:hAnsi="Times New Roman"/>
          <w:sz w:val="18"/>
          <w:szCs w:val="18"/>
          <w:color w:val="auto"/>
        </w:rPr>
        <w:t>. It is understood and agreed, that each Party shall have a continuing right to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Confidential Information of the other Party under any surviving licenses pursuant to </w:t>
      </w:r>
      <w:r>
        <w:rPr>
          <w:rFonts w:ascii="Times New Roman" w:cs="Times New Roman" w:eastAsia="Times New Roman" w:hAnsi="Times New Roman"/>
          <w:sz w:val="18"/>
          <w:szCs w:val="18"/>
          <w:b w:val="1"/>
          <w:bCs w:val="1"/>
          <w:color w:val="auto"/>
        </w:rPr>
        <w:t>Article 4 (Licenses and Rights)</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b w:val="1"/>
          <w:bCs w:val="1"/>
          <w:color w:val="auto"/>
        </w:rPr>
        <w:t>Section 14.7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Subject to the foregoing, following expiry or any early termination of this Agreement, the Party that has Confidential Information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Party shall destroy (at such Party’s written request) all such Confidential Information in its possession as of the effective date of expiration or termination (with the exception of one copy of such Confidential Information, which may be retained by the legal department of the Party that received such Confidential Information to confirm compliance with the non-use and non-disclosure provisions of this Agreement), and any Confidential Information of the other Party contained in its laboratory notebooks or databases, provided, that notwithstanding the foregoing, each Party may retain and continue to use the Confidential Information of the other Party solely to the extent necessary to exercise any surviving rights, licenses or obligations under this Agreement.</w:t>
      </w:r>
    </w:p>
    <w:p>
      <w:pPr>
        <w:spacing w:after="0" w:line="187" w:lineRule="exact"/>
        <w:rPr>
          <w:sz w:val="20"/>
          <w:szCs w:val="20"/>
          <w:color w:val="auto"/>
        </w:rPr>
      </w:pPr>
    </w:p>
    <w:p>
      <w:pPr>
        <w:ind w:right="20" w:firstLine="1406"/>
        <w:spacing w:after="0" w:line="250"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Inventory at Termination</w:t>
      </w:r>
      <w:r>
        <w:rPr>
          <w:rFonts w:ascii="Times New Roman" w:cs="Times New Roman" w:eastAsia="Times New Roman" w:hAnsi="Times New Roman"/>
          <w:sz w:val="18"/>
          <w:szCs w:val="18"/>
          <w:color w:val="auto"/>
        </w:rPr>
        <w:t>. Upon termination of this Agreement after Marketing Approval is obtained for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Products, Kissei and its permitted sublicensee shall have the right to sell all inventory of any such approved Products in all countries in the Territory then in its stock (or dispose of all inventory of any Product then in its stock that may not be sold as reasonably determined by Kissei, including for expired shelf-life), subject to the applicable royalty payments due under this Agreement, and any other applicable provisions of this Agreement, and CG covenants not to sue Kissei or its permitted sublicensee for infringement under any of the Patents that were licensed by CG to Kissei immediately prior to such termination with respect to such activities conducted by Kissei or its permitted sublicensee pursuant to this </w:t>
      </w:r>
      <w:r>
        <w:rPr>
          <w:rFonts w:ascii="Times New Roman" w:cs="Times New Roman" w:eastAsia="Times New Roman" w:hAnsi="Times New Roman"/>
          <w:sz w:val="18"/>
          <w:szCs w:val="18"/>
          <w:b w:val="1"/>
          <w:bCs w:val="1"/>
          <w:color w:val="auto"/>
        </w:rPr>
        <w:t>Section 14.7.1(e) (Inventory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540" w:firstLine="1406"/>
        <w:spacing w:after="0" w:line="276" w:lineRule="auto"/>
        <w:rPr>
          <w:sz w:val="20"/>
          <w:szCs w:val="20"/>
          <w:color w:val="auto"/>
        </w:rPr>
      </w:pPr>
      <w:r>
        <w:rPr>
          <w:rFonts w:ascii="Times New Roman" w:cs="Times New Roman" w:eastAsia="Times New Roman" w:hAnsi="Times New Roman"/>
          <w:sz w:val="18"/>
          <w:szCs w:val="18"/>
          <w:b w:val="1"/>
          <w:bCs w:val="1"/>
          <w:color w:val="auto"/>
        </w:rPr>
        <w:t>(f)  Survival</w:t>
      </w:r>
      <w:r>
        <w:rPr>
          <w:rFonts w:ascii="Times New Roman" w:cs="Times New Roman" w:eastAsia="Times New Roman" w:hAnsi="Times New Roman"/>
          <w:sz w:val="18"/>
          <w:szCs w:val="18"/>
          <w:color w:val="auto"/>
        </w:rPr>
        <w:t>. In addition to any provisions specified in this Agreement as surviving under the applicable circumstances,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provisions of </w:t>
      </w:r>
      <w:r>
        <w:rPr>
          <w:rFonts w:ascii="Times New Roman" w:cs="Times New Roman" w:eastAsia="Times New Roman" w:hAnsi="Times New Roman"/>
          <w:sz w:val="18"/>
          <w:szCs w:val="18"/>
          <w:b w:val="1"/>
          <w:bCs w:val="1"/>
          <w:color w:val="auto"/>
        </w:rPr>
        <w:t>Article 1 (Definitions), 10 (Confidentiality), 11 (Publicity; Publications; Use of Name), 15 (Dispute Resolution)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16</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780"/>
          </w:cols>
          <w:pgMar w:left="540" w:top="267" w:right="579" w:bottom="1440" w:gutter="0" w:footer="0" w:header="0"/>
        </w:sectPr>
      </w:pPr>
    </w:p>
    <w:bookmarkStart w:id="522" w:name="page523"/>
    <w:bookmarkEnd w:id="522"/>
    <w:p>
      <w:pPr>
        <w:spacing w:after="0" w:line="24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(Miscellaneous)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Sections 2.5.2 (Development Records)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4.1.3 (Collaboration IP)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4.1.4 (Sublicenses)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4.2.1 (Collaboration IP)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4.2.4 (Residuals)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4.2.5 (Sublicenses)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4.4 (No Other Rights, Retained Rights)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4.5 (Interpretation)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5.3.4 (No Warranty)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9.1 (Intellectual Property; Ownership)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9.2 (Kissei)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9.3.2 (Inventorship; CREATE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9.4 (Ownership; Collaboration IP; Rights of Joint Owners)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9.5 (Rights of Joint Owners)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12.1 (Mutual Representations and Warranties)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12.3 (CG Covenants and Additional Representations and Warranties)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12.4 (Disclaimers)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13.1 (Indemnification)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13.2 (Procedure)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13.4 (Limitation of Damages)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14.1 (Term) </w:t>
      </w:r>
      <w:r>
        <w:rPr>
          <w:rFonts w:ascii="Times New Roman" w:cs="Times New Roman" w:eastAsia="Times New Roman" w:hAnsi="Times New Roman"/>
          <w:sz w:val="18"/>
          <w:szCs w:val="18"/>
          <w:color w:val="auto"/>
        </w:rPr>
        <w:t>(solely with respect to the last sentence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14.7 (Effects of Termination)</w:t>
      </w:r>
      <w:r>
        <w:rPr>
          <w:rFonts w:ascii="Times New Roman" w:cs="Times New Roman" w:eastAsia="Times New Roman" w:hAnsi="Times New Roman"/>
          <w:sz w:val="18"/>
          <w:szCs w:val="18"/>
          <w:color w:val="auto"/>
        </w:rPr>
        <w:t xml:space="preserve"> shall survive any termination or expiration of this Agreement; provided, that, with respect to </w:t>
      </w:r>
      <w:r>
        <w:rPr>
          <w:rFonts w:ascii="Times New Roman" w:cs="Times New Roman" w:eastAsia="Times New Roman" w:hAnsi="Times New Roman"/>
          <w:sz w:val="18"/>
          <w:szCs w:val="18"/>
          <w:b w:val="1"/>
          <w:bCs w:val="1"/>
          <w:color w:val="auto"/>
        </w:rPr>
        <w:t>Sections 12.1 (Mutual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12.3 (CG Additional Representations and Warranties)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12.4 (Disclaimers)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13.1 (Indemnification)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13.2 (Procedure)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13.4 (Limitation of Damages)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14.1 (Term)</w:t>
      </w:r>
      <w:r>
        <w:rPr>
          <w:rFonts w:ascii="Times New Roman" w:cs="Times New Roman" w:eastAsia="Times New Roman" w:hAnsi="Times New Roman"/>
          <w:sz w:val="18"/>
          <w:szCs w:val="18"/>
          <w:color w:val="auto"/>
        </w:rPr>
        <w:t>, only with respect to those claims that arise from the acts or omissions of a Party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date of termination or expiration. In addition, the applicable provisions of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xml:space="preserve"> 7 </w:t>
      </w:r>
      <w:r>
        <w:rPr>
          <w:rFonts w:ascii="Times New Roman" w:cs="Times New Roman" w:eastAsia="Times New Roman" w:hAnsi="Times New Roman"/>
          <w:sz w:val="18"/>
          <w:szCs w:val="18"/>
          <w:b w:val="1"/>
          <w:bCs w:val="1"/>
          <w:color w:val="auto"/>
        </w:rPr>
        <w:t>(Financial Terms)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8 (Payment Terms; Reports;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Audits) </w:t>
      </w:r>
      <w:r>
        <w:rPr>
          <w:rFonts w:ascii="Times New Roman" w:cs="Times New Roman" w:eastAsia="Times New Roman" w:hAnsi="Times New Roman"/>
          <w:sz w:val="18"/>
          <w:szCs w:val="18"/>
          <w:color w:val="auto"/>
        </w:rPr>
        <w:t>shall survive with respect to any outstanding unpaid amounts that accrued prior to the effective date of any termination or expiration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(or any amounts owed as a result of the continuing payment obligations addressed in </w:t>
      </w:r>
      <w:r>
        <w:rPr>
          <w:rFonts w:ascii="Times New Roman" w:cs="Times New Roman" w:eastAsia="Times New Roman" w:hAnsi="Times New Roman"/>
          <w:sz w:val="18"/>
          <w:szCs w:val="18"/>
          <w:b w:val="1"/>
          <w:bCs w:val="1"/>
          <w:color w:val="auto"/>
        </w:rPr>
        <w:t>Section 14.7.1(b) (Accrued Rights and Obligations)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14.7.1(f) (Inventory at Termination)</w:t>
      </w:r>
      <w:r>
        <w:rPr>
          <w:rFonts w:ascii="Times New Roman" w:cs="Times New Roman" w:eastAsia="Times New Roman" w:hAnsi="Times New Roman"/>
          <w:sz w:val="18"/>
          <w:szCs w:val="18"/>
          <w:color w:val="auto"/>
        </w:rPr>
        <w:t>, if and as applicable).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17" w:lineRule="exact"/>
        <w:rPr>
          <w:sz w:val="20"/>
          <w:szCs w:val="20"/>
          <w:color w:val="auto"/>
        </w:rPr>
      </w:pPr>
    </w:p>
    <w:p>
      <w:pPr>
        <w:ind w:firstLine="432"/>
        <w:spacing w:after="0" w:line="250" w:lineRule="auto"/>
        <w:rPr>
          <w:sz w:val="20"/>
          <w:szCs w:val="20"/>
          <w:color w:val="auto"/>
        </w:rPr>
      </w:pPr>
      <w:r>
        <w:rPr>
          <w:rFonts w:ascii="Times New Roman" w:cs="Times New Roman" w:eastAsia="Times New Roman" w:hAnsi="Times New Roman"/>
          <w:sz w:val="18"/>
          <w:szCs w:val="18"/>
          <w:b w:val="1"/>
          <w:bCs w:val="1"/>
          <w:color w:val="auto"/>
        </w:rPr>
        <w:t>15.1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Disputes</w:t>
      </w:r>
      <w:r>
        <w:rPr>
          <w:rFonts w:ascii="Times New Roman" w:cs="Times New Roman" w:eastAsia="Times New Roman" w:hAnsi="Times New Roman"/>
          <w:sz w:val="18"/>
          <w:szCs w:val="18"/>
          <w:color w:val="auto"/>
        </w:rPr>
        <w:t>. CG and Kissei recognize that a dispute, controversy or claim of any nature whatsoever arising out of or relating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the breach, termination or invalidity thereof, (each,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xml:space="preserve">”) may from time to time arise during the Term. Unless otherwise specifically recited in this Agreement (including </w:t>
      </w:r>
      <w:r>
        <w:rPr>
          <w:rFonts w:ascii="Times New Roman" w:cs="Times New Roman" w:eastAsia="Times New Roman" w:hAnsi="Times New Roman"/>
          <w:sz w:val="18"/>
          <w:szCs w:val="18"/>
          <w:b w:val="1"/>
          <w:bCs w:val="1"/>
          <w:color w:val="auto"/>
        </w:rPr>
        <w:t>Section 3.6 (JDC Decision-Making)</w:t>
      </w:r>
      <w:r>
        <w:rPr>
          <w:rFonts w:ascii="Times New Roman" w:cs="Times New Roman" w:eastAsia="Times New Roman" w:hAnsi="Times New Roman"/>
          <w:sz w:val="18"/>
          <w:szCs w:val="18"/>
          <w:color w:val="auto"/>
        </w:rPr>
        <w:t xml:space="preserve">), such Disputes between CG and Kissei will be resolved as recited in this </w:t>
      </w:r>
      <w:r>
        <w:rPr>
          <w:rFonts w:ascii="Times New Roman" w:cs="Times New Roman" w:eastAsia="Times New Roman" w:hAnsi="Times New Roman"/>
          <w:sz w:val="18"/>
          <w:szCs w:val="18"/>
          <w:b w:val="1"/>
          <w:bCs w:val="1"/>
          <w:color w:val="auto"/>
        </w:rPr>
        <w:t>Article 15 (Dispute Resolution)</w:t>
      </w:r>
      <w:r>
        <w:rPr>
          <w:rFonts w:ascii="Times New Roman" w:cs="Times New Roman" w:eastAsia="Times New Roman" w:hAnsi="Times New Roman"/>
          <w:sz w:val="18"/>
          <w:szCs w:val="18"/>
          <w:color w:val="auto"/>
        </w:rPr>
        <w:t>. In the event of the occurrence of such a Dispute, the Parties shall first refer such Dispute to their respective Alliance Managers for attempted resolution by such Alliance Managers within [***] after such referral. If such Dispute is not resolved within such [***] period by the Alliance Managers, either CG and Kissei may, by written notice to the other, have such Dispute referred to their respective officers designated below, or their respective designees, for attempted resolution by within [***] after such notice is received. Such designated officers are as follows: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Kissei:   President, Chief Operating Officer]</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CG:   Chief Executive Officer]</w:t>
      </w:r>
    </w:p>
    <w:p>
      <w:pPr>
        <w:spacing w:after="0" w:line="217"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the event the designated officers, or their respective designees, are not able to resolve such dispute within [***] of such other Party’s receipt of such written notice, then, unless otherwise expressly set forth herein (including in the subsequent paragraph of this </w:t>
      </w:r>
      <w:r>
        <w:rPr>
          <w:rFonts w:ascii="Times New Roman" w:cs="Times New Roman" w:eastAsia="Times New Roman" w:hAnsi="Times New Roman"/>
          <w:sz w:val="18"/>
          <w:szCs w:val="18"/>
          <w:b w:val="1"/>
          <w:bCs w:val="1"/>
          <w:color w:val="auto"/>
        </w:rPr>
        <w:t>Section 15.1 (Disputes)</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b w:val="1"/>
          <w:bCs w:val="1"/>
          <w:color w:val="auto"/>
        </w:rPr>
        <w:t>Section 3.6.2 (Escalation)</w:t>
      </w:r>
      <w:r>
        <w:rPr>
          <w:rFonts w:ascii="Times New Roman" w:cs="Times New Roman" w:eastAsia="Times New Roman" w:hAnsi="Times New Roman"/>
          <w:sz w:val="18"/>
          <w:szCs w:val="18"/>
          <w:color w:val="auto"/>
        </w:rPr>
        <w:t>) either Party may initiate the dispute resolution procedures set forth in</w:t>
      </w:r>
      <w:r>
        <w:rPr>
          <w:rFonts w:ascii="Times New Roman" w:cs="Times New Roman" w:eastAsia="Times New Roman" w:hAnsi="Times New Roman"/>
          <w:sz w:val="18"/>
          <w:szCs w:val="18"/>
          <w:b w:val="1"/>
          <w:bCs w:val="1"/>
          <w:color w:val="auto"/>
        </w:rPr>
        <w:t xml:space="preserve"> Section 15.2 (Arbitration)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760"/>
          </w:cols>
          <w:pgMar w:left="540" w:top="265" w:right="599" w:bottom="1440" w:gutter="0" w:footer="0" w:header="0"/>
        </w:sectPr>
      </w:pPr>
    </w:p>
    <w:bookmarkStart w:id="523" w:name="page524"/>
    <w:bookmarkEnd w:id="523"/>
    <w:p>
      <w:pPr>
        <w:ind w:left="2" w:right="20" w:firstLine="432"/>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Notwithstanding the foregoing, Disputes shall not include any disagreements solely about decisions for which one Party has final decision-making authority under this Agreement, including under </w:t>
      </w:r>
      <w:r>
        <w:rPr>
          <w:rFonts w:ascii="Times New Roman" w:cs="Times New Roman" w:eastAsia="Times New Roman" w:hAnsi="Times New Roman"/>
          <w:sz w:val="18"/>
          <w:szCs w:val="18"/>
          <w:b w:val="1"/>
          <w:bCs w:val="1"/>
          <w:color w:val="auto"/>
        </w:rPr>
        <w:t>Article 3 (Governance)</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15.2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Arbitration</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 w:right="20" w:firstLine="973"/>
        <w:spacing w:after="0" w:line="275" w:lineRule="auto"/>
        <w:rPr>
          <w:sz w:val="20"/>
          <w:szCs w:val="20"/>
          <w:color w:val="auto"/>
        </w:rPr>
      </w:pPr>
      <w:r>
        <w:rPr>
          <w:rFonts w:ascii="Times New Roman" w:cs="Times New Roman" w:eastAsia="Times New Roman" w:hAnsi="Times New Roman"/>
          <w:sz w:val="17"/>
          <w:szCs w:val="17"/>
          <w:b w:val="1"/>
          <w:bCs w:val="1"/>
          <w:color w:val="auto"/>
        </w:rPr>
        <w:t>15.2.1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Rules</w:t>
      </w:r>
      <w:r>
        <w:rPr>
          <w:rFonts w:ascii="Times New Roman" w:cs="Times New Roman" w:eastAsia="Times New Roman" w:hAnsi="Times New Roman"/>
          <w:sz w:val="17"/>
          <w:szCs w:val="17"/>
          <w:color w:val="auto"/>
        </w:rPr>
        <w:t>. Except as otherwise expressly provided in this Agreement (including under</w:t>
      </w:r>
      <w:r>
        <w:rPr>
          <w:rFonts w:ascii="Times New Roman" w:cs="Times New Roman" w:eastAsia="Times New Roman" w:hAnsi="Times New Roman"/>
          <w:sz w:val="17"/>
          <w:szCs w:val="17"/>
          <w:b w:val="1"/>
          <w:bCs w:val="1"/>
          <w:color w:val="auto"/>
        </w:rPr>
        <w:t xml:space="preserve"> Section 15.3 (Subject Matter Exclusions)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Parties agree that any Dispute not resolved internally by the Parties pursuant to </w:t>
      </w:r>
      <w:r>
        <w:rPr>
          <w:rFonts w:ascii="Times New Roman" w:cs="Times New Roman" w:eastAsia="Times New Roman" w:hAnsi="Times New Roman"/>
          <w:sz w:val="17"/>
          <w:szCs w:val="17"/>
          <w:b w:val="1"/>
          <w:bCs w:val="1"/>
          <w:color w:val="auto"/>
        </w:rPr>
        <w:t>Section 15.1 (Disputes)</w:t>
      </w:r>
      <w:r>
        <w:rPr>
          <w:rFonts w:ascii="Times New Roman" w:cs="Times New Roman" w:eastAsia="Times New Roman" w:hAnsi="Times New Roman"/>
          <w:sz w:val="17"/>
          <w:szCs w:val="17"/>
          <w:color w:val="auto"/>
        </w:rPr>
        <w:t xml:space="preserve"> shall be resolved through binding arbitration administered by International Chamber of Commerce (ICC) in accordance with its ICC Rules of Arbitration (for purposes of this </w:t>
      </w:r>
      <w:r>
        <w:rPr>
          <w:rFonts w:ascii="Times New Roman" w:cs="Times New Roman" w:eastAsia="Times New Roman" w:hAnsi="Times New Roman"/>
          <w:sz w:val="17"/>
          <w:szCs w:val="17"/>
          <w:b w:val="1"/>
          <w:bCs w:val="1"/>
          <w:color w:val="auto"/>
        </w:rPr>
        <w:t>Article 15 (Dispute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Resolution)</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Rules</w:t>
      </w:r>
      <w:r>
        <w:rPr>
          <w:rFonts w:ascii="Times New Roman" w:cs="Times New Roman" w:eastAsia="Times New Roman" w:hAnsi="Times New Roman"/>
          <w:sz w:val="17"/>
          <w:szCs w:val="17"/>
          <w:color w:val="auto"/>
        </w:rPr>
        <w:t>”), except as modified in this Agreement, applying the substantive law specified in</w:t>
      </w:r>
      <w:r>
        <w:rPr>
          <w:rFonts w:ascii="Times New Roman" w:cs="Times New Roman" w:eastAsia="Times New Roman" w:hAnsi="Times New Roman"/>
          <w:sz w:val="17"/>
          <w:szCs w:val="17"/>
          <w:b w:val="1"/>
          <w:bCs w:val="1"/>
          <w:color w:val="auto"/>
        </w:rPr>
        <w:t xml:space="preserve"> Section 16.1 (Applicable Law)</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982"/>
        <w:spacing w:after="0"/>
        <w:rPr>
          <w:sz w:val="20"/>
          <w:szCs w:val="20"/>
          <w:color w:val="auto"/>
        </w:rPr>
      </w:pPr>
      <w:r>
        <w:rPr>
          <w:rFonts w:ascii="Times New Roman" w:cs="Times New Roman" w:eastAsia="Times New Roman" w:hAnsi="Times New Roman"/>
          <w:sz w:val="17"/>
          <w:szCs w:val="17"/>
          <w:b w:val="1"/>
          <w:bCs w:val="1"/>
          <w:color w:val="auto"/>
        </w:rPr>
        <w:t>15.2.2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Arbitrators; Location</w:t>
      </w:r>
      <w:r>
        <w:rPr>
          <w:rFonts w:ascii="Times New Roman" w:cs="Times New Roman" w:eastAsia="Times New Roman" w:hAnsi="Times New Roman"/>
          <w:sz w:val="17"/>
          <w:szCs w:val="17"/>
          <w:color w:val="auto"/>
        </w:rPr>
        <w:t>. Arbitration proceedings will be held in Singapore. Each Party shall select one (1) arbitrator, and the two</w:t>
      </w:r>
    </w:p>
    <w:p>
      <w:pPr>
        <w:spacing w:after="0" w:line="38" w:lineRule="exact"/>
        <w:rPr>
          <w:sz w:val="20"/>
          <w:szCs w:val="20"/>
          <w:color w:val="auto"/>
        </w:rPr>
      </w:pPr>
    </w:p>
    <w:p>
      <w:pPr>
        <w:ind w:left="2" w:right="200" w:hanging="2"/>
        <w:spacing w:after="0" w:line="260" w:lineRule="auto"/>
        <w:tabs>
          <w:tab w:leader="none" w:pos="252"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arbitrators so selected shall choose a third arbitrator. All three (3) arbitrators shall serve as neutrals and have at least [***] of (a) dispute resolution experience (including judicial experience) and/or (b) legal or business experience in the biotech or pharmaceutical industry. In any event, at least one</w:t>
      </w:r>
    </w:p>
    <w:p>
      <w:pPr>
        <w:ind w:left="2" w:right="160" w:hanging="2"/>
        <w:spacing w:after="0" w:line="247" w:lineRule="auto"/>
        <w:tabs>
          <w:tab w:leader="none" w:pos="252"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arbitrator shall satisfy the foregoing experience requirement under clause (b). If a Party fails to nominate its arbitrator, or if the Parties’ arbitrators cannot agree on the third, the necessary appointments shall be made in accordance with the Rules. Once appointed by a Party, such Party shall have no ex parte communication with its appointed arbitrator. The arbitration proceedings and all pleadings and written evidence shall be in the English language. Any written evidence originally in another language shall be submitted in English translation accompanied by the original or a true copy thereof.</w:t>
      </w:r>
    </w:p>
    <w:p>
      <w:pPr>
        <w:spacing w:after="0" w:line="186" w:lineRule="exact"/>
        <w:rPr>
          <w:sz w:val="20"/>
          <w:szCs w:val="20"/>
          <w:color w:val="auto"/>
        </w:rPr>
      </w:pPr>
    </w:p>
    <w:p>
      <w:pPr>
        <w:ind w:left="2" w:firstLine="973"/>
        <w:spacing w:after="0" w:line="268" w:lineRule="auto"/>
        <w:rPr>
          <w:sz w:val="20"/>
          <w:szCs w:val="20"/>
          <w:color w:val="auto"/>
        </w:rPr>
      </w:pPr>
      <w:r>
        <w:rPr>
          <w:rFonts w:ascii="Times New Roman" w:cs="Times New Roman" w:eastAsia="Times New Roman" w:hAnsi="Times New Roman"/>
          <w:sz w:val="17"/>
          <w:szCs w:val="17"/>
          <w:b w:val="1"/>
          <w:bCs w:val="1"/>
          <w:color w:val="auto"/>
        </w:rPr>
        <w:t>15.2.3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Procedures; Awards</w:t>
      </w:r>
      <w:r>
        <w:rPr>
          <w:rFonts w:ascii="Times New Roman" w:cs="Times New Roman" w:eastAsia="Times New Roman" w:hAnsi="Times New Roman"/>
          <w:sz w:val="17"/>
          <w:szCs w:val="17"/>
          <w:color w:val="auto"/>
        </w:rPr>
        <w:t>. Each Party agrees to use reasonable efforts to make all of its current employees available, if reasonably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needed, and agrees that the arbitrators may determine any person as necessary. The arbitrators shall be instructed and required to render a written, binding, non-appealable resolution and award on each issue that clearly states the basis upon which such resolution and award is made. The written resolution and award shall be delivered to the Parties as expeditiously as possible, but in no event more than [***] after conclusion of the hearing, unless otherwise agreed by the Parties. Judgment upon such award may be entered in any competent court or application may be made to any competent court for judicial acceptance of such an award and order for enforcement. Each Party agrees that, notwithstanding any provision of Applicable Law or of this Agreement, it will not request, and the arbitrators shall have no authority to award, punitive or exemplary damages against any Party.</w:t>
      </w:r>
    </w:p>
    <w:p>
      <w:pPr>
        <w:spacing w:after="0" w:line="168" w:lineRule="exact"/>
        <w:rPr>
          <w:sz w:val="20"/>
          <w:szCs w:val="20"/>
          <w:color w:val="auto"/>
        </w:rPr>
      </w:pPr>
    </w:p>
    <w:p>
      <w:pPr>
        <w:ind w:left="2" w:firstLine="973"/>
        <w:spacing w:after="0" w:line="273" w:lineRule="auto"/>
        <w:rPr>
          <w:sz w:val="20"/>
          <w:szCs w:val="20"/>
          <w:color w:val="auto"/>
        </w:rPr>
      </w:pPr>
      <w:r>
        <w:rPr>
          <w:rFonts w:ascii="Times New Roman" w:cs="Times New Roman" w:eastAsia="Times New Roman" w:hAnsi="Times New Roman"/>
          <w:sz w:val="17"/>
          <w:szCs w:val="17"/>
          <w:b w:val="1"/>
          <w:bCs w:val="1"/>
          <w:color w:val="auto"/>
        </w:rPr>
        <w:t>15.2.4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Costs</w:t>
      </w:r>
      <w:r>
        <w:rPr>
          <w:rFonts w:ascii="Times New Roman" w:cs="Times New Roman" w:eastAsia="Times New Roman" w:hAnsi="Times New Roman"/>
          <w:sz w:val="17"/>
          <w:szCs w:val="17"/>
          <w:color w:val="auto"/>
        </w:rPr>
        <w:t>. The prevailing Party, as determined by the arbitrators, shall be entitled to (a) its share of fees and expenses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arbitrators and (b) its attorneys’ fees and any and all associated costs and expenses. In determining which Party “prevailed,” the arbitrators shall consider</w:t>
      </w:r>
    </w:p>
    <w:p>
      <w:pPr>
        <w:spacing w:after="0" w:line="1" w:lineRule="exact"/>
        <w:rPr>
          <w:sz w:val="20"/>
          <w:szCs w:val="20"/>
          <w:color w:val="auto"/>
        </w:rPr>
      </w:pPr>
    </w:p>
    <w:p>
      <w:pPr>
        <w:ind w:left="2" w:right="140" w:hanging="2"/>
        <w:spacing w:after="0" w:line="270" w:lineRule="auto"/>
        <w:tabs>
          <w:tab w:leader="none" w:pos="213"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significance, including the financial impact, of the claims prevailed upon and (ii) the scope of claims prevailed upon, in comparison to the total scope of the claims at issue. If the arbitrators determine that, given the scope of the arbitration, neither Party “prevailed,” the arbitrators shall order that the Parties (1) share equally the fees and expenses of the arbitrators and (2) bear their own attorneys’ fees and associated costs and expenses.</w:t>
      </w:r>
    </w:p>
    <w:p>
      <w:pPr>
        <w:spacing w:after="0" w:line="10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802"/>
          </w:cols>
          <w:pgMar w:left="538" w:top="266" w:right="559" w:bottom="1440" w:gutter="0" w:footer="0" w:header="0"/>
        </w:sectPr>
      </w:pPr>
    </w:p>
    <w:bookmarkStart w:id="524" w:name="page525"/>
    <w:bookmarkEnd w:id="524"/>
    <w:p>
      <w:pPr>
        <w:jc w:val="both"/>
        <w:ind w:right="80" w:firstLine="973"/>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15.2.5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Interim Equitable Relief</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b w:val="1"/>
          <w:bCs w:val="1"/>
          <w:color w:val="auto"/>
        </w:rPr>
        <w:t xml:space="preserve"> Section 15.2 (Arbitration)</w:t>
      </w:r>
      <w:r>
        <w:rPr>
          <w:rFonts w:ascii="Times New Roman" w:cs="Times New Roman" w:eastAsia="Times New Roman" w:hAnsi="Times New Roman"/>
          <w:sz w:val="18"/>
          <w:szCs w:val="18"/>
          <w:color w:val="auto"/>
        </w:rPr>
        <w:t>, in the event that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reasonably requires relief on a more expedited basis than would be possible pursuant to the procedure set forth in this </w:t>
      </w:r>
      <w:r>
        <w:rPr>
          <w:rFonts w:ascii="Times New Roman" w:cs="Times New Roman" w:eastAsia="Times New Roman" w:hAnsi="Times New Roman"/>
          <w:sz w:val="18"/>
          <w:szCs w:val="18"/>
          <w:b w:val="1"/>
          <w:bCs w:val="1"/>
          <w:color w:val="auto"/>
        </w:rPr>
        <w:t>Article 15 (Dispute Resolution)</w:t>
      </w:r>
      <w:r>
        <w:rPr>
          <w:rFonts w:ascii="Times New Roman" w:cs="Times New Roman" w:eastAsia="Times New Roman" w:hAnsi="Times New Roman"/>
          <w:sz w:val="18"/>
          <w:szCs w:val="18"/>
          <w:color w:val="auto"/>
        </w:rPr>
        <w:t xml:space="preserve">, such Party may seek a temporary injunction or other interim equitable relief in a court of competent jurisdiction pending the ability of the arbitrators to review the decision under this </w:t>
      </w:r>
      <w:r>
        <w:rPr>
          <w:rFonts w:ascii="Times New Roman" w:cs="Times New Roman" w:eastAsia="Times New Roman" w:hAnsi="Times New Roman"/>
          <w:sz w:val="18"/>
          <w:szCs w:val="18"/>
          <w:b w:val="1"/>
          <w:bCs w:val="1"/>
          <w:color w:val="auto"/>
        </w:rPr>
        <w:t>Section 15.2 (Arbitration)</w:t>
      </w:r>
      <w:r>
        <w:rPr>
          <w:rFonts w:ascii="Times New Roman" w:cs="Times New Roman" w:eastAsia="Times New Roman" w:hAnsi="Times New Roman"/>
          <w:sz w:val="18"/>
          <w:szCs w:val="18"/>
          <w:color w:val="auto"/>
        </w:rPr>
        <w:t>. Such court shall have no jurisdiction or ability to resolve Disputes beyond the specific issue of temporary injunction or other interim equitable relief.</w:t>
      </w:r>
    </w:p>
    <w:p>
      <w:pPr>
        <w:spacing w:after="0" w:line="181" w:lineRule="exact"/>
        <w:rPr>
          <w:sz w:val="20"/>
          <w:szCs w:val="20"/>
          <w:color w:val="auto"/>
        </w:rPr>
      </w:pPr>
    </w:p>
    <w:p>
      <w:pPr>
        <w:ind w:right="18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15.2.6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Protective Orders; Arbitrability</w:t>
      </w:r>
      <w:r>
        <w:rPr>
          <w:rFonts w:ascii="Times New Roman" w:cs="Times New Roman" w:eastAsia="Times New Roman" w:hAnsi="Times New Roman"/>
          <w:sz w:val="18"/>
          <w:szCs w:val="18"/>
          <w:color w:val="auto"/>
        </w:rPr>
        <w:t>. At the request of either Party, the arbitrator shall enter an appropriate protective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the confidentiality of information produced or exchanged in the course of the arbitration proceedings. The arbitrators shall have the power to decide all questions of arbitrability.</w:t>
      </w:r>
    </w:p>
    <w:p>
      <w:pPr>
        <w:spacing w:after="0" w:line="173" w:lineRule="exact"/>
        <w:rPr>
          <w:sz w:val="20"/>
          <w:szCs w:val="20"/>
          <w:color w:val="auto"/>
        </w:rPr>
      </w:pPr>
    </w:p>
    <w:p>
      <w:pPr>
        <w:ind w:right="160"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15.3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Subject Matter Exclusions</w:t>
      </w:r>
      <w:r>
        <w:rPr>
          <w:rFonts w:ascii="Times New Roman" w:cs="Times New Roman" w:eastAsia="Times New Roman" w:hAnsi="Times New Roman"/>
          <w:sz w:val="18"/>
          <w:szCs w:val="18"/>
          <w:color w:val="auto"/>
        </w:rPr>
        <w:t>. Notwithstanding the provisions of</w:t>
      </w:r>
      <w:r>
        <w:rPr>
          <w:rFonts w:ascii="Times New Roman" w:cs="Times New Roman" w:eastAsia="Times New Roman" w:hAnsi="Times New Roman"/>
          <w:sz w:val="18"/>
          <w:szCs w:val="18"/>
          <w:b w:val="1"/>
          <w:bCs w:val="1"/>
          <w:color w:val="auto"/>
        </w:rPr>
        <w:t xml:space="preserve"> Section 15.2 (Arbitration)</w:t>
      </w:r>
      <w:r>
        <w:rPr>
          <w:rFonts w:ascii="Times New Roman" w:cs="Times New Roman" w:eastAsia="Times New Roman" w:hAnsi="Times New Roman"/>
          <w:sz w:val="18"/>
          <w:szCs w:val="18"/>
          <w:color w:val="auto"/>
        </w:rPr>
        <w:t>, any Dispute not resolved internally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pursuant to </w:t>
      </w:r>
      <w:r>
        <w:rPr>
          <w:rFonts w:ascii="Times New Roman" w:cs="Times New Roman" w:eastAsia="Times New Roman" w:hAnsi="Times New Roman"/>
          <w:sz w:val="18"/>
          <w:szCs w:val="18"/>
          <w:b w:val="1"/>
          <w:bCs w:val="1"/>
          <w:color w:val="auto"/>
        </w:rPr>
        <w:t>Section 15.1 (Disputes)</w:t>
      </w:r>
      <w:r>
        <w:rPr>
          <w:rFonts w:ascii="Times New Roman" w:cs="Times New Roman" w:eastAsia="Times New Roman" w:hAnsi="Times New Roman"/>
          <w:sz w:val="18"/>
          <w:szCs w:val="18"/>
          <w:color w:val="auto"/>
        </w:rPr>
        <w:t xml:space="preserve"> that involves the validity, infringement or enforceability of a Patent included in a license granted in this Agreement (a) that is issued in the United States shall be subject to actions before the United States Patent and Trademark Office and/or submitted exclusively to the federal court located in the jurisdiction of the district where any of the defendants resides; and (b) that is issued in any other country shall be brought before an appropriate regulatory or administrative body or court in that country, and the Parties hereby consent to the jurisdiction and venue of such courts and bodies solely for such purpose.</w:t>
      </w:r>
    </w:p>
    <w:p>
      <w:pPr>
        <w:spacing w:after="0" w:line="185" w:lineRule="exact"/>
        <w:rPr>
          <w:sz w:val="20"/>
          <w:szCs w:val="20"/>
          <w:color w:val="auto"/>
        </w:rPr>
      </w:pPr>
    </w:p>
    <w:p>
      <w:pPr>
        <w:ind w:right="4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Continued Performance</w:t>
      </w:r>
      <w:r>
        <w:rPr>
          <w:rFonts w:ascii="Times New Roman" w:cs="Times New Roman" w:eastAsia="Times New Roman" w:hAnsi="Times New Roman"/>
          <w:sz w:val="18"/>
          <w:szCs w:val="18"/>
          <w:color w:val="auto"/>
        </w:rPr>
        <w:t>. Provided that this Agreement has not terminated, the Parties agree to continue performing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its provisions, pending the final resolution of any Dispute.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1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Applicable Law</w:t>
      </w:r>
      <w:r>
        <w:rPr>
          <w:rFonts w:ascii="Times New Roman" w:cs="Times New Roman" w:eastAsia="Times New Roman" w:hAnsi="Times New Roman"/>
          <w:sz w:val="18"/>
          <w:szCs w:val="18"/>
          <w:color w:val="auto"/>
        </w:rPr>
        <w:t>. This Agreement (including the arbitration provisions of</w:t>
      </w:r>
      <w:r>
        <w:rPr>
          <w:rFonts w:ascii="Times New Roman" w:cs="Times New Roman" w:eastAsia="Times New Roman" w:hAnsi="Times New Roman"/>
          <w:sz w:val="18"/>
          <w:szCs w:val="18"/>
          <w:b w:val="1"/>
          <w:bCs w:val="1"/>
          <w:color w:val="auto"/>
        </w:rPr>
        <w:t xml:space="preserve"> Section 15.2 (Arbitration)</w:t>
      </w:r>
      <w:r>
        <w:rPr>
          <w:rFonts w:ascii="Times New Roman" w:cs="Times New Roman" w:eastAsia="Times New Roman" w:hAnsi="Times New Roman"/>
          <w:sz w:val="18"/>
          <w:szCs w:val="18"/>
          <w:color w:val="auto"/>
        </w:rPr>
        <w:t>) shall be governed by and interpreted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laws of the State of Delaware, without reference to the principles of conflicts of laws. The United Nations Convention on Contracts for the International Sale of Goods shall not apply to the transactions contemplated by this Agreement.</w:t>
      </w:r>
    </w:p>
    <w:p>
      <w:pPr>
        <w:spacing w:after="0" w:line="173" w:lineRule="exact"/>
        <w:rPr>
          <w:sz w:val="20"/>
          <w:szCs w:val="20"/>
          <w:color w:val="auto"/>
        </w:rPr>
      </w:pPr>
    </w:p>
    <w:p>
      <w:pPr>
        <w:ind w:right="80"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16.2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Notices</w:t>
      </w:r>
      <w:r>
        <w:rPr>
          <w:rFonts w:ascii="Times New Roman" w:cs="Times New Roman" w:eastAsia="Times New Roman" w:hAnsi="Times New Roman"/>
          <w:sz w:val="18"/>
          <w:szCs w:val="18"/>
          <w:color w:val="auto"/>
        </w:rPr>
        <w:t>. Except as otherwise expressly provided in the Agreement, any notice required under this Agreement shall be in writing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specifically refer to this Agreement. Notices shall be sent via one of the following means and will be effective (a) on the date of delivery, if delivered in person; (b) on the date of receipt, if sent by a facsimile (with delivery confirmed); or (c) on the date of receipt, if sent by private express courier or by first class certified mail, return receipt requested. Any notice sent via facsimile shall be followed by a copy of such notice by private express courier or by first class mail. Notices shall be sent to the other Party at the addresses set forth below. Either Party may change its addresses for purposes of this </w:t>
      </w:r>
      <w:r>
        <w:rPr>
          <w:rFonts w:ascii="Times New Roman" w:cs="Times New Roman" w:eastAsia="Times New Roman" w:hAnsi="Times New Roman"/>
          <w:sz w:val="18"/>
          <w:szCs w:val="18"/>
          <w:b w:val="1"/>
          <w:bCs w:val="1"/>
          <w:color w:val="auto"/>
        </w:rPr>
        <w:t xml:space="preserve">Section 16.2 (Notices) </w:t>
      </w:r>
      <w:r>
        <w:rPr>
          <w:rFonts w:ascii="Times New Roman" w:cs="Times New Roman" w:eastAsia="Times New Roman" w:hAnsi="Times New Roman"/>
          <w:sz w:val="18"/>
          <w:szCs w:val="18"/>
          <w:color w:val="auto"/>
        </w:rPr>
        <w:t>by sending written notice to the other Party.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780"/>
          </w:cols>
          <w:pgMar w:left="540" w:top="265" w:right="579" w:bottom="1440" w:gutter="0" w:footer="0" w:header="0"/>
        </w:sectPr>
      </w:pPr>
    </w:p>
    <w:bookmarkStart w:id="525" w:name="page526"/>
    <w:bookmarkEnd w:id="5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If to Kissei:</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Senior Director, Business Development &amp; Licensing</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Kissei Pharmaceutical Co., Ltd.</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1-8-9 Nihonbashi, Muromachi, Chuo-Ku, Tokyo 103-0022, Japan</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required copies (which shall not constitute notice) to:</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Senior Director, Legal</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Kissei Pharmaceutical Co., Ltd.</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19-48, Yoshino, Matsumoto-City, Nagano-Prefecture 399-8710, Japan</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CG:</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Vice President, Business Development</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400 Irvine Spectrum Center Dr.</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Suite 2040 Irvine, CA 92618</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required copies (which shall not constitute notice) to:</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John E. Wehrli, Esq.</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12235 El Camino Real, Suite 200</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California, U.S.A. 92130</w:t>
      </w:r>
    </w:p>
    <w:p>
      <w:pPr>
        <w:spacing w:after="0" w:line="196"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7"/>
          <w:szCs w:val="17"/>
          <w:b w:val="1"/>
          <w:bCs w:val="1"/>
          <w:color w:val="auto"/>
        </w:rPr>
        <w:t>16.3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Assignment</w:t>
      </w:r>
      <w:r>
        <w:rPr>
          <w:rFonts w:ascii="Times New Roman" w:cs="Times New Roman" w:eastAsia="Times New Roman" w:hAnsi="Times New Roman"/>
          <w:sz w:val="17"/>
          <w:szCs w:val="17"/>
          <w:color w:val="auto"/>
        </w:rPr>
        <w:t>. Neither Party may assign or otherwise transfer, in whole or in part, this Agreement without the prior written consent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non-assigning Party, such approval not to be unreasonably withheld or delayed. Notwithstanding the foregoing, either Party may assign this Agreement to (i) an Affiliate; provided that, unless such Affiliate controls (as defined in </w:t>
      </w:r>
      <w:r>
        <w:rPr>
          <w:rFonts w:ascii="Times New Roman" w:cs="Times New Roman" w:eastAsia="Times New Roman" w:hAnsi="Times New Roman"/>
          <w:sz w:val="17"/>
          <w:szCs w:val="17"/>
          <w:b w:val="1"/>
          <w:bCs w:val="1"/>
          <w:color w:val="auto"/>
        </w:rPr>
        <w:t>Section 1.2 (Affiliate)</w:t>
      </w:r>
      <w:r>
        <w:rPr>
          <w:rFonts w:ascii="Times New Roman" w:cs="Times New Roman" w:eastAsia="Times New Roman" w:hAnsi="Times New Roman"/>
          <w:sz w:val="17"/>
          <w:szCs w:val="17"/>
          <w:color w:val="auto"/>
        </w:rPr>
        <w:t>) such Party, such Party shall remain responsible for such Affiliate’s performance hereunder or (ii) any purchaser of all or substantially all of the business or assets of such Party to which this Agreement applies, or of all of its capital stock, or to any successor corporation or entity resulting from any merger or consolidation of such Party with or into such corporation or entity, provided, that the party to which this Agreement is assigned expressly agrees in writing to assume and be bound by all obligations of the assigning Party under this Agreement. A copy of such written agreement by such assignee shall be provided to the non-assigning Party within [***] of execution of such written agreement. Subject to the foregoing, this Agreement will benefit and bind the Parties’ successors and assigns.</w:t>
      </w:r>
    </w:p>
    <w:p>
      <w:pPr>
        <w:spacing w:after="0" w:line="175" w:lineRule="exact"/>
        <w:rPr>
          <w:sz w:val="20"/>
          <w:szCs w:val="20"/>
          <w:color w:val="auto"/>
        </w:rPr>
      </w:pPr>
    </w:p>
    <w:p>
      <w:pPr>
        <w:ind w:right="30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Independent Contractors</w:t>
      </w:r>
      <w:r>
        <w:rPr>
          <w:rFonts w:ascii="Times New Roman" w:cs="Times New Roman" w:eastAsia="Times New Roman" w:hAnsi="Times New Roman"/>
          <w:sz w:val="18"/>
          <w:szCs w:val="18"/>
          <w:color w:val="auto"/>
        </w:rPr>
        <w:t>. The Parties hereto are independent contractors and nothing contained in this Agreement shall be deemed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to create a partnership, joint venture, employment, franchise, agency or fiduciary relationship between the Parties.</w:t>
      </w:r>
    </w:p>
    <w:p>
      <w:pPr>
        <w:spacing w:after="0" w:line="16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16.5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Integration</w:t>
      </w:r>
      <w:r>
        <w:rPr>
          <w:rFonts w:ascii="Times New Roman" w:cs="Times New Roman" w:eastAsia="Times New Roman" w:hAnsi="Times New Roman"/>
          <w:sz w:val="18"/>
          <w:szCs w:val="18"/>
          <w:color w:val="auto"/>
        </w:rPr>
        <w:t>. This Agreement, together with the Clinical Supply Agreement, Commercial Supply Agreement, Quality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Pharmacovigilance Agreement, and Stock Purchase Agreement, constitutes the entire agreement between the Parties relating to the subject matter of this Agreement and supersedes all previous oral and written communications between the Parties with respect to the subject matter of this Agreement (including term sheets exchanged by and between CG and Kissei with respect to this Agreement) and the CDA.</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780"/>
          </w:cols>
          <w:pgMar w:left="540" w:top="267" w:right="579" w:bottom="1440" w:gutter="0" w:footer="0" w:header="0"/>
        </w:sectPr>
      </w:pPr>
    </w:p>
    <w:bookmarkStart w:id="526" w:name="page527"/>
    <w:bookmarkEnd w:id="526"/>
    <w:p>
      <w:pPr>
        <w:ind w:left="2"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16.6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Amendment; Waiver</w:t>
      </w:r>
      <w:r>
        <w:rPr>
          <w:rFonts w:ascii="Times New Roman" w:cs="Times New Roman" w:eastAsia="Times New Roman" w:hAnsi="Times New Roman"/>
          <w:sz w:val="18"/>
          <w:szCs w:val="18"/>
          <w:color w:val="auto"/>
        </w:rPr>
        <w:t>. Except as otherwise expressly provided herein, no alteration of or modification to this Agreement shall be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made in writing and executed by an authorized representative of both Parties. No course of dealing or failing of either Party to strictly enforce any term, right or condition of this Agreement in any instance shall be construed as a general waiver or relinquishment of such term, right or condition. The observance of any provision of this Agreement may be waived (either generally or any given instance and either retroactively or prospectively) only with the written consent of the Party granting such waiver.</w:t>
      </w:r>
    </w:p>
    <w:p>
      <w:pPr>
        <w:spacing w:after="0" w:line="181" w:lineRule="exact"/>
        <w:rPr>
          <w:sz w:val="20"/>
          <w:szCs w:val="20"/>
          <w:color w:val="auto"/>
        </w:rPr>
      </w:pPr>
    </w:p>
    <w:p>
      <w:pPr>
        <w:ind w:left="2" w:right="14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Further Assurance</w:t>
      </w:r>
      <w:r>
        <w:rPr>
          <w:rFonts w:ascii="Times New Roman" w:cs="Times New Roman" w:eastAsia="Times New Roman" w:hAnsi="Times New Roman"/>
          <w:sz w:val="18"/>
          <w:szCs w:val="18"/>
          <w:color w:val="auto"/>
        </w:rPr>
        <w:t>. Each Party shall and shall use all reasonable endeavors to procure that any necessary Third Party shall promptly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such further documents and do such further acts as may be required for the purpose of giving full effect to the express terms of this Agreement.</w:t>
      </w:r>
    </w:p>
    <w:p>
      <w:pPr>
        <w:spacing w:after="0" w:line="173" w:lineRule="exact"/>
        <w:rPr>
          <w:sz w:val="20"/>
          <w:szCs w:val="20"/>
          <w:color w:val="auto"/>
        </w:rPr>
      </w:pPr>
    </w:p>
    <w:p>
      <w:pPr>
        <w:ind w:left="2" w:right="240"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16.8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Severability</w:t>
      </w:r>
      <w:r>
        <w:rPr>
          <w:rFonts w:ascii="Times New Roman" w:cs="Times New Roman" w:eastAsia="Times New Roman" w:hAnsi="Times New Roman"/>
          <w:sz w:val="18"/>
          <w:szCs w:val="18"/>
          <w:color w:val="auto"/>
        </w:rPr>
        <w:t>. The Parties do not intend to violate any public policy or statutory or common law. However, if any sentence, paragraph,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 or combination or part thereof of this Agreement is in violation of any law or is found to be otherwise invalid or unenforceable, such sentence, paragraph, clause or combination or part of the same shall be deleted and the remainder of this Agreement shall remain binding and the Parties will negotiate a valid and enforceable replacement provision for such sentence, paragraph, clause or combination or part thereof of this Agreement, which conforms as nearly as possible with the original intent of the Parties.</w:t>
      </w:r>
    </w:p>
    <w:p>
      <w:pPr>
        <w:spacing w:after="0" w:line="181" w:lineRule="exact"/>
        <w:rPr>
          <w:sz w:val="20"/>
          <w:szCs w:val="20"/>
          <w:color w:val="auto"/>
        </w:rPr>
      </w:pPr>
    </w:p>
    <w:p>
      <w:pPr>
        <w:ind w:left="2" w:right="20" w:firstLine="432"/>
        <w:spacing w:after="0" w:line="265" w:lineRule="auto"/>
        <w:rPr>
          <w:sz w:val="20"/>
          <w:szCs w:val="20"/>
          <w:color w:val="auto"/>
        </w:rPr>
      </w:pPr>
      <w:r>
        <w:rPr>
          <w:rFonts w:ascii="Times New Roman" w:cs="Times New Roman" w:eastAsia="Times New Roman" w:hAnsi="Times New Roman"/>
          <w:sz w:val="17"/>
          <w:szCs w:val="17"/>
          <w:b w:val="1"/>
          <w:bCs w:val="1"/>
          <w:color w:val="auto"/>
        </w:rPr>
        <w:t>16.9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 Third Party Rights</w:t>
      </w:r>
      <w:r>
        <w:rPr>
          <w:rFonts w:ascii="Times New Roman" w:cs="Times New Roman" w:eastAsia="Times New Roman" w:hAnsi="Times New Roman"/>
          <w:sz w:val="17"/>
          <w:szCs w:val="17"/>
          <w:color w:val="auto"/>
        </w:rPr>
        <w:t>. Except for the rights to indemnification provided for certain Third Parties as specified in</w:t>
      </w:r>
      <w:r>
        <w:rPr>
          <w:rFonts w:ascii="Times New Roman" w:cs="Times New Roman" w:eastAsia="Times New Roman" w:hAnsi="Times New Roman"/>
          <w:sz w:val="17"/>
          <w:szCs w:val="17"/>
          <w:b w:val="1"/>
          <w:bCs w:val="1"/>
          <w:color w:val="auto"/>
        </w:rPr>
        <w:t xml:space="preserve"> Article 13 (Indemnification) </w:t>
      </w:r>
      <w:r>
        <w:rPr>
          <w:rFonts w:ascii="Times New Roman" w:cs="Times New Roman" w:eastAsia="Times New Roman" w:hAnsi="Times New Roman"/>
          <w:sz w:val="17"/>
          <w:szCs w:val="17"/>
          <w:color w:val="auto"/>
        </w:rPr>
        <w:t>and as otherwise expressly set forth herein, the Parties do not intend that any term of this Agreement should be enforceable by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Person who is not a Party and all rights, benefits and remedies under this Agreement are solely intended for the benefit of CG and its Affiliates and Kissei and its Affiliates, and except for such rights to indemnification expressly provided pursuant to </w:t>
      </w:r>
      <w:r>
        <w:rPr>
          <w:rFonts w:ascii="Times New Roman" w:cs="Times New Roman" w:eastAsia="Times New Roman" w:hAnsi="Times New Roman"/>
          <w:sz w:val="17"/>
          <w:szCs w:val="17"/>
          <w:b w:val="1"/>
          <w:bCs w:val="1"/>
          <w:color w:val="auto"/>
        </w:rPr>
        <w:t>Article 13 (Indemnification)</w:t>
      </w:r>
      <w:r>
        <w:rPr>
          <w:rFonts w:ascii="Times New Roman" w:cs="Times New Roman" w:eastAsia="Times New Roman" w:hAnsi="Times New Roman"/>
          <w:sz w:val="17"/>
          <w:szCs w:val="17"/>
          <w:color w:val="auto"/>
        </w:rPr>
        <w:t>, no Third Party shall have any rights whatsoever to (a) enforce any obligation contained in this Agreement, (b) seek a benefit or remedy for any breach of this Agreement, or</w:t>
      </w:r>
    </w:p>
    <w:p>
      <w:pPr>
        <w:spacing w:after="0" w:line="2" w:lineRule="exact"/>
        <w:rPr>
          <w:sz w:val="20"/>
          <w:szCs w:val="20"/>
          <w:color w:val="auto"/>
        </w:rPr>
      </w:pPr>
    </w:p>
    <w:p>
      <w:pPr>
        <w:ind w:left="2" w:right="260" w:hanging="2"/>
        <w:spacing w:after="0" w:line="251" w:lineRule="auto"/>
        <w:tabs>
          <w:tab w:leader="none" w:pos="24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relating to this Agreement under any legal theory, including, actions in contract, tort (including negligence, gross negligence and strict liability), or as a defense, setoff or counterclaim to any action or claim brought or made by either Party.</w:t>
      </w:r>
    </w:p>
    <w:p>
      <w:pPr>
        <w:spacing w:after="0" w:line="182" w:lineRule="exact"/>
        <w:rPr>
          <w:sz w:val="20"/>
          <w:szCs w:val="20"/>
          <w:color w:val="auto"/>
        </w:rPr>
      </w:pPr>
    </w:p>
    <w:p>
      <w:pPr>
        <w:jc w:val="both"/>
        <w:ind w:left="2" w:right="8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Construction</w:t>
      </w:r>
      <w:r>
        <w:rPr>
          <w:rFonts w:ascii="Times New Roman" w:cs="Times New Roman" w:eastAsia="Times New Roman" w:hAnsi="Times New Roman"/>
          <w:sz w:val="18"/>
          <w:szCs w:val="18"/>
          <w:color w:val="auto"/>
        </w:rPr>
        <w:t>. The Parties mutually acknowledge that they and their attorneys have participated in the negotiation and preparation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Ambiguities, if any, in this Agreement shall not be construed against any Party, irrespective of which Party may be deemed to have drafted this Agreement or authorized the ambiguous provision.</w:t>
      </w:r>
    </w:p>
    <w:p>
      <w:pPr>
        <w:spacing w:after="0" w:line="173" w:lineRule="exact"/>
        <w:rPr>
          <w:sz w:val="20"/>
          <w:szCs w:val="20"/>
          <w:color w:val="auto"/>
        </w:rPr>
      </w:pPr>
    </w:p>
    <w:p>
      <w:pPr>
        <w:ind w:left="2" w:right="20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Original Text</w:t>
      </w:r>
      <w:r>
        <w:rPr>
          <w:rFonts w:ascii="Times New Roman" w:cs="Times New Roman" w:eastAsia="Times New Roman" w:hAnsi="Times New Roman"/>
          <w:sz w:val="18"/>
          <w:szCs w:val="18"/>
          <w:color w:val="auto"/>
        </w:rPr>
        <w:t>. This text of this Agreement in the English language shall be the original text, and any text in another language, even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 text is made by translation of the text in English language or prepared by any of the parties hereto for the purpose of its own convenience, shall have no meaning for any purpose between the parties hereto.</w:t>
      </w:r>
    </w:p>
    <w:p>
      <w:pPr>
        <w:spacing w:after="0" w:line="173" w:lineRule="exact"/>
        <w:rPr>
          <w:sz w:val="20"/>
          <w:szCs w:val="20"/>
          <w:color w:val="auto"/>
        </w:rPr>
      </w:pPr>
    </w:p>
    <w:p>
      <w:pPr>
        <w:ind w:left="2" w:right="6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16.12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Interpretation</w:t>
      </w:r>
      <w:r>
        <w:rPr>
          <w:rFonts w:ascii="Times New Roman" w:cs="Times New Roman" w:eastAsia="Times New Roman" w:hAnsi="Times New Roman"/>
          <w:sz w:val="18"/>
          <w:szCs w:val="18"/>
          <w:color w:val="auto"/>
        </w:rPr>
        <w:t>. The captions and headings to this Agreement are for convenience only, and are to be of no force or effect in construing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interpreting any of the provisions of this Agreement. To the extent there exists any discrepancy between any internal, alphabetical or</w:t>
      </w:r>
    </w:p>
    <w:p>
      <w:pPr>
        <w:spacing w:after="0" w:line="9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802"/>
          </w:cols>
          <w:pgMar w:left="538" w:top="264" w:right="559" w:bottom="1440" w:gutter="0" w:footer="0" w:header="0"/>
        </w:sectPr>
      </w:pPr>
    </w:p>
    <w:bookmarkStart w:id="527" w:name="page528"/>
    <w:bookmarkEnd w:id="527"/>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numerical cross-reference to a Section, Article or Schedule of this Agreement and the parenthetical immediately following such cross-reference, the parenthetical shall govern. Unless context otherwise clearly requires, whenever used in this Agreement: (a) the words “include” or “including” shall be construed as incorporating “but not limited to” or “without limitation”; (b) the words “hereof,” “herein,” “hereby” and derivative or similar words refer to this Agreement, including the Schedules; (c) the word “law” or “laws” means any applicable, legally binding statute, ordinance, resolution, regulation, code, guideline, rule, order, decree, judgment, injunction, mandate or other legally binding requirement of a governmental authority (including a court, tribunal, agency, legislative body or other instrumentality of any (i) government or country or territory, (ii) any state, province, county, city or other political subdivision thereof, or (iii) any supranational body); (d) all references to the word “will” are interchangeable with the word “shall” and shall be understood to be imperative or mandatory in nature; (e) all references to “sublicensees” shall include all sublicensees of sublicensees through multiple tiers of sublicensing; (f) the singular shall include the plural and vice versa; and (g) the word “or” has the inclusive meaning represented by the phrase “and/or”. All references to days, months, quarters or years are references to calendar days, calendar months, calendar quarters, or calendar years. Unless otherwise provided herein, whenever any matter hereunder requires consent or approval, such consent shall not be unreasonably withheld or delayed.</w:t>
      </w:r>
    </w:p>
    <w:p>
      <w:pPr>
        <w:spacing w:after="0" w:line="187"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b w:val="1"/>
          <w:bCs w:val="1"/>
          <w:color w:val="auto"/>
        </w:rPr>
        <w:t>16.13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Counterparts</w:t>
      </w:r>
      <w:r>
        <w:rPr>
          <w:rFonts w:ascii="Times New Roman" w:cs="Times New Roman" w:eastAsia="Times New Roman" w:hAnsi="Times New Roman"/>
          <w:sz w:val="18"/>
          <w:szCs w:val="18"/>
          <w:color w:val="auto"/>
        </w:rPr>
        <w:t>. This Agreement may be executed in two or more counterparts, each of which will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will constitute one and the same instrument. For purposes hereof, a facsimile copy, or email with attached pdf copy, of this Agreement, including the signature pages hereto, will be deemed to be an original.</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 – the rest of this page intentionally left blank.]</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CG and Kissei have executed this Agreement by their respective officers hereunto duly authorized, on the Effective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570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KISSEI PHARMACEUTICAL CO., LTD.</w:t>
            </w:r>
          </w:p>
        </w:tc>
      </w:tr>
      <w:tr>
        <w:trPr>
          <w:trHeight w:val="42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Arthur Kuan</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Mutsuo Kanzawa</w:t>
            </w:r>
          </w:p>
        </w:tc>
      </w:tr>
      <w:tr>
        <w:trPr>
          <w:trHeight w:val="200"/>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444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Arthur Kuan</w:t>
            </w:r>
          </w:p>
        </w:tc>
        <w:tc>
          <w:tcPr>
            <w:tcW w:w="1200" w:type="dxa"/>
            <w:vAlign w:val="bottom"/>
          </w:tcPr>
          <w:p>
            <w:pPr>
              <w:ind w:left="640"/>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44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Mutsuo Kanzawa</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358"/>
        </w:trPr>
        <w:tc>
          <w:tcPr>
            <w:tcW w:w="6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4"/>
                <w:szCs w:val="24"/>
                <w:color w:val="auto"/>
              </w:rPr>
            </w:pPr>
          </w:p>
        </w:tc>
        <w:tc>
          <w:tcPr>
            <w:tcW w:w="4420" w:type="dxa"/>
            <w:vAlign w:val="bottom"/>
          </w:tcPr>
          <w:p>
            <w:pPr>
              <w:spacing w:after="0"/>
              <w:rPr>
                <w:sz w:val="24"/>
                <w:szCs w:val="24"/>
                <w:color w:val="auto"/>
              </w:rPr>
            </w:pPr>
          </w:p>
        </w:tc>
      </w:tr>
    </w:tbl>
    <w:p>
      <w:pPr>
        <w:sectPr>
          <w:pgSz w:w="11900" w:h="16838" w:orient="portrait"/>
          <w:cols w:equalWidth="0" w:num="1">
            <w:col w:w="10800"/>
          </w:cols>
          <w:pgMar w:left="540" w:top="267" w:right="559" w:bottom="1440" w:gutter="0" w:footer="0" w:header="0"/>
        </w:sectPr>
      </w:pPr>
    </w:p>
    <w:bookmarkStart w:id="528" w:name="page529"/>
    <w:bookmarkEnd w:id="52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1.13</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5" w:right="1440" w:bottom="1440" w:gutter="0" w:footer="0" w:header="0"/>
        </w:sectPr>
      </w:pPr>
    </w:p>
    <w:bookmarkStart w:id="529" w:name="page530"/>
    <w:bookmarkEnd w:id="52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1.35</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265" w:right="1440" w:bottom="1440" w:gutter="0" w:footer="0" w:header="0"/>
        </w:sectPr>
      </w:pPr>
    </w:p>
    <w:bookmarkStart w:id="530" w:name="page531"/>
    <w:bookmarkEnd w:id="53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1.36</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4" w:right="1440" w:bottom="1440" w:gutter="0" w:footer="0" w:header="0"/>
        </w:sectPr>
      </w:pPr>
    </w:p>
    <w:bookmarkStart w:id="531" w:name="page532"/>
    <w:bookmarkEnd w:id="53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1.74</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5" w:right="1440" w:bottom="1440" w:gutter="0" w:footer="0" w:header="0"/>
        </w:sectPr>
      </w:pPr>
    </w:p>
    <w:bookmarkStart w:id="532" w:name="page533"/>
    <w:bookmarkEnd w:id="53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2.1</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5" w:right="1440" w:bottom="1440" w:gutter="0" w:footer="0" w:header="0"/>
        </w:sectPr>
      </w:pPr>
    </w:p>
    <w:bookmarkStart w:id="533" w:name="page534"/>
    <w:bookmarkEnd w:id="53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7.4.3(C)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5" w:right="1440" w:bottom="1440" w:gutter="0" w:footer="0" w:header="0"/>
        </w:sectPr>
      </w:pPr>
    </w:p>
    <w:bookmarkStart w:id="534" w:name="page535"/>
    <w:bookmarkEnd w:id="53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12.3(G)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4" w:right="1440" w:bottom="1440" w:gutter="0" w:footer="0" w:header="0"/>
        </w:sectPr>
      </w:pPr>
    </w:p>
    <w:bookmarkStart w:id="535" w:name="page536"/>
    <w:bookmarkEnd w:id="535"/>
    <w:p>
      <w:pPr>
        <w:ind w:left="9900"/>
        <w:spacing w:after="0"/>
        <w:rPr>
          <w:sz w:val="20"/>
          <w:szCs w:val="20"/>
          <w:color w:val="auto"/>
        </w:rPr>
      </w:pPr>
      <w:r>
        <w:rPr>
          <w:rFonts w:ascii="Times New Roman" w:cs="Times New Roman" w:eastAsia="Times New Roman" w:hAnsi="Times New Roman"/>
          <w:sz w:val="17"/>
          <w:szCs w:val="17"/>
          <w:b w:val="1"/>
          <w:bCs w:val="1"/>
          <w:color w:val="auto"/>
        </w:rPr>
        <w:t>Exhibit 10.8</w:t>
      </w:r>
    </w:p>
    <w:p>
      <w:pPr>
        <w:spacing w:after="0" w:line="23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CERTAIN CONFIDENTIAL INFORMATION CONTAINED IN THIS DOCUMENT, MARKED BY [***], HAS BEEN OMITTED BECAUSE CG ONCOLOGY, INC. HAS DETERMINED THE INFORMATION (I) IS NOT MATERIAL AND (II) WOULD LIKELY CAUSE COMPETITIVE HARM TO CG ONCOLOGY, INC. IF PUBLICLY DISCLOSED.</w:t>
      </w:r>
    </w:p>
    <w:p>
      <w:pPr>
        <w:spacing w:after="0" w:line="38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FIRST AMENDMENT TO THE LICENSE</w:t>
      </w:r>
    </w:p>
    <w:p>
      <w:pPr>
        <w:spacing w:after="0" w:line="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AND COLLABORATION AGREEMENT</w:t>
      </w:r>
    </w:p>
    <w:p>
      <w:pPr>
        <w:spacing w:after="0" w:line="196" w:lineRule="exact"/>
        <w:rPr>
          <w:sz w:val="20"/>
          <w:szCs w:val="20"/>
          <w:color w:val="auto"/>
        </w:rPr>
      </w:pPr>
    </w:p>
    <w:p>
      <w:pPr>
        <w:ind w:right="40" w:firstLine="432"/>
        <w:spacing w:after="0" w:line="251"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FIRST AMENDMENT TO THE LICENSE AND COLLABORATION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is effective as of September 15, 2022 (the “</w:t>
      </w:r>
      <w:r>
        <w:rPr>
          <w:rFonts w:ascii="Times New Roman" w:cs="Times New Roman" w:eastAsia="Times New Roman" w:hAnsi="Times New Roman"/>
          <w:sz w:val="18"/>
          <w:szCs w:val="18"/>
          <w:b w:val="1"/>
          <w:bCs w:val="1"/>
          <w:color w:val="auto"/>
        </w:rPr>
        <w:t>First Amendment Effective Date</w:t>
      </w:r>
      <w:r>
        <w:rPr>
          <w:rFonts w:ascii="Times New Roman" w:cs="Times New Roman" w:eastAsia="Times New Roman" w:hAnsi="Times New Roman"/>
          <w:sz w:val="18"/>
          <w:szCs w:val="18"/>
          <w:color w:val="auto"/>
        </w:rPr>
        <w:t>”) by and between Kissei Pharmaceutical Co., Ltd., a corporation duly organized and existing under the lases of Japan and having its registered office at 19-48, Yoshino, Matsumoto, Nagano Prefecture, Japan (“</w:t>
      </w:r>
      <w:r>
        <w:rPr>
          <w:rFonts w:ascii="Times New Roman" w:cs="Times New Roman" w:eastAsia="Times New Roman" w:hAnsi="Times New Roman"/>
          <w:sz w:val="18"/>
          <w:szCs w:val="18"/>
          <w:b w:val="1"/>
          <w:bCs w:val="1"/>
          <w:color w:val="auto"/>
        </w:rPr>
        <w:t>Kissei</w:t>
      </w:r>
      <w:r>
        <w:rPr>
          <w:rFonts w:ascii="Times New Roman" w:cs="Times New Roman" w:eastAsia="Times New Roman" w:hAnsi="Times New Roman"/>
          <w:sz w:val="18"/>
          <w:szCs w:val="18"/>
          <w:color w:val="auto"/>
        </w:rPr>
        <w:t>”), and CG Oncology, Inc. (formerly known as Cold Genesys, Inc.), a company organized and existing under the laws of the state of Delaware, United States, located at 400 Spectrum Center Drive, Suite #2040 Irvine, CA 92618 (“</w:t>
      </w:r>
      <w:r>
        <w:rPr>
          <w:rFonts w:ascii="Times New Roman" w:cs="Times New Roman" w:eastAsia="Times New Roman" w:hAnsi="Times New Roman"/>
          <w:sz w:val="18"/>
          <w:szCs w:val="18"/>
          <w:b w:val="1"/>
          <w:bCs w:val="1"/>
          <w:color w:val="auto"/>
        </w:rPr>
        <w:t>CG</w:t>
      </w:r>
      <w:r>
        <w:rPr>
          <w:rFonts w:ascii="Times New Roman" w:cs="Times New Roman" w:eastAsia="Times New Roman" w:hAnsi="Times New Roman"/>
          <w:sz w:val="18"/>
          <w:szCs w:val="18"/>
          <w:color w:val="auto"/>
        </w:rPr>
        <w:t>”). Kissei and CG are each referred to herein by name or,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17" w:lineRule="exact"/>
        <w:rPr>
          <w:sz w:val="20"/>
          <w:szCs w:val="20"/>
          <w:color w:val="auto"/>
        </w:rPr>
      </w:pPr>
    </w:p>
    <w:p>
      <w:pPr>
        <w:ind w:right="52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Kissei and CG are parties to that certain License and Collaboration Agreement, effective as of March 26, 2020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and collectively with the First Amendment,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the Original Agreement as set forth below;</w:t>
      </w:r>
    </w:p>
    <w:p>
      <w:pPr>
        <w:spacing w:after="0" w:line="217" w:lineRule="exact"/>
        <w:rPr>
          <w:sz w:val="20"/>
          <w:szCs w:val="20"/>
          <w:color w:val="auto"/>
        </w:rPr>
      </w:pPr>
    </w:p>
    <w:p>
      <w:pPr>
        <w:ind w:right="66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mutual covenants and agreements provided below and other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is hereby acknowledged, Kissei and CG hereby agree as follows: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 Capitalized terms used in this First Amendment but not specifically defined below shall have the meaning ascribed to them in the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Agreement. The corresponding definitions in the Original Agreement are replaced in their entirety with the definitions below:</w:t>
      </w:r>
    </w:p>
    <w:p>
      <w:pPr>
        <w:spacing w:after="0" w:line="196" w:lineRule="exact"/>
        <w:rPr>
          <w:sz w:val="20"/>
          <w:szCs w:val="20"/>
          <w:color w:val="auto"/>
        </w:rPr>
      </w:pPr>
    </w:p>
    <w:p>
      <w:pPr>
        <w:ind w:right="8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CG Collaboration Know-How</w:t>
      </w:r>
      <w:r>
        <w:rPr>
          <w:rFonts w:ascii="Times New Roman" w:cs="Times New Roman" w:eastAsia="Times New Roman" w:hAnsi="Times New Roman"/>
          <w:sz w:val="18"/>
          <w:szCs w:val="18"/>
          <w:color w:val="auto"/>
        </w:rPr>
        <w:t>” means Collaboration Know-How that is generated, discovered or obtained during the Term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by or on behalf of the CG Group without the inventive contribution of any employee, consultant or agent of Kissei.</w:t>
      </w:r>
    </w:p>
    <w:p>
      <w:pPr>
        <w:spacing w:after="0" w:line="160" w:lineRule="exact"/>
        <w:rPr>
          <w:sz w:val="20"/>
          <w:szCs w:val="20"/>
          <w:color w:val="auto"/>
        </w:rPr>
      </w:pPr>
    </w:p>
    <w:p>
      <w:pPr>
        <w:ind w:right="80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CG Know-How</w:t>
      </w:r>
      <w:r>
        <w:rPr>
          <w:rFonts w:ascii="Times New Roman" w:cs="Times New Roman" w:eastAsia="Times New Roman" w:hAnsi="Times New Roman"/>
          <w:sz w:val="18"/>
          <w:szCs w:val="18"/>
          <w:color w:val="auto"/>
        </w:rPr>
        <w:t>” means all Know-How Controlled by the CG Group as of the Effective Date or during the Term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clarity, CG Know-How (a) includes CG Collaboration Know-How and (b) excludes Joint Collaboration Know-How.</w:t>
      </w:r>
    </w:p>
    <w:p>
      <w:pPr>
        <w:spacing w:after="0" w:line="160" w:lineRule="exact"/>
        <w:rPr>
          <w:sz w:val="20"/>
          <w:szCs w:val="20"/>
          <w:color w:val="auto"/>
        </w:rPr>
      </w:pPr>
    </w:p>
    <w:p>
      <w:pPr>
        <w:ind w:right="180" w:firstLine="973"/>
        <w:spacing w:after="0" w:line="261" w:lineRule="auto"/>
        <w:rPr>
          <w:sz w:val="20"/>
          <w:szCs w:val="20"/>
          <w:color w:val="auto"/>
        </w:rPr>
      </w:pPr>
      <w:r>
        <w:rPr>
          <w:rFonts w:ascii="Times New Roman" w:cs="Times New Roman" w:eastAsia="Times New Roman" w:hAnsi="Times New Roman"/>
          <w:sz w:val="18"/>
          <w:szCs w:val="18"/>
          <w:b w:val="1"/>
          <w:bCs w:val="1"/>
          <w:color w:val="auto"/>
        </w:rPr>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CG Patents</w:t>
      </w:r>
      <w:r>
        <w:rPr>
          <w:rFonts w:ascii="Times New Roman" w:cs="Times New Roman" w:eastAsia="Times New Roman" w:hAnsi="Times New Roman"/>
          <w:sz w:val="18"/>
          <w:szCs w:val="18"/>
          <w:color w:val="auto"/>
        </w:rPr>
        <w:t>” means all Patents Controlled by the CG Group as of the Effective Date or during the Term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Patents claiming CG Collaboration Know-How. CG Patents exclude Joint Collaboration Patents. The CG Patents existing as of the Effective Date are identified on </w:t>
      </w:r>
      <w:r>
        <w:rPr>
          <w:rFonts w:ascii="Times New Roman" w:cs="Times New Roman" w:eastAsia="Times New Roman" w:hAnsi="Times New Roman"/>
          <w:sz w:val="18"/>
          <w:szCs w:val="18"/>
          <w:b w:val="1"/>
          <w:bCs w:val="1"/>
          <w:color w:val="auto"/>
        </w:rPr>
        <w:t>Schedule 1.13</w:t>
      </w:r>
      <w:r>
        <w:rPr>
          <w:rFonts w:ascii="Times New Roman" w:cs="Times New Roman" w:eastAsia="Times New Roman" w:hAnsi="Times New Roman"/>
          <w:sz w:val="18"/>
          <w:szCs w:val="18"/>
          <w:color w:val="auto"/>
        </w:rPr>
        <w:t>.</w:t>
      </w:r>
    </w:p>
    <w:p>
      <w:pPr>
        <w:sectPr>
          <w:pgSz w:w="11900" w:h="16838" w:orient="portrait"/>
          <w:cols w:equalWidth="0" w:num="1">
            <w:col w:w="10820"/>
          </w:cols>
          <w:pgMar w:left="540" w:top="119" w:right="539" w:bottom="1440" w:gutter="0" w:footer="0" w:header="0"/>
        </w:sectPr>
      </w:pPr>
    </w:p>
    <w:bookmarkStart w:id="536" w:name="page537"/>
    <w:bookmarkEnd w:id="536"/>
    <w:p>
      <w:pPr>
        <w:ind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2.</w:t>
      </w:r>
      <w:r>
        <w:rPr>
          <w:rFonts w:ascii="Times New Roman" w:cs="Times New Roman" w:eastAsia="Times New Roman" w:hAnsi="Times New Roman"/>
          <w:sz w:val="18"/>
          <w:szCs w:val="18"/>
          <w:color w:val="auto"/>
        </w:rPr>
        <w:t xml:space="preserve">  The following new definitions are hereby inserted out of alphabetical order after the existing definitions in the Original Agreement to preserve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section numbering in the Original Agreement.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1.87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CG Group</w:t>
      </w:r>
      <w:r>
        <w:rPr>
          <w:rFonts w:ascii="Times New Roman" w:cs="Times New Roman" w:eastAsia="Times New Roman" w:hAnsi="Times New Roman"/>
          <w:sz w:val="18"/>
          <w:szCs w:val="18"/>
          <w:color w:val="auto"/>
        </w:rPr>
        <w:t>” means CG and any of its Affiliates existing immediately prior to the consummation of a Change of Control of CG.</w:t>
      </w:r>
    </w:p>
    <w:p>
      <w:pPr>
        <w:spacing w:after="0" w:line="217" w:lineRule="exact"/>
        <w:rPr>
          <w:sz w:val="20"/>
          <w:szCs w:val="20"/>
          <w:color w:val="auto"/>
        </w:rPr>
      </w:pPr>
    </w:p>
    <w:p>
      <w:pPr>
        <w:ind w:right="14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1.88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Transacting Party</w:t>
      </w:r>
      <w:r>
        <w:rPr>
          <w:rFonts w:ascii="Times New Roman" w:cs="Times New Roman" w:eastAsia="Times New Roman" w:hAnsi="Times New Roman"/>
          <w:sz w:val="18"/>
          <w:szCs w:val="18"/>
          <w:color w:val="auto"/>
        </w:rPr>
        <w:t>” means a Person engaged in the Change of Control event with CG immediately prior to the consummation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Change of Control.</w:t>
      </w:r>
    </w:p>
    <w:p>
      <w:pPr>
        <w:spacing w:after="0" w:line="160" w:lineRule="exact"/>
        <w:rPr>
          <w:sz w:val="20"/>
          <w:szCs w:val="20"/>
          <w:color w:val="auto"/>
        </w:rPr>
      </w:pPr>
    </w:p>
    <w:p>
      <w:pPr>
        <w:ind w:right="100" w:firstLine="973"/>
        <w:spacing w:after="0" w:line="276" w:lineRule="auto"/>
        <w:rPr>
          <w:sz w:val="20"/>
          <w:szCs w:val="20"/>
          <w:color w:val="auto"/>
        </w:rPr>
      </w:pPr>
      <w:r>
        <w:rPr>
          <w:rFonts w:ascii="Times New Roman" w:cs="Times New Roman" w:eastAsia="Times New Roman" w:hAnsi="Times New Roman"/>
          <w:sz w:val="18"/>
          <w:szCs w:val="18"/>
          <w:b w:val="1"/>
          <w:bCs w:val="1"/>
          <w:color w:val="auto"/>
        </w:rPr>
        <w:t>1.89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Transacting Party Group</w:t>
      </w:r>
      <w:r>
        <w:rPr>
          <w:rFonts w:ascii="Times New Roman" w:cs="Times New Roman" w:eastAsia="Times New Roman" w:hAnsi="Times New Roman"/>
          <w:sz w:val="18"/>
          <w:szCs w:val="18"/>
          <w:color w:val="auto"/>
        </w:rPr>
        <w:t>” means the Transacting Party and its Affiliates in existence immediately prior to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of Control.</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Section 3.9 (Change of Control) </w:t>
      </w:r>
      <w:r>
        <w:rPr>
          <w:rFonts w:ascii="Times New Roman" w:cs="Times New Roman" w:eastAsia="Times New Roman" w:hAnsi="Times New Roman"/>
          <w:sz w:val="18"/>
          <w:szCs w:val="18"/>
          <w:color w:val="auto"/>
        </w:rPr>
        <w:t>of the Original Agreement is replaced in its entirety with the following:</w:t>
      </w:r>
    </w:p>
    <w:p>
      <w:pPr>
        <w:spacing w:after="0" w:line="217" w:lineRule="exact"/>
        <w:rPr>
          <w:sz w:val="20"/>
          <w:szCs w:val="20"/>
          <w:color w:val="auto"/>
        </w:rPr>
      </w:pPr>
    </w:p>
    <w:p>
      <w:pPr>
        <w:ind w:left="440" w:right="320" w:firstLine="415"/>
        <w:spacing w:after="0" w:line="271" w:lineRule="auto"/>
        <w:rPr>
          <w:sz w:val="20"/>
          <w:szCs w:val="20"/>
          <w:color w:val="auto"/>
        </w:rPr>
      </w:pPr>
      <w:r>
        <w:rPr>
          <w:rFonts w:ascii="Times New Roman" w:cs="Times New Roman" w:eastAsia="Times New Roman" w:hAnsi="Times New Roman"/>
          <w:sz w:val="17"/>
          <w:szCs w:val="17"/>
          <w:b w:val="1"/>
          <w:bCs w:val="1"/>
          <w:color w:val="auto"/>
        </w:rPr>
        <w:t>3.9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Change of Control</w:t>
      </w:r>
      <w:r>
        <w:rPr>
          <w:rFonts w:ascii="Times New Roman" w:cs="Times New Roman" w:eastAsia="Times New Roman" w:hAnsi="Times New Roman"/>
          <w:sz w:val="17"/>
          <w:szCs w:val="17"/>
          <w:color w:val="auto"/>
        </w:rPr>
        <w:t>. In the event of a Change of Control of CG (or successor entity thereto, applying the definition of Change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Control to such successor in place of CG), and the Transacting Party Group is either (a) engaged in the research, development, manufacture or commercialization of any Competing Product (as of the effective date of such Change of Control or at any time during the Term) or (b) a Peer Pharmaceutical Company, Kissei may (without limiting Kissei’s rights under this Agreement, including under </w:t>
      </w:r>
      <w:r>
        <w:rPr>
          <w:rFonts w:ascii="Times New Roman" w:cs="Times New Roman" w:eastAsia="Times New Roman" w:hAnsi="Times New Roman"/>
          <w:sz w:val="17"/>
          <w:szCs w:val="17"/>
          <w:b w:val="1"/>
          <w:bCs w:val="1"/>
          <w:color w:val="auto"/>
        </w:rPr>
        <w:t>Section 14.5 (Termination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Will)) </w:t>
      </w:r>
      <w:r>
        <w:rPr>
          <w:rFonts w:ascii="Times New Roman" w:cs="Times New Roman" w:eastAsia="Times New Roman" w:hAnsi="Times New Roman"/>
          <w:sz w:val="17"/>
          <w:szCs w:val="17"/>
          <w:color w:val="auto"/>
        </w:rPr>
        <w:t>elect to take any or all of the following actions set forth in</w:t>
      </w:r>
      <w:r>
        <w:rPr>
          <w:rFonts w:ascii="Times New Roman" w:cs="Times New Roman" w:eastAsia="Times New Roman" w:hAnsi="Times New Roman"/>
          <w:sz w:val="17"/>
          <w:szCs w:val="17"/>
          <w:b w:val="1"/>
          <w:bCs w:val="1"/>
          <w:color w:val="auto"/>
        </w:rPr>
        <w:t xml:space="preserve"> Sections 3.9.1 (Change of Control) </w:t>
      </w:r>
      <w:r>
        <w:rPr>
          <w:rFonts w:ascii="Times New Roman" w:cs="Times New Roman" w:eastAsia="Times New Roman" w:hAnsi="Times New Roman"/>
          <w:sz w:val="17"/>
          <w:szCs w:val="17"/>
          <w:color w:val="auto"/>
        </w:rPr>
        <w:t>and/or</w:t>
      </w:r>
      <w:r>
        <w:rPr>
          <w:rFonts w:ascii="Times New Roman" w:cs="Times New Roman" w:eastAsia="Times New Roman" w:hAnsi="Times New Roman"/>
          <w:sz w:val="17"/>
          <w:szCs w:val="17"/>
          <w:b w:val="1"/>
          <w:bCs w:val="1"/>
          <w:color w:val="auto"/>
        </w:rPr>
        <w:t xml:space="preserve"> 3.9.2 (Change of Control)</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440" w:firstLine="934"/>
        <w:spacing w:after="0" w:line="249" w:lineRule="auto"/>
        <w:rPr>
          <w:sz w:val="20"/>
          <w:szCs w:val="20"/>
          <w:color w:val="auto"/>
        </w:rPr>
      </w:pPr>
      <w:r>
        <w:rPr>
          <w:rFonts w:ascii="Times New Roman" w:cs="Times New Roman" w:eastAsia="Times New Roman" w:hAnsi="Times New Roman"/>
          <w:sz w:val="18"/>
          <w:szCs w:val="18"/>
          <w:b w:val="1"/>
          <w:bCs w:val="1"/>
          <w:color w:val="auto"/>
        </w:rPr>
        <w:t>3.9.1</w:t>
      </w:r>
      <w:r>
        <w:rPr>
          <w:rFonts w:ascii="Times New Roman" w:cs="Times New Roman" w:eastAsia="Times New Roman" w:hAnsi="Times New Roman"/>
          <w:sz w:val="18"/>
          <w:szCs w:val="18"/>
          <w:color w:val="auto"/>
        </w:rPr>
        <w:t xml:space="preserve">  provide written notice to CG (or its successor entity) terminating the provisions of this</w:t>
      </w:r>
      <w:r>
        <w:rPr>
          <w:rFonts w:ascii="Times New Roman" w:cs="Times New Roman" w:eastAsia="Times New Roman" w:hAnsi="Times New Roman"/>
          <w:sz w:val="18"/>
          <w:szCs w:val="18"/>
          <w:b w:val="1"/>
          <w:bCs w:val="1"/>
          <w:color w:val="auto"/>
        </w:rPr>
        <w:t xml:space="preserve"> Article 3 (Governance) </w:t>
      </w:r>
      <w:r>
        <w:rPr>
          <w:rFonts w:ascii="Times New Roman" w:cs="Times New Roman" w:eastAsia="Times New Roman" w:hAnsi="Times New Roman"/>
          <w:sz w:val="18"/>
          <w:szCs w:val="18"/>
          <w:color w:val="auto"/>
        </w:rPr>
        <w:t>in whole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 and upon such notice (a) except with respect to </w:t>
      </w:r>
      <w:r>
        <w:rPr>
          <w:rFonts w:ascii="Times New Roman" w:cs="Times New Roman" w:eastAsia="Times New Roman" w:hAnsi="Times New Roman"/>
          <w:sz w:val="18"/>
          <w:szCs w:val="18"/>
          <w:b w:val="1"/>
          <w:bCs w:val="1"/>
          <w:color w:val="auto"/>
        </w:rPr>
        <w:t>Section 3.6 (JDC Decision Making)</w:t>
      </w:r>
      <w:r>
        <w:rPr>
          <w:rFonts w:ascii="Times New Roman" w:cs="Times New Roman" w:eastAsia="Times New Roman" w:hAnsi="Times New Roman"/>
          <w:sz w:val="18"/>
          <w:szCs w:val="18"/>
          <w:color w:val="auto"/>
        </w:rPr>
        <w:t xml:space="preserve"> as discussed in this </w:t>
      </w:r>
      <w:r>
        <w:rPr>
          <w:rFonts w:ascii="Times New Roman" w:cs="Times New Roman" w:eastAsia="Times New Roman" w:hAnsi="Times New Roman"/>
          <w:sz w:val="18"/>
          <w:szCs w:val="18"/>
          <w:b w:val="1"/>
          <w:bCs w:val="1"/>
          <w:color w:val="auto"/>
        </w:rPr>
        <w:t>Section 3.9.1</w:t>
      </w:r>
      <w:r>
        <w:rPr>
          <w:rFonts w:ascii="Times New Roman" w:cs="Times New Roman" w:eastAsia="Times New Roman" w:hAnsi="Times New Roman"/>
          <w:sz w:val="18"/>
          <w:szCs w:val="18"/>
          <w:color w:val="auto"/>
        </w:rPr>
        <w:t xml:space="preserve">, neither Party will be obligated under the terminated provisions of this </w:t>
      </w:r>
      <w:r>
        <w:rPr>
          <w:rFonts w:ascii="Times New Roman" w:cs="Times New Roman" w:eastAsia="Times New Roman" w:hAnsi="Times New Roman"/>
          <w:sz w:val="18"/>
          <w:szCs w:val="18"/>
          <w:b w:val="1"/>
          <w:bCs w:val="1"/>
          <w:color w:val="auto"/>
        </w:rPr>
        <w:t>Article 3 (Governance)</w:t>
      </w:r>
      <w:r>
        <w:rPr>
          <w:rFonts w:ascii="Times New Roman" w:cs="Times New Roman" w:eastAsia="Times New Roman" w:hAnsi="Times New Roman"/>
          <w:sz w:val="18"/>
          <w:szCs w:val="18"/>
          <w:color w:val="auto"/>
        </w:rPr>
        <w:t xml:space="preserve"> for the remainder of the Term, (b) any information, documents or reports that a Party is otherwise required to provide to the working groups or JDC pursuant to the terminated provisions of this </w:t>
      </w:r>
      <w:r>
        <w:rPr>
          <w:rFonts w:ascii="Times New Roman" w:cs="Times New Roman" w:eastAsia="Times New Roman" w:hAnsi="Times New Roman"/>
          <w:sz w:val="18"/>
          <w:szCs w:val="18"/>
          <w:b w:val="1"/>
          <w:bCs w:val="1"/>
          <w:color w:val="auto"/>
        </w:rPr>
        <w:t>Article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(Governance)</w:t>
      </w:r>
      <w:r>
        <w:rPr>
          <w:rFonts w:ascii="Times New Roman" w:cs="Times New Roman" w:eastAsia="Times New Roman" w:hAnsi="Times New Roman"/>
          <w:sz w:val="18"/>
          <w:szCs w:val="18"/>
          <w:color w:val="auto"/>
        </w:rPr>
        <w:t>, as applicable, shall be provided directly to the other Party, (c) Kissei’s obligations to provide the annual progress reports under</w:t>
      </w:r>
      <w:r>
        <w:rPr>
          <w:rFonts w:ascii="Times New Roman" w:cs="Times New Roman" w:eastAsia="Times New Roman" w:hAnsi="Times New Roman"/>
          <w:sz w:val="18"/>
          <w:szCs w:val="18"/>
          <w:b w:val="1"/>
          <w:bCs w:val="1"/>
          <w:color w:val="auto"/>
        </w:rPr>
        <w:t xml:space="preserve"> Section 6.2 (Progress Reports) </w:t>
      </w:r>
      <w:r>
        <w:rPr>
          <w:rFonts w:ascii="Times New Roman" w:cs="Times New Roman" w:eastAsia="Times New Roman" w:hAnsi="Times New Roman"/>
          <w:sz w:val="18"/>
          <w:szCs w:val="18"/>
          <w:color w:val="auto"/>
        </w:rPr>
        <w:t>shall be limited to high-level information regarding the status of Products (including Marketing Approvals)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commercialization as of the end of the preceding calendar year, and (d) any matters delegated to the working groups or JDC pursuant to the terminated provisions of this </w:t>
      </w:r>
      <w:r>
        <w:rPr>
          <w:rFonts w:ascii="Times New Roman" w:cs="Times New Roman" w:eastAsia="Times New Roman" w:hAnsi="Times New Roman"/>
          <w:sz w:val="18"/>
          <w:szCs w:val="18"/>
          <w:b w:val="1"/>
          <w:bCs w:val="1"/>
          <w:color w:val="auto"/>
        </w:rPr>
        <w:t>Article 3 (Governance)</w:t>
      </w:r>
      <w:r>
        <w:rPr>
          <w:rFonts w:ascii="Times New Roman" w:cs="Times New Roman" w:eastAsia="Times New Roman" w:hAnsi="Times New Roman"/>
          <w:sz w:val="18"/>
          <w:szCs w:val="18"/>
          <w:color w:val="auto"/>
        </w:rPr>
        <w:t xml:space="preserve">, as applicable, shall be made by mutual agreement of the Parties, subject to the decision-making and dispute resolution provisions of </w:t>
      </w:r>
      <w:r>
        <w:rPr>
          <w:rFonts w:ascii="Times New Roman" w:cs="Times New Roman" w:eastAsia="Times New Roman" w:hAnsi="Times New Roman"/>
          <w:sz w:val="18"/>
          <w:szCs w:val="18"/>
          <w:b w:val="1"/>
          <w:bCs w:val="1"/>
          <w:color w:val="auto"/>
        </w:rPr>
        <w:t>Section 3.6 (JDC Decision-Making)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Article 15 (Dispute Resolution)</w:t>
      </w:r>
      <w:r>
        <w:rPr>
          <w:rFonts w:ascii="Times New Roman" w:cs="Times New Roman" w:eastAsia="Times New Roman" w:hAnsi="Times New Roman"/>
          <w:sz w:val="18"/>
          <w:szCs w:val="18"/>
          <w:color w:val="auto"/>
        </w:rPr>
        <w:t xml:space="preserve"> with such disputes first being referred to the officers listed in </w:t>
      </w:r>
      <w:r>
        <w:rPr>
          <w:rFonts w:ascii="Times New Roman" w:cs="Times New Roman" w:eastAsia="Times New Roman" w:hAnsi="Times New Roman"/>
          <w:sz w:val="18"/>
          <w:szCs w:val="18"/>
          <w:b w:val="1"/>
          <w:bCs w:val="1"/>
          <w:color w:val="auto"/>
        </w:rPr>
        <w:t>Section 15.1 (Disputes)</w:t>
      </w:r>
      <w:r>
        <w:rPr>
          <w:rFonts w:ascii="Times New Roman" w:cs="Times New Roman" w:eastAsia="Times New Roman" w:hAnsi="Times New Roman"/>
          <w:sz w:val="18"/>
          <w:szCs w:val="18"/>
          <w:color w:val="auto"/>
        </w:rPr>
        <w:t>; or</w:t>
      </w:r>
    </w:p>
    <w:p>
      <w:pPr>
        <w:spacing w:after="0" w:line="185" w:lineRule="exact"/>
        <w:rPr>
          <w:sz w:val="20"/>
          <w:szCs w:val="20"/>
          <w:color w:val="auto"/>
        </w:rPr>
      </w:pPr>
    </w:p>
    <w:p>
      <w:pPr>
        <w:ind w:left="440" w:right="620" w:firstLine="934"/>
        <w:spacing w:after="0" w:line="276" w:lineRule="auto"/>
        <w:rPr>
          <w:sz w:val="20"/>
          <w:szCs w:val="20"/>
          <w:color w:val="auto"/>
        </w:rPr>
      </w:pPr>
      <w:r>
        <w:rPr>
          <w:rFonts w:ascii="Times New Roman" w:cs="Times New Roman" w:eastAsia="Times New Roman" w:hAnsi="Times New Roman"/>
          <w:sz w:val="18"/>
          <w:szCs w:val="18"/>
          <w:b w:val="1"/>
          <w:bCs w:val="1"/>
          <w:color w:val="auto"/>
        </w:rPr>
        <w:t>3.9.2</w:t>
      </w:r>
      <w:r>
        <w:rPr>
          <w:rFonts w:ascii="Times New Roman" w:cs="Times New Roman" w:eastAsia="Times New Roman" w:hAnsi="Times New Roman"/>
          <w:sz w:val="18"/>
          <w:szCs w:val="18"/>
          <w:color w:val="auto"/>
        </w:rPr>
        <w:t xml:space="preserve">  provide written notice to CG (or its successor entity) terminating the provisions of</w:t>
      </w:r>
      <w:r>
        <w:rPr>
          <w:rFonts w:ascii="Times New Roman" w:cs="Times New Roman" w:eastAsia="Times New Roman" w:hAnsi="Times New Roman"/>
          <w:sz w:val="18"/>
          <w:szCs w:val="18"/>
          <w:b w:val="1"/>
          <w:bCs w:val="1"/>
          <w:color w:val="auto"/>
        </w:rPr>
        <w:t xml:space="preserve"> Sections 2.1 (General)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or 2.2 (Certain Activities)</w:t>
      </w:r>
      <w:r>
        <w:rPr>
          <w:rFonts w:ascii="Times New Roman" w:cs="Times New Roman" w:eastAsia="Times New Roman" w:hAnsi="Times New Roman"/>
          <w:sz w:val="18"/>
          <w:szCs w:val="18"/>
          <w:color w:val="auto"/>
        </w:rPr>
        <w:t>, in whole or in part, without relieving either Party of any obligation that accrued under any such section prior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0"/>
          </w:cols>
          <w:pgMar w:left="540" w:top="265" w:right="559" w:bottom="1440" w:gutter="0" w:footer="0" w:header="0"/>
        </w:sectPr>
      </w:pPr>
    </w:p>
    <w:bookmarkStart w:id="537" w:name="page538"/>
    <w:bookmarkEnd w:id="537"/>
    <w:p>
      <w:pPr>
        <w:ind w:left="10"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to such termination. If Kissei provides a notice to CG under this </w:t>
      </w:r>
      <w:r>
        <w:rPr>
          <w:rFonts w:ascii="Times New Roman" w:cs="Times New Roman" w:eastAsia="Times New Roman" w:hAnsi="Times New Roman"/>
          <w:sz w:val="18"/>
          <w:szCs w:val="18"/>
          <w:b w:val="1"/>
          <w:bCs w:val="1"/>
          <w:color w:val="auto"/>
        </w:rPr>
        <w:t>Section 3.9.2 (Change of Control)</w:t>
      </w:r>
      <w:r>
        <w:rPr>
          <w:rFonts w:ascii="Times New Roman" w:cs="Times New Roman" w:eastAsia="Times New Roman" w:hAnsi="Times New Roman"/>
          <w:sz w:val="18"/>
          <w:szCs w:val="18"/>
          <w:color w:val="auto"/>
        </w:rPr>
        <w:t>, CG shall as soon as reasonably practicable transfer and assign to Kissei all data, Marketing Approvals and regulatory documentation with respect to the Products in the Territory and a copy of all of the data with respect to the Products in the Territory, including all data comprising the global safety database for the Products and any related Companion Diagnostics.</w:t>
      </w:r>
    </w:p>
    <w:p>
      <w:pPr>
        <w:spacing w:after="0" w:line="177" w:lineRule="exact"/>
        <w:rPr>
          <w:sz w:val="20"/>
          <w:szCs w:val="20"/>
          <w:color w:val="auto"/>
        </w:rPr>
      </w:pPr>
    </w:p>
    <w:p>
      <w:pPr>
        <w:ind w:left="10" w:right="40" w:firstLine="934"/>
        <w:spacing w:after="0" w:line="252" w:lineRule="auto"/>
        <w:rPr>
          <w:sz w:val="20"/>
          <w:szCs w:val="20"/>
          <w:color w:val="auto"/>
        </w:rPr>
      </w:pPr>
      <w:r>
        <w:rPr>
          <w:rFonts w:ascii="Times New Roman" w:cs="Times New Roman" w:eastAsia="Times New Roman" w:hAnsi="Times New Roman"/>
          <w:sz w:val="18"/>
          <w:szCs w:val="18"/>
          <w:b w:val="1"/>
          <w:bCs w:val="1"/>
          <w:color w:val="auto"/>
        </w:rPr>
        <w:t>3.9.3</w:t>
      </w:r>
      <w:r>
        <w:rPr>
          <w:rFonts w:ascii="Times New Roman" w:cs="Times New Roman" w:eastAsia="Times New Roman" w:hAnsi="Times New Roman"/>
          <w:sz w:val="18"/>
          <w:szCs w:val="18"/>
          <w:color w:val="auto"/>
        </w:rPr>
        <w:t xml:space="preserve">  Notwithstanding the foregoing, Kissei shall not have the right to take any of the actions set forth in</w:t>
      </w:r>
      <w:r>
        <w:rPr>
          <w:rFonts w:ascii="Times New Roman" w:cs="Times New Roman" w:eastAsia="Times New Roman" w:hAnsi="Times New Roman"/>
          <w:sz w:val="18"/>
          <w:szCs w:val="18"/>
          <w:b w:val="1"/>
          <w:bCs w:val="1"/>
          <w:color w:val="auto"/>
        </w:rPr>
        <w:t xml:space="preserve"> Section 3.9.1 (Change of Control)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3.9.2 (Change of Control) </w:t>
      </w:r>
      <w:r>
        <w:rPr>
          <w:rFonts w:ascii="Times New Roman" w:cs="Times New Roman" w:eastAsia="Times New Roman" w:hAnsi="Times New Roman"/>
          <w:sz w:val="18"/>
          <w:szCs w:val="18"/>
          <w:color w:val="auto"/>
        </w:rPr>
        <w:t>so long as (a) no unpublished CG Patents or unpublished CG Know-How that is used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of activities under the Development Program, and no Kissei IP and Confidential Information, and no Collaboration IP is used by such Transacting Party Group in the research, development, manufacture, sale, marketing, promotion or distribution of any Competing Product,</w:t>
      </w:r>
    </w:p>
    <w:p>
      <w:pPr>
        <w:ind w:left="10" w:hanging="10"/>
        <w:spacing w:after="0" w:line="246" w:lineRule="auto"/>
        <w:tabs>
          <w:tab w:leader="none" w:pos="26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personnel of the CG Group do not remain employed by such Transacting Party Group following the closing of such Change of Control, (c) such Transacting Party Group segregates any remaining CG Group personnel who remain employed by the Transacting Party Group for any period following closing of such Change of Control from all programs of such Transacting Party Group directed to the (i) research, development, manufacture, sale, marketing, promotion or distribution of any Competing Product or (ii) research, development, manufacture, sale, marketing, promotion or distribution of any product for the diagnosis, prevention, or treatment of any of the Indications covered by any Development Plan under this Agreement, and (d) if such Transacting Party Group is a Peer Pharmaceutical Company, CG’s JDC, JPWG and other working group representatives remain employees or contractors solely of the CG Group (and not such Transacting Party Group) or are otherwise no longer employed by the CG Group and not hired by the Transacting Party Group.</w:t>
      </w:r>
    </w:p>
    <w:p>
      <w:pPr>
        <w:spacing w:after="0" w:line="1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Section 4.3.1 (Exclusivity) of the Original Agreement </w:t>
      </w:r>
      <w:r>
        <w:rPr>
          <w:rFonts w:ascii="Times New Roman" w:cs="Times New Roman" w:eastAsia="Times New Roman" w:hAnsi="Times New Roman"/>
          <w:sz w:val="18"/>
          <w:szCs w:val="18"/>
          <w:color w:val="auto"/>
        </w:rPr>
        <w:t>is replaced in its entirety with the following:</w:t>
      </w:r>
    </w:p>
    <w:p>
      <w:pPr>
        <w:spacing w:after="0" w:line="217" w:lineRule="exact"/>
        <w:rPr>
          <w:sz w:val="20"/>
          <w:szCs w:val="20"/>
          <w:color w:val="auto"/>
        </w:rPr>
      </w:pPr>
    </w:p>
    <w:p>
      <w:pPr>
        <w:ind w:left="10" w:right="20" w:firstLine="934"/>
        <w:spacing w:after="0" w:line="273" w:lineRule="auto"/>
        <w:rPr>
          <w:sz w:val="20"/>
          <w:szCs w:val="20"/>
          <w:color w:val="auto"/>
        </w:rPr>
      </w:pPr>
      <w:r>
        <w:rPr>
          <w:rFonts w:ascii="Times New Roman" w:cs="Times New Roman" w:eastAsia="Times New Roman" w:hAnsi="Times New Roman"/>
          <w:sz w:val="17"/>
          <w:szCs w:val="17"/>
          <w:b w:val="1"/>
          <w:bCs w:val="1"/>
          <w:color w:val="auto"/>
        </w:rPr>
        <w:t>4.3.1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CG Exclusivity</w:t>
      </w:r>
      <w:r>
        <w:rPr>
          <w:rFonts w:ascii="Times New Roman" w:cs="Times New Roman" w:eastAsia="Times New Roman" w:hAnsi="Times New Roman"/>
          <w:sz w:val="17"/>
          <w:szCs w:val="17"/>
          <w:color w:val="auto"/>
        </w:rPr>
        <w:t>. For a period beginning on the Effective Date and concluding [***] following first Marketing Approval for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Product, neither CG nor any of its Affiliates (which Affiliates shall not include a Transacting Party Group for so long as the conditions set forth in</w:t>
      </w:r>
    </w:p>
    <w:p>
      <w:pPr>
        <w:spacing w:after="0" w:line="1" w:lineRule="exact"/>
        <w:rPr>
          <w:sz w:val="20"/>
          <w:szCs w:val="20"/>
          <w:color w:val="auto"/>
        </w:rPr>
      </w:pPr>
    </w:p>
    <w:p>
      <w:pPr>
        <w:jc w:val="both"/>
        <w:ind w:left="10" w:right="200" w:hanging="10"/>
        <w:spacing w:after="0" w:line="248" w:lineRule="auto"/>
        <w:tabs>
          <w:tab w:leader="none" w:pos="25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(d) of </w:t>
      </w:r>
      <w:r>
        <w:rPr>
          <w:rFonts w:ascii="Times New Roman" w:cs="Times New Roman" w:eastAsia="Times New Roman" w:hAnsi="Times New Roman"/>
          <w:sz w:val="18"/>
          <w:szCs w:val="18"/>
          <w:b w:val="1"/>
          <w:bCs w:val="1"/>
          <w:color w:val="auto"/>
        </w:rPr>
        <w:t>Section 3.9.3 (Change of Control)</w:t>
      </w:r>
      <w:r>
        <w:rPr>
          <w:rFonts w:ascii="Times New Roman" w:cs="Times New Roman" w:eastAsia="Times New Roman" w:hAnsi="Times New Roman"/>
          <w:sz w:val="18"/>
          <w:szCs w:val="18"/>
          <w:color w:val="auto"/>
        </w:rPr>
        <w:t xml:space="preserve"> remain satisfied) shall: (a) promote, market, distribute, sell or otherwise commercialize a Competing Product; or (b) either directly or indirectly, appoint, license, or otherwise authorize or facilitate any Third Party, whether pursuant to such appointment, license or otherwise, to perform any of the activities set forth in the foregoing clause (a).</w:t>
      </w:r>
    </w:p>
    <w:p>
      <w:pPr>
        <w:spacing w:after="0" w:line="1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Section 7.5.7 (Royalty Buy-Out) of the Original Agreement </w:t>
      </w:r>
      <w:r>
        <w:rPr>
          <w:rFonts w:ascii="Times New Roman" w:cs="Times New Roman" w:eastAsia="Times New Roman" w:hAnsi="Times New Roman"/>
          <w:sz w:val="18"/>
          <w:szCs w:val="18"/>
          <w:color w:val="auto"/>
        </w:rPr>
        <w:t>is replaced in its entirety with the following:</w:t>
      </w:r>
    </w:p>
    <w:p>
      <w:pPr>
        <w:spacing w:after="0" w:line="217"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8"/>
          <w:szCs w:val="18"/>
          <w:b w:val="1"/>
          <w:bCs w:val="1"/>
          <w:color w:val="auto"/>
        </w:rPr>
        <w:t>7.5.7   Royalty Buy-Out.</w:t>
      </w:r>
    </w:p>
    <w:p>
      <w:pPr>
        <w:spacing w:after="0" w:line="217" w:lineRule="exact"/>
        <w:rPr>
          <w:sz w:val="20"/>
          <w:szCs w:val="20"/>
          <w:color w:val="auto"/>
        </w:rPr>
      </w:pPr>
    </w:p>
    <w:p>
      <w:pPr>
        <w:ind w:left="10" w:right="100" w:firstLine="934"/>
        <w:spacing w:after="0" w:line="261"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Change of Control</w:t>
      </w:r>
      <w:r>
        <w:rPr>
          <w:rFonts w:ascii="Times New Roman" w:cs="Times New Roman" w:eastAsia="Times New Roman" w:hAnsi="Times New Roman"/>
          <w:sz w:val="18"/>
          <w:szCs w:val="18"/>
          <w:color w:val="auto"/>
        </w:rPr>
        <w:t>. In the event of a Change of Control of CG during the Term, CG shall have the right to pay Kissei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lump-sum in order to terminate CG’s obligation to pay Kissei royalties pursuant to </w:t>
      </w:r>
      <w:r>
        <w:rPr>
          <w:rFonts w:ascii="Times New Roman" w:cs="Times New Roman" w:eastAsia="Times New Roman" w:hAnsi="Times New Roman"/>
          <w:sz w:val="18"/>
          <w:szCs w:val="18"/>
          <w:b w:val="1"/>
          <w:bCs w:val="1"/>
          <w:color w:val="auto"/>
        </w:rPr>
        <w:t>Section 7.5.1 (Products in CG Territory)</w:t>
      </w:r>
      <w:r>
        <w:rPr>
          <w:rFonts w:ascii="Times New Roman" w:cs="Times New Roman" w:eastAsia="Times New Roman" w:hAnsi="Times New Roman"/>
          <w:sz w:val="18"/>
          <w:szCs w:val="18"/>
          <w:color w:val="auto"/>
        </w:rPr>
        <w:t xml:space="preserve"> and convert all licenses in </w:t>
      </w:r>
      <w:r>
        <w:rPr>
          <w:rFonts w:ascii="Times New Roman" w:cs="Times New Roman" w:eastAsia="Times New Roman" w:hAnsi="Times New Roman"/>
          <w:sz w:val="18"/>
          <w:szCs w:val="18"/>
          <w:b w:val="1"/>
          <w:bCs w:val="1"/>
          <w:color w:val="auto"/>
        </w:rPr>
        <w:t>Section 4.2 (License Grants to CG)</w:t>
      </w:r>
      <w:r>
        <w:rPr>
          <w:rFonts w:ascii="Times New Roman" w:cs="Times New Roman" w:eastAsia="Times New Roman" w:hAnsi="Times New Roman"/>
          <w:sz w:val="18"/>
          <w:szCs w:val="18"/>
          <w:color w:val="auto"/>
        </w:rPr>
        <w:t xml:space="preserve"> into fully-paid licenses (the “</w:t>
      </w:r>
      <w:r>
        <w:rPr>
          <w:rFonts w:ascii="Times New Roman" w:cs="Times New Roman" w:eastAsia="Times New Roman" w:hAnsi="Times New Roman"/>
          <w:sz w:val="18"/>
          <w:szCs w:val="18"/>
          <w:b w:val="1"/>
          <w:bCs w:val="1"/>
          <w:color w:val="auto"/>
        </w:rPr>
        <w:t>Buy-Out Option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9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350"/>
          </w:cols>
          <w:pgMar w:left="970" w:top="265" w:right="579" w:bottom="1440" w:gutter="0" w:footer="0" w:header="0"/>
        </w:sectPr>
      </w:pPr>
    </w:p>
    <w:bookmarkStart w:id="538" w:name="page539"/>
    <w:bookmarkEnd w:id="538"/>
    <w:p>
      <w:pPr>
        <w:ind w:right="20" w:firstLine="934"/>
        <w:spacing w:after="0" w:line="266"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Exercise</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b w:val="1"/>
          <w:bCs w:val="1"/>
          <w:color w:val="auto"/>
        </w:rPr>
        <w:t xml:space="preserve"> Section 7.5.7(d) (No Obligation)</w:t>
      </w:r>
      <w:r>
        <w:rPr>
          <w:rFonts w:ascii="Times New Roman" w:cs="Times New Roman" w:eastAsia="Times New Roman" w:hAnsi="Times New Roman"/>
          <w:sz w:val="17"/>
          <w:szCs w:val="17"/>
          <w:color w:val="auto"/>
        </w:rPr>
        <w:t>, CG, itself or through a member of the Transacting Party Group,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notify Kissei in writing if CG wishes to exercise its Buy-Out Option (“</w:t>
      </w:r>
      <w:r>
        <w:rPr>
          <w:rFonts w:ascii="Times New Roman" w:cs="Times New Roman" w:eastAsia="Times New Roman" w:hAnsi="Times New Roman"/>
          <w:sz w:val="17"/>
          <w:szCs w:val="17"/>
          <w:b w:val="1"/>
          <w:bCs w:val="1"/>
          <w:color w:val="auto"/>
        </w:rPr>
        <w:t>Election Notice</w:t>
      </w:r>
      <w:r>
        <w:rPr>
          <w:rFonts w:ascii="Times New Roman" w:cs="Times New Roman" w:eastAsia="Times New Roman" w:hAnsi="Times New Roman"/>
          <w:sz w:val="17"/>
          <w:szCs w:val="17"/>
          <w:color w:val="auto"/>
        </w:rPr>
        <w:t xml:space="preserve">”). If CG provides an Election Notice to Kissei, the amount payable by CG to Kissei in consideration for the Buy-Out Option, which shall be the fair market value, shall be determined by a Valuation Firm in accordance with </w:t>
      </w:r>
      <w:r>
        <w:rPr>
          <w:rFonts w:ascii="Times New Roman" w:cs="Times New Roman" w:eastAsia="Times New Roman" w:hAnsi="Times New Roman"/>
          <w:sz w:val="17"/>
          <w:szCs w:val="17"/>
          <w:b w:val="1"/>
          <w:bCs w:val="1"/>
          <w:color w:val="auto"/>
        </w:rPr>
        <w:t>Section 7.5.7(c) (Valuation Firm)</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Buy-Out Option Price</w:t>
      </w:r>
      <w:r>
        <w:rPr>
          <w:rFonts w:ascii="Times New Roman" w:cs="Times New Roman" w:eastAsia="Times New Roman" w:hAnsi="Times New Roman"/>
          <w:sz w:val="17"/>
          <w:szCs w:val="17"/>
          <w:color w:val="auto"/>
        </w:rPr>
        <w:t xml:space="preserve">”). Following payment of the Buy-Out Option Price, which shall be within [***] from the date when the report described in </w:t>
      </w:r>
      <w:r>
        <w:rPr>
          <w:rFonts w:ascii="Times New Roman" w:cs="Times New Roman" w:eastAsia="Times New Roman" w:hAnsi="Times New Roman"/>
          <w:sz w:val="17"/>
          <w:szCs w:val="17"/>
          <w:b w:val="1"/>
          <w:bCs w:val="1"/>
          <w:color w:val="auto"/>
        </w:rPr>
        <w:t>Section 7.5.7(c) (Valuation Firm)</w:t>
      </w:r>
      <w:r>
        <w:rPr>
          <w:rFonts w:ascii="Times New Roman" w:cs="Times New Roman" w:eastAsia="Times New Roman" w:hAnsi="Times New Roman"/>
          <w:sz w:val="17"/>
          <w:szCs w:val="17"/>
          <w:color w:val="auto"/>
        </w:rPr>
        <w:t xml:space="preserve"> indicating the amount of the Buy-Out Option Price is received by Kissei, CG’s obligations under </w:t>
      </w:r>
      <w:r>
        <w:rPr>
          <w:rFonts w:ascii="Times New Roman" w:cs="Times New Roman" w:eastAsia="Times New Roman" w:hAnsi="Times New Roman"/>
          <w:sz w:val="17"/>
          <w:szCs w:val="17"/>
          <w:b w:val="1"/>
          <w:bCs w:val="1"/>
          <w:color w:val="auto"/>
        </w:rPr>
        <w:t>Section 7.5 (Royalty Payments for Products by CG)</w:t>
      </w:r>
      <w:r>
        <w:rPr>
          <w:rFonts w:ascii="Times New Roman" w:cs="Times New Roman" w:eastAsia="Times New Roman" w:hAnsi="Times New Roman"/>
          <w:sz w:val="17"/>
          <w:szCs w:val="17"/>
          <w:color w:val="auto"/>
        </w:rPr>
        <w:t xml:space="preserve"> shall be terminated. CG may exercise the Buy-Out Option right only once during the Term, but CG’s non-exercise of the Buy-Out Option for any particular Change of Control does not waive the Buy-Out Option for any subsequent Change of Control. CG must provide Kissei with the Election Notice within [***] after the Change of Control occurs or the Buy-Out Option will be deemed waived solely with respect to that Change of Control.</w:t>
      </w:r>
    </w:p>
    <w:p>
      <w:pPr>
        <w:spacing w:after="0" w:line="170" w:lineRule="exact"/>
        <w:rPr>
          <w:sz w:val="20"/>
          <w:szCs w:val="20"/>
          <w:color w:val="auto"/>
        </w:rPr>
      </w:pPr>
    </w:p>
    <w:p>
      <w:pPr>
        <w:ind w:right="40" w:firstLine="934"/>
        <w:spacing w:after="0" w:line="268" w:lineRule="auto"/>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Valuation Firm</w:t>
      </w:r>
      <w:r>
        <w:rPr>
          <w:rFonts w:ascii="Times New Roman" w:cs="Times New Roman" w:eastAsia="Times New Roman" w:hAnsi="Times New Roman"/>
          <w:sz w:val="17"/>
          <w:szCs w:val="17"/>
          <w:color w:val="auto"/>
        </w:rPr>
        <w:t>. The Buy-Out Option Price shall be finally determined by a reputable, independent third-party valuation firm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Valuation Firm</w:t>
      </w:r>
      <w:r>
        <w:rPr>
          <w:rFonts w:ascii="Times New Roman" w:cs="Times New Roman" w:eastAsia="Times New Roman" w:hAnsi="Times New Roman"/>
          <w:sz w:val="17"/>
          <w:szCs w:val="17"/>
          <w:color w:val="auto"/>
        </w:rPr>
        <w:t xml:space="preserve">”), at CG’s expense. Following Kissei’s receipt of the Election Notice, the Parties shall mutually agree upon a list of no more than [***] valuation firms, and CG shall have the sole right to choose the Valuation Firm from such list; provided that if the Parties, using good faith efforts, cannot agree on a list within [***] of the Election Notice, CG shall choose the Valuation Firm. Prior to disclosing any Confidential Information to the Valuation Firm, CG, alone or in a three-way agreement with Kissei, at Kissei’s reasonable option, shall enter into a confidentiality agreement consistent with </w:t>
      </w:r>
      <w:r>
        <w:rPr>
          <w:rFonts w:ascii="Times New Roman" w:cs="Times New Roman" w:eastAsia="Times New Roman" w:hAnsi="Times New Roman"/>
          <w:sz w:val="17"/>
          <w:szCs w:val="17"/>
          <w:b w:val="1"/>
          <w:bCs w:val="1"/>
          <w:color w:val="auto"/>
        </w:rPr>
        <w:t>Article 10 (Confidentiality)</w:t>
      </w:r>
      <w:r>
        <w:rPr>
          <w:rFonts w:ascii="Times New Roman" w:cs="Times New Roman" w:eastAsia="Times New Roman" w:hAnsi="Times New Roman"/>
          <w:sz w:val="17"/>
          <w:szCs w:val="17"/>
          <w:color w:val="auto"/>
        </w:rPr>
        <w:t xml:space="preserve"> to facilitate disclosure of information to the Valuation Firm. The Valuation Firm shall develop and deliver a report of evidencing its calculations of the Buy-Out Option Price, in accordance with </w:t>
      </w:r>
      <w:r>
        <w:rPr>
          <w:rFonts w:ascii="Times New Roman" w:cs="Times New Roman" w:eastAsia="Times New Roman" w:hAnsi="Times New Roman"/>
          <w:sz w:val="17"/>
          <w:szCs w:val="17"/>
          <w:b w:val="1"/>
          <w:bCs w:val="1"/>
          <w:color w:val="auto"/>
        </w:rPr>
        <w:t>Schedule 7.5.7</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firstLine="934"/>
        <w:spacing w:after="0" w:line="256"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Obligation</w:t>
      </w:r>
      <w:r>
        <w:rPr>
          <w:rFonts w:ascii="Times New Roman" w:cs="Times New Roman" w:eastAsia="Times New Roman" w:hAnsi="Times New Roman"/>
          <w:sz w:val="18"/>
          <w:szCs w:val="18"/>
          <w:color w:val="auto"/>
        </w:rPr>
        <w:t>. CG and the Transacting Party Group shall have no obligation to exercise the Buy-Out Option,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solicitation of information or pricing from a Valuation Firm shall not constitute the Election Notice. CG and the Transacting Party Group shall only have the obligation to pay the Buy-Out Option Price to Kissei once CG or the Transacting Party Group provides the Election Notice to Kissei and completes the process described in </w:t>
      </w:r>
      <w:r>
        <w:rPr>
          <w:rFonts w:ascii="Times New Roman" w:cs="Times New Roman" w:eastAsia="Times New Roman" w:hAnsi="Times New Roman"/>
          <w:sz w:val="18"/>
          <w:szCs w:val="18"/>
          <w:b w:val="1"/>
          <w:bCs w:val="1"/>
          <w:color w:val="auto"/>
        </w:rPr>
        <w:t>Section 7.5.7(c) (Valuation Firm)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Section 14.3 (Termination by Either Party for Insolvency or Bankruptcy)</w:t>
      </w:r>
      <w:r>
        <w:rPr>
          <w:rFonts w:ascii="Times New Roman" w:cs="Times New Roman" w:eastAsia="Times New Roman" w:hAnsi="Times New Roman"/>
          <w:sz w:val="18"/>
          <w:szCs w:val="18"/>
          <w:color w:val="auto"/>
        </w:rPr>
        <w:t>. Replace “</w:t>
      </w:r>
      <w:r>
        <w:rPr>
          <w:rFonts w:ascii="Times New Roman" w:cs="Times New Roman" w:eastAsia="Times New Roman" w:hAnsi="Times New Roman"/>
          <w:sz w:val="18"/>
          <w:szCs w:val="18"/>
          <w:b w:val="1"/>
          <w:bCs w:val="1"/>
          <w:color w:val="auto"/>
        </w:rPr>
        <w:t>assessor</w:t>
      </w:r>
      <w:r>
        <w:rPr>
          <w:rFonts w:ascii="Times New Roman" w:cs="Times New Roman" w:eastAsia="Times New Roman" w:hAnsi="Times New Roman"/>
          <w:sz w:val="18"/>
          <w:szCs w:val="18"/>
          <w:color w:val="auto"/>
        </w:rPr>
        <w:t>” with “</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40"/>
          </w:cols>
          <w:pgMar w:left="980" w:top="265" w:right="579" w:bottom="1440" w:gutter="0" w:footer="0" w:header="0"/>
        </w:sectPr>
      </w:pPr>
    </w:p>
    <w:bookmarkStart w:id="539" w:name="page540"/>
    <w:bookmarkEnd w:id="539"/>
    <w:p>
      <w:pPr>
        <w:ind w:right="640" w:firstLine="432"/>
        <w:spacing w:after="0" w:line="27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their duly authorized representatives to execute this First Amendment as of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Effective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570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KISSEI PHARMACEUTICAL CO., LTD.</w:t>
            </w:r>
          </w:p>
        </w:tc>
      </w:tr>
      <w:tr>
        <w:trPr>
          <w:trHeight w:val="42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Arthur Kwan</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Mutsuo Kanzawa</w:t>
            </w:r>
          </w:p>
        </w:tc>
      </w:tr>
      <w:tr>
        <w:trPr>
          <w:trHeight w:val="200"/>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444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Arthur Kuan</w:t>
            </w:r>
          </w:p>
        </w:tc>
        <w:tc>
          <w:tcPr>
            <w:tcW w:w="1200" w:type="dxa"/>
            <w:vAlign w:val="bottom"/>
          </w:tcPr>
          <w:p>
            <w:pPr>
              <w:ind w:left="640"/>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44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Mutsuo Kanzawa</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0800"/>
          </w:cols>
          <w:pgMar w:left="540" w:top="264" w:right="559" w:bottom="1440" w:gutter="0" w:footer="0" w:header="0"/>
        </w:sectPr>
      </w:pPr>
    </w:p>
    <w:bookmarkStart w:id="540" w:name="page541"/>
    <w:bookmarkEnd w:id="540"/>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19" w:lineRule="exact"/>
        <w:rPr>
          <w:sz w:val="20"/>
          <w:szCs w:val="20"/>
          <w:color w:val="auto"/>
        </w:rPr>
      </w:pPr>
    </w:p>
    <w:p>
      <w:pPr>
        <w:ind w:left="2" w:right="180" w:firstLine="432"/>
        <w:spacing w:after="0" w:line="259" w:lineRule="auto"/>
        <w:rPr>
          <w:sz w:val="20"/>
          <w:szCs w:val="20"/>
          <w:color w:val="auto"/>
        </w:rPr>
      </w:pPr>
      <w:r>
        <w:rPr>
          <w:rFonts w:ascii="Times New Roman" w:cs="Times New Roman" w:eastAsia="Times New Roman" w:hAnsi="Times New Roman"/>
          <w:sz w:val="18"/>
          <w:szCs w:val="18"/>
          <w:color w:val="auto"/>
        </w:rPr>
        <w:t>This Amended and Restated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CG Oncology,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Arthur Kuan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individually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effective as of March 15, 2023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9" w:lineRule="exact"/>
        <w:rPr>
          <w:sz w:val="20"/>
          <w:szCs w:val="20"/>
          <w:color w:val="auto"/>
        </w:rPr>
      </w:pPr>
    </w:p>
    <w:p>
      <w:pPr>
        <w:ind w:left="2" w:right="80" w:firstLine="432"/>
        <w:spacing w:after="0" w:line="274" w:lineRule="auto"/>
        <w:rPr>
          <w:sz w:val="20"/>
          <w:szCs w:val="20"/>
          <w:color w:val="auto"/>
        </w:rPr>
      </w:pPr>
      <w:r>
        <w:rPr>
          <w:rFonts w:ascii="Times New Roman" w:cs="Times New Roman" w:eastAsia="Times New Roman" w:hAnsi="Times New Roman"/>
          <w:sz w:val="18"/>
          <w:szCs w:val="18"/>
          <w:color w:val="auto"/>
        </w:rPr>
        <w:t>WHEREAS, the Company currently employs Executive as its Chief Executive Officer pursuant to an Employment Agreement between Executive and the Company dated July 20, 2022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and</w:t>
      </w:r>
    </w:p>
    <w:p>
      <w:pPr>
        <w:spacing w:after="0" w:line="16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WHEREAS, the Parties desire to amend and restate the Prior Agreement on the terms and conditions set forth herein.</w:t>
      </w:r>
    </w:p>
    <w:p>
      <w:pPr>
        <w:spacing w:after="0" w:line="217" w:lineRule="exact"/>
        <w:rPr>
          <w:sz w:val="20"/>
          <w:szCs w:val="20"/>
          <w:color w:val="auto"/>
        </w:rPr>
      </w:pPr>
    </w:p>
    <w:p>
      <w:pPr>
        <w:ind w:left="2" w:right="40" w:firstLine="432"/>
        <w:spacing w:after="0" w:line="274"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respective covenants and agreements set forth below, the Parties hereto agree as follows:</w:t>
      </w:r>
    </w:p>
    <w:p>
      <w:pPr>
        <w:spacing w:after="0" w:line="37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17" w:lineRule="exact"/>
        <w:rPr>
          <w:sz w:val="20"/>
          <w:szCs w:val="20"/>
          <w:color w:val="auto"/>
        </w:rPr>
      </w:pPr>
    </w:p>
    <w:p>
      <w:pPr>
        <w:ind w:left="182" w:hanging="182"/>
        <w:spacing w:after="0"/>
        <w:tabs>
          <w:tab w:leader="none" w:pos="182"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Employment</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right="400" w:firstLine="430"/>
        <w:spacing w:after="0" w:line="274" w:lineRule="auto"/>
        <w:tabs>
          <w:tab w:leader="none" w:pos="674"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Effective on the Effective Date, the Company shall employ Executive, and Executive shall be employed by the Company, for the period and in the positions set forth in this Section 1, and subject to the other terms and conditions herein provided.</w:t>
      </w:r>
    </w:p>
    <w:p>
      <w:pPr>
        <w:spacing w:after="0" w:line="163" w:lineRule="exact"/>
        <w:rPr>
          <w:rFonts w:ascii="Times New Roman" w:cs="Times New Roman" w:eastAsia="Times New Roman" w:hAnsi="Times New Roman"/>
          <w:sz w:val="18"/>
          <w:szCs w:val="18"/>
          <w:color w:val="auto"/>
        </w:rPr>
      </w:pPr>
    </w:p>
    <w:p>
      <w:pPr>
        <w:ind w:left="2" w:right="40" w:firstLine="430"/>
        <w:spacing w:after="0" w:line="249" w:lineRule="auto"/>
        <w:tabs>
          <w:tab w:leader="none" w:pos="684"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Section 3(b)).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severance payments, benefits, awards or compensation other than as provided in this Agreement or otherwise agreed to in writing by the Company (including pursuant to the terms of any equity award agreement) or as provided by applicable law. The term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shall commence on the Effective Date and end on the date this Agreement is terminated under Section 3.</w:t>
      </w:r>
    </w:p>
    <w:p>
      <w:pPr>
        <w:spacing w:after="0" w:line="190" w:lineRule="exact"/>
        <w:rPr>
          <w:rFonts w:ascii="Times New Roman" w:cs="Times New Roman" w:eastAsia="Times New Roman" w:hAnsi="Times New Roman"/>
          <w:sz w:val="18"/>
          <w:szCs w:val="18"/>
          <w:color w:val="auto"/>
        </w:rPr>
      </w:pPr>
    </w:p>
    <w:p>
      <w:pPr>
        <w:ind w:left="2" w:right="40" w:firstLine="430"/>
        <w:spacing w:after="0" w:line="265" w:lineRule="auto"/>
        <w:tabs>
          <w:tab w:leader="none" w:pos="674" w:val="left"/>
        </w:tabs>
        <w:numPr>
          <w:ilvl w:val="1"/>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Positions and Duties</w:t>
      </w:r>
      <w:r>
        <w:rPr>
          <w:rFonts w:ascii="Times New Roman" w:cs="Times New Roman" w:eastAsia="Times New Roman" w:hAnsi="Times New Roman"/>
          <w:sz w:val="17"/>
          <w:szCs w:val="17"/>
          <w:color w:val="auto"/>
        </w:rPr>
        <w:t>. During the Term, Executive shall serve as Chief Executive Officer of the Company, with such responsibilities, duties and authority normally associated with such position and as may from time to time be reasonably assigned to Executive by the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xml:space="preserve">”). Executive shall report to the Board.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Executive shall be permitted to (i) manage Executive’s personal, financial and legal affairs, (ii) participate in trade associations, and (iii) serve on the board of directors of not-for-profit or tax-exempt charitable organizations or, with the consent of the Board (not to be unreasonably withheld), the board of directors of non-competitive for-profit businesses, in each case, subject to compliance with this Agreement and provided that such activities do not materially interfere with Executive’s performance of Executive’s duties and responsibilities hereunder. Executive agrees to observe and comply with the reasonable rules and policies of the Company as adopted by the Company</w:t>
      </w:r>
    </w:p>
    <w:p>
      <w:pPr>
        <w:sectPr>
          <w:pgSz w:w="11900" w:h="16838" w:orient="portrait"/>
          <w:cols w:equalWidth="0" w:num="1">
            <w:col w:w="10822"/>
          </w:cols>
          <w:pgMar w:left="538" w:top="119" w:right="539" w:bottom="1440" w:gutter="0" w:footer="0" w:header="0"/>
        </w:sectPr>
      </w:pPr>
    </w:p>
    <w:bookmarkStart w:id="541" w:name="page542"/>
    <w:bookmarkEnd w:id="541"/>
    <w:p>
      <w:pPr>
        <w:ind w:left="2"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from time to time (to the extent they do not conflict with the terms of this Agreement), in each case, as amended from time to time, and as delivered or made available to Executive (each, a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The Company shall appoint Executive to the Board effective as of the Effective Date and shall renominate Executive to the Board upon expiration of his Board term during the Term. Executive’s continued employment shall not be a condition to continued service by Executive on the Board.</w:t>
      </w:r>
    </w:p>
    <w:p>
      <w:pPr>
        <w:spacing w:after="0" w:line="180" w:lineRule="exact"/>
        <w:rPr>
          <w:sz w:val="20"/>
          <w:szCs w:val="20"/>
          <w:color w:val="auto"/>
        </w:rPr>
      </w:pPr>
    </w:p>
    <w:p>
      <w:pPr>
        <w:ind w:left="2" w:right="360" w:firstLine="430"/>
        <w:spacing w:after="0" w:line="259" w:lineRule="auto"/>
        <w:tabs>
          <w:tab w:leader="none" w:pos="68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Location</w:t>
      </w:r>
      <w:r>
        <w:rPr>
          <w:rFonts w:ascii="Times New Roman" w:cs="Times New Roman" w:eastAsia="Times New Roman" w:hAnsi="Times New Roman"/>
          <w:sz w:val="18"/>
          <w:szCs w:val="18"/>
          <w:color w:val="auto"/>
        </w:rPr>
        <w:t xml:space="preserve">. During the Term, Executive shall perform the services required by this Agreement at the Company’s offices located in Irvine and/or Emeryville, California,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Parties acknowledge and agree that Executive may be required to travel to other locations as may be necessary to fulfill Executive’s duties and responsibilities hereunder.</w:t>
      </w:r>
    </w:p>
    <w:p>
      <w:pPr>
        <w:spacing w:after="0" w:line="281"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and Related Matters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firstLine="430"/>
        <w:spacing w:after="0" w:line="255" w:lineRule="auto"/>
        <w:tabs>
          <w:tab w:leader="none" w:pos="674"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During the Term, Executive shall receive a base salary at a rate initially of $450,000 per annum, which shall be paid in accordance with the customary payroll practices of the Company and shall be pro-rated for partial years of employment. Such annual base salary shall be reviewed (and may be adjusted for increase, but not decrease) from time to time (such annual base salary, as it may be adjusted from time to time, the “</w:t>
      </w: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by the Board or its compensation committee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2" w:firstLine="430"/>
        <w:spacing w:after="0" w:line="270" w:lineRule="auto"/>
        <w:tabs>
          <w:tab w:leader="none" w:pos="684" w:val="left"/>
        </w:tabs>
        <w:numPr>
          <w:ilvl w:val="1"/>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Cash Bonus Opportunity</w:t>
      </w:r>
      <w:r>
        <w:rPr>
          <w:rFonts w:ascii="Times New Roman" w:cs="Times New Roman" w:eastAsia="Times New Roman" w:hAnsi="Times New Roman"/>
          <w:sz w:val="17"/>
          <w:szCs w:val="17"/>
          <w:color w:val="auto"/>
        </w:rPr>
        <w:t>. During the Term, Executive will be eligible to participate in an annual incentive program established by the Board or Compensation Committee with target level annual incentive compensation opportunities as may be determined by the Board or Compensation Committee from time to time, but with an annual “target level” incentive bonus opportunity (the “</w:t>
      </w:r>
      <w:r>
        <w:rPr>
          <w:rFonts w:ascii="Times New Roman" w:cs="Times New Roman" w:eastAsia="Times New Roman" w:hAnsi="Times New Roman"/>
          <w:sz w:val="17"/>
          <w:szCs w:val="17"/>
          <w:u w:val="single" w:color="auto"/>
          <w:color w:val="auto"/>
        </w:rPr>
        <w:t>Target Bonus</w:t>
      </w:r>
      <w:r>
        <w:rPr>
          <w:rFonts w:ascii="Times New Roman" w:cs="Times New Roman" w:eastAsia="Times New Roman" w:hAnsi="Times New Roman"/>
          <w:sz w:val="17"/>
          <w:szCs w:val="17"/>
          <w:color w:val="auto"/>
        </w:rPr>
        <w:t>”) that is not less than 40% of the Annual Base Salary. The annual bonus payable under the incentive program (“</w:t>
      </w:r>
      <w:r>
        <w:rPr>
          <w:rFonts w:ascii="Times New Roman" w:cs="Times New Roman" w:eastAsia="Times New Roman" w:hAnsi="Times New Roman"/>
          <w:sz w:val="17"/>
          <w:szCs w:val="17"/>
          <w:u w:val="single" w:color="auto"/>
          <w:color w:val="auto"/>
        </w:rPr>
        <w:t>Annual Bonus</w:t>
      </w:r>
      <w:r>
        <w:rPr>
          <w:rFonts w:ascii="Times New Roman" w:cs="Times New Roman" w:eastAsia="Times New Roman" w:hAnsi="Times New Roman"/>
          <w:sz w:val="17"/>
          <w:szCs w:val="17"/>
          <w:color w:val="auto"/>
        </w:rPr>
        <w:t>”) shall be based on the achievement of performance goals or such other criteria as may be determined by the Board or Compensation Committee. The payment of any Annual Bonus pursuant to the incentive program shall be subject to Executive’s continued employment with the Company through the date of payment, except as otherwise provided in Section 4. The Annual Bonus shall be paid to Executive when paid generally to other senior executives of the Company, but in any event, to the extent determinable as of such time, not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of the year immediately following the applicable year for which such Annual Bonus is being paid.</w:t>
      </w:r>
    </w:p>
    <w:p>
      <w:pPr>
        <w:spacing w:after="0" w:line="45" w:lineRule="exact"/>
        <w:rPr>
          <w:rFonts w:ascii="Times New Roman" w:cs="Times New Roman" w:eastAsia="Times New Roman" w:hAnsi="Times New Roman"/>
          <w:sz w:val="17"/>
          <w:szCs w:val="17"/>
          <w:color w:val="auto"/>
        </w:rPr>
      </w:pPr>
    </w:p>
    <w:p>
      <w:pPr>
        <w:ind w:left="2" w:right="260" w:firstLine="430"/>
        <w:spacing w:after="0" w:line="274" w:lineRule="auto"/>
        <w:tabs>
          <w:tab w:leader="none" w:pos="674"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During the Term, Executive will be eligible to participate and receive awards under the Company’s equity plans as in effect from time to time.</w:t>
      </w:r>
    </w:p>
    <w:p>
      <w:pPr>
        <w:spacing w:after="0" w:line="163" w:lineRule="exact"/>
        <w:rPr>
          <w:rFonts w:ascii="Times New Roman" w:cs="Times New Roman" w:eastAsia="Times New Roman" w:hAnsi="Times New Roman"/>
          <w:sz w:val="18"/>
          <w:szCs w:val="18"/>
          <w:color w:val="auto"/>
        </w:rPr>
      </w:pPr>
    </w:p>
    <w:p>
      <w:pPr>
        <w:ind w:left="2" w:firstLine="430"/>
        <w:spacing w:after="0" w:line="266" w:lineRule="auto"/>
        <w:tabs>
          <w:tab w:leader="none" w:pos="684" w:val="left"/>
        </w:tabs>
        <w:numPr>
          <w:ilvl w:val="1"/>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Benefits</w:t>
      </w:r>
      <w:r>
        <w:rPr>
          <w:rFonts w:ascii="Times New Roman" w:cs="Times New Roman" w:eastAsia="Times New Roman" w:hAnsi="Times New Roman"/>
          <w:sz w:val="17"/>
          <w:szCs w:val="17"/>
          <w:color w:val="auto"/>
        </w:rPr>
        <w:t>. During the Term, Executive (and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on the same terms and conditions as those applicable to similarly situated senior executives. In addition, during the Term, Executive shall be eligible to participate in any retirement, savings and other employee benefit plans and programs maintained from time to time by the Company for the benefit of its senior executive officers. Nothing contained in this Section 2(d)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spacing w:after="0" w:line="174" w:lineRule="exact"/>
        <w:rPr>
          <w:rFonts w:ascii="Times New Roman" w:cs="Times New Roman" w:eastAsia="Times New Roman" w:hAnsi="Times New Roman"/>
          <w:sz w:val="17"/>
          <w:szCs w:val="17"/>
          <w:color w:val="auto"/>
        </w:rPr>
      </w:pPr>
    </w:p>
    <w:p>
      <w:pPr>
        <w:ind w:left="2" w:right="340" w:firstLine="430"/>
        <w:spacing w:after="0" w:line="259" w:lineRule="auto"/>
        <w:tabs>
          <w:tab w:leader="none" w:pos="674"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or Paid Time Off</w:t>
      </w:r>
      <w:r>
        <w:rPr>
          <w:rFonts w:ascii="Times New Roman" w:cs="Times New Roman" w:eastAsia="Times New Roman" w:hAnsi="Times New Roman"/>
          <w:sz w:val="18"/>
          <w:szCs w:val="18"/>
          <w:color w:val="auto"/>
        </w:rPr>
        <w:t>. During the Term, Executive shall be entitled to paid personal leave in accordance with the Company’s Policies applicable to similarly situated executives. Any vacation or paid time off shall be taken in the reasonable convenience of Executive. Through the Company’s paid time-off policies Executive will receive paid sick leave as required by state and any applicable local laws.</w:t>
      </w:r>
    </w:p>
    <w:p>
      <w:pPr>
        <w:spacing w:after="0" w:line="11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2"/>
          </w:cols>
          <w:pgMar w:left="538" w:top="267" w:right="579" w:bottom="1440" w:gutter="0" w:footer="0" w:header="0"/>
        </w:sectPr>
      </w:pPr>
    </w:p>
    <w:bookmarkStart w:id="542" w:name="page543"/>
    <w:bookmarkEnd w:id="542"/>
    <w:p>
      <w:pPr>
        <w:ind w:left="2" w:firstLine="430"/>
        <w:spacing w:after="0" w:line="274" w:lineRule="auto"/>
        <w:tabs>
          <w:tab w:leader="none" w:pos="65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Business Expenses</w:t>
      </w:r>
      <w:r>
        <w:rPr>
          <w:rFonts w:ascii="Times New Roman" w:cs="Times New Roman" w:eastAsia="Times New Roman" w:hAnsi="Times New Roman"/>
          <w:sz w:val="18"/>
          <w:szCs w:val="18"/>
          <w:color w:val="auto"/>
        </w:rPr>
        <w:t>. During the Term, the Company shall reimburse Executive for all reasonable travel and other business expenses incurred by Executive in the performance of Executive’s duties to the Company in accordance with the Company’s Travel and Expense Policy.</w:t>
      </w:r>
    </w:p>
    <w:p>
      <w:pPr>
        <w:spacing w:after="0" w:line="163" w:lineRule="exact"/>
        <w:rPr>
          <w:rFonts w:ascii="Times New Roman" w:cs="Times New Roman" w:eastAsia="Times New Roman" w:hAnsi="Times New Roman"/>
          <w:sz w:val="18"/>
          <w:szCs w:val="18"/>
          <w:color w:val="auto"/>
        </w:rPr>
      </w:pPr>
    </w:p>
    <w:p>
      <w:pPr>
        <w:ind w:left="2" w:right="20" w:firstLine="430"/>
        <w:spacing w:after="0" w:line="259" w:lineRule="auto"/>
        <w:tabs>
          <w:tab w:leader="none" w:pos="684"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D&amp;O Insurance</w:t>
      </w:r>
      <w:r>
        <w:rPr>
          <w:rFonts w:ascii="Times New Roman" w:cs="Times New Roman" w:eastAsia="Times New Roman" w:hAnsi="Times New Roman"/>
          <w:sz w:val="18"/>
          <w:szCs w:val="18"/>
          <w:color w:val="auto"/>
        </w:rPr>
        <w:t>. The Company shall indemnify Executive (and advance expenses to Executive) to the greatest extent permitted by applicable state law and shall provide Executive with coverage under a directors’ and officers’ liability insurance policy to the same extent provided to other senior executives and directors of the Company.</w:t>
      </w:r>
    </w:p>
    <w:p>
      <w:pPr>
        <w:spacing w:after="0" w:line="282" w:lineRule="exact"/>
        <w:rPr>
          <w:sz w:val="20"/>
          <w:szCs w:val="20"/>
          <w:color w:val="auto"/>
        </w:rPr>
      </w:pPr>
    </w:p>
    <w:p>
      <w:pPr>
        <w:ind w:left="182" w:hanging="182"/>
        <w:spacing w:after="0"/>
        <w:tabs>
          <w:tab w:leader="none" w:pos="182"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Executive’s employment hereunder and the Term may be terminated by the Company or Executive, as applicable, without any breach of this</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Agreement under the following circumstances and the Term will end on the Date of Termination:</w:t>
      </w:r>
    </w:p>
    <w:p>
      <w:pPr>
        <w:spacing w:after="0" w:line="198" w:lineRule="exact"/>
        <w:rPr>
          <w:sz w:val="20"/>
          <w:szCs w:val="20"/>
          <w:color w:val="auto"/>
        </w:rPr>
      </w:pPr>
    </w:p>
    <w:p>
      <w:pPr>
        <w:ind w:left="682" w:hanging="250"/>
        <w:spacing w:after="0"/>
        <w:tabs>
          <w:tab w:leader="none" w:pos="68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Circumstances</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1062" w:hanging="215"/>
        <w:spacing w:after="0"/>
        <w:tabs>
          <w:tab w:leader="none" w:pos="1062"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w:t>
      </w:r>
      <w:r>
        <w:rPr>
          <w:rFonts w:ascii="Times New Roman" w:cs="Times New Roman" w:eastAsia="Times New Roman" w:hAnsi="Times New Roman"/>
          <w:sz w:val="18"/>
          <w:szCs w:val="18"/>
          <w:color w:val="auto"/>
        </w:rPr>
        <w:t>. Executive’s employment hereunder shall terminate upon Executive’s death.</w:t>
      </w:r>
    </w:p>
    <w:p>
      <w:pPr>
        <w:spacing w:after="0" w:line="111" w:lineRule="exact"/>
        <w:rPr>
          <w:rFonts w:ascii="Times New Roman" w:cs="Times New Roman" w:eastAsia="Times New Roman" w:hAnsi="Times New Roman"/>
          <w:sz w:val="18"/>
          <w:szCs w:val="18"/>
          <w:color w:val="auto"/>
        </w:rPr>
      </w:pPr>
    </w:p>
    <w:p>
      <w:pPr>
        <w:ind w:left="1102" w:hanging="255"/>
        <w:spacing w:after="0"/>
        <w:tabs>
          <w:tab w:leader="none" w:pos="1102"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If Executive has incurred a Disability (as defined below), the Company may terminate Executive’s employment.</w:t>
      </w:r>
    </w:p>
    <w:p>
      <w:pPr>
        <w:spacing w:after="0" w:line="111" w:lineRule="exact"/>
        <w:rPr>
          <w:rFonts w:ascii="Times New Roman" w:cs="Times New Roman" w:eastAsia="Times New Roman" w:hAnsi="Times New Roman"/>
          <w:sz w:val="18"/>
          <w:szCs w:val="18"/>
          <w:color w:val="auto"/>
        </w:rPr>
      </w:pPr>
    </w:p>
    <w:p>
      <w:pPr>
        <w:ind w:left="1162" w:hanging="315"/>
        <w:spacing w:after="0"/>
        <w:tabs>
          <w:tab w:leader="none" w:pos="1162"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for Cause</w:t>
      </w:r>
      <w:r>
        <w:rPr>
          <w:rFonts w:ascii="Times New Roman" w:cs="Times New Roman" w:eastAsia="Times New Roman" w:hAnsi="Times New Roman"/>
          <w:sz w:val="18"/>
          <w:szCs w:val="18"/>
          <w:color w:val="auto"/>
        </w:rPr>
        <w:t>. The Company may terminate Executive’s employment for Cause (as defined below).</w:t>
      </w:r>
    </w:p>
    <w:p>
      <w:pPr>
        <w:spacing w:after="0" w:line="111" w:lineRule="exact"/>
        <w:rPr>
          <w:rFonts w:ascii="Times New Roman" w:cs="Times New Roman" w:eastAsia="Times New Roman" w:hAnsi="Times New Roman"/>
          <w:sz w:val="18"/>
          <w:szCs w:val="18"/>
          <w:color w:val="auto"/>
        </w:rPr>
      </w:pPr>
    </w:p>
    <w:p>
      <w:pPr>
        <w:ind w:left="1142" w:hanging="295"/>
        <w:spacing w:after="0"/>
        <w:tabs>
          <w:tab w:leader="none" w:pos="1142"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without Cause</w:t>
      </w:r>
      <w:r>
        <w:rPr>
          <w:rFonts w:ascii="Times New Roman" w:cs="Times New Roman" w:eastAsia="Times New Roman" w:hAnsi="Times New Roman"/>
          <w:sz w:val="18"/>
          <w:szCs w:val="18"/>
          <w:color w:val="auto"/>
        </w:rPr>
        <w:t>. The Company may terminate Executive’s employment without Cause.</w:t>
      </w:r>
    </w:p>
    <w:p>
      <w:pPr>
        <w:spacing w:after="0" w:line="111" w:lineRule="exact"/>
        <w:rPr>
          <w:rFonts w:ascii="Times New Roman" w:cs="Times New Roman" w:eastAsia="Times New Roman" w:hAnsi="Times New Roman"/>
          <w:sz w:val="18"/>
          <w:szCs w:val="18"/>
          <w:color w:val="auto"/>
        </w:rPr>
      </w:pPr>
    </w:p>
    <w:p>
      <w:pPr>
        <w:ind w:left="442" w:firstLine="405"/>
        <w:spacing w:after="0" w:line="276" w:lineRule="auto"/>
        <w:tabs>
          <w:tab w:leader="none" w:pos="1107"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Resignation from the Company with Good Reason. </w:t>
      </w:r>
      <w:r>
        <w:rPr>
          <w:rFonts w:ascii="Times New Roman" w:cs="Times New Roman" w:eastAsia="Times New Roman" w:hAnsi="Times New Roman"/>
          <w:sz w:val="18"/>
          <w:szCs w:val="18"/>
          <w:color w:val="auto"/>
        </w:rPr>
        <w:t>Executive may resign Executive’s employment with the Company with 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below).</w:t>
      </w:r>
    </w:p>
    <w:p>
      <w:pPr>
        <w:spacing w:after="0" w:line="53" w:lineRule="exact"/>
        <w:rPr>
          <w:rFonts w:ascii="Times New Roman" w:cs="Times New Roman" w:eastAsia="Times New Roman" w:hAnsi="Times New Roman"/>
          <w:sz w:val="18"/>
          <w:szCs w:val="18"/>
          <w:color w:val="auto"/>
        </w:rPr>
      </w:pPr>
    </w:p>
    <w:p>
      <w:pPr>
        <w:ind w:left="442" w:right="20" w:firstLine="405"/>
        <w:spacing w:after="0" w:line="276" w:lineRule="auto"/>
        <w:tabs>
          <w:tab w:leader="none" w:pos="1156"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 from the Company without Good Reason</w:t>
      </w:r>
      <w:r>
        <w:rPr>
          <w:rFonts w:ascii="Times New Roman" w:cs="Times New Roman" w:eastAsia="Times New Roman" w:hAnsi="Times New Roman"/>
          <w:sz w:val="18"/>
          <w:szCs w:val="18"/>
          <w:color w:val="auto"/>
        </w:rPr>
        <w:t>. Executive may resign Executive’s employment with the Company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Good Reason or for no reason.</w:t>
      </w:r>
    </w:p>
    <w:p>
      <w:pPr>
        <w:spacing w:after="0" w:line="161" w:lineRule="exact"/>
        <w:rPr>
          <w:rFonts w:ascii="Times New Roman" w:cs="Times New Roman" w:eastAsia="Times New Roman" w:hAnsi="Times New Roman"/>
          <w:sz w:val="18"/>
          <w:szCs w:val="18"/>
          <w:color w:val="auto"/>
        </w:rPr>
      </w:pPr>
    </w:p>
    <w:p>
      <w:pPr>
        <w:ind w:left="2" w:right="140" w:firstLine="430"/>
        <w:spacing w:after="0" w:line="249" w:lineRule="auto"/>
        <w:tabs>
          <w:tab w:leader="none" w:pos="68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Any termination of Executive’s employment by the Company or by Executive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w:t>
      </w:r>
    </w:p>
    <w:p>
      <w:pPr>
        <w:spacing w:after="0" w:line="121"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2"/>
          </w:cols>
          <w:pgMar w:left="538" w:top="266" w:right="599" w:bottom="1440" w:gutter="0" w:footer="0" w:header="0"/>
        </w:sectPr>
      </w:pPr>
    </w:p>
    <w:bookmarkStart w:id="543" w:name="page544"/>
    <w:bookmarkEnd w:id="543"/>
    <w:p>
      <w:pPr>
        <w:ind w:left="2" w:right="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78" w:lineRule="exact"/>
        <w:rPr>
          <w:sz w:val="20"/>
          <w:szCs w:val="20"/>
          <w:color w:val="auto"/>
        </w:rPr>
      </w:pPr>
    </w:p>
    <w:p>
      <w:pPr>
        <w:ind w:left="2" w:right="20" w:firstLine="430"/>
        <w:spacing w:after="0" w:line="248" w:lineRule="auto"/>
        <w:tabs>
          <w:tab w:leader="none" w:pos="674"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Obligations upon Termination</w:t>
      </w:r>
      <w:r>
        <w:rPr>
          <w:rFonts w:ascii="Times New Roman" w:cs="Times New Roman" w:eastAsia="Times New Roman" w:hAnsi="Times New Roman"/>
          <w:sz w:val="18"/>
          <w:szCs w:val="18"/>
          <w:color w:val="auto"/>
        </w:rPr>
        <w:t xml:space="preserve">. Upon termination of Executive’s employment pursuant to any of the circumstances listed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Executive (or Executive’s estate, if applicable) shall be entitled to receive the following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 the portion of Executive’s Annual Base Salary earned through the Date of Termination, but not yet paid to Executive (payable on the Company’s next payroll date or such earlier date as required by applicable law); (ii) any expense reimbursements owed to Executive pursuant to Section 2(f), payable pursuant to the applicable policy;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18"/>
          <w:szCs w:val="18"/>
          <w:u w:val="single" w:color="auto"/>
          <w:color w:val="auto"/>
        </w:rPr>
        <w:t>Company Arrangements</w:t>
      </w:r>
      <w:r>
        <w:rPr>
          <w:rFonts w:ascii="Times New Roman" w:cs="Times New Roman" w:eastAsia="Times New Roman" w:hAnsi="Times New Roman"/>
          <w:sz w:val="18"/>
          <w:szCs w:val="18"/>
          <w:color w:val="auto"/>
        </w:rPr>
        <w:t>”). Except as otherwise expressly required by law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COBRA) or applicable Company Arrangement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for severance benefits shall be to receive the payments and benefits described in this Section 3(c) or Section 4, as applicable.</w:t>
      </w:r>
    </w:p>
    <w:p>
      <w:pPr>
        <w:spacing w:after="0" w:line="191" w:lineRule="exact"/>
        <w:rPr>
          <w:rFonts w:ascii="Times New Roman" w:cs="Times New Roman" w:eastAsia="Times New Roman" w:hAnsi="Times New Roman"/>
          <w:sz w:val="18"/>
          <w:szCs w:val="18"/>
          <w:color w:val="auto"/>
        </w:rPr>
      </w:pPr>
    </w:p>
    <w:p>
      <w:pPr>
        <w:ind w:left="2" w:right="480" w:firstLine="430"/>
        <w:spacing w:after="0" w:line="274" w:lineRule="auto"/>
        <w:tabs>
          <w:tab w:leader="none" w:pos="684"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Resignation</w:t>
      </w:r>
      <w:r>
        <w:rPr>
          <w:rFonts w:ascii="Times New Roman" w:cs="Times New Roman" w:eastAsia="Times New Roman" w:hAnsi="Times New Roman"/>
          <w:sz w:val="18"/>
          <w:szCs w:val="18"/>
          <w:color w:val="auto"/>
        </w:rPr>
        <w:t>. Upon termination of Executive’s employment for any reason, Executive shall be deemed to have resigned from all offices and directorships, if any, then held with the Company or any of its subsidiaries, other than his position on the Board.</w:t>
      </w:r>
    </w:p>
    <w:p>
      <w:pPr>
        <w:spacing w:after="0" w:line="163" w:lineRule="exact"/>
        <w:rPr>
          <w:rFonts w:ascii="Times New Roman" w:cs="Times New Roman" w:eastAsia="Times New Roman" w:hAnsi="Times New Roman"/>
          <w:sz w:val="18"/>
          <w:szCs w:val="18"/>
          <w:color w:val="auto"/>
        </w:rPr>
      </w:pPr>
    </w:p>
    <w:p>
      <w:pPr>
        <w:ind w:left="2" w:firstLine="430"/>
        <w:spacing w:after="0" w:line="268" w:lineRule="auto"/>
        <w:tabs>
          <w:tab w:leader="none" w:pos="674" w:val="left"/>
        </w:tabs>
        <w:numPr>
          <w:ilvl w:val="1"/>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Property</w:t>
      </w:r>
      <w:r>
        <w:rPr>
          <w:rFonts w:ascii="Times New Roman" w:cs="Times New Roman" w:eastAsia="Times New Roman" w:hAnsi="Times New Roman"/>
          <w:sz w:val="17"/>
          <w:szCs w:val="17"/>
          <w:color w:val="auto"/>
        </w:rPr>
        <w:t>. Upon termination of Executive’s employment for any reason, unless otherwise specified in a written agreement between Executive and the Company, Executive agrees to return to the Company all documents of the Company and its affiliates (and all copies thereof) and all other Company or Company affiliate property that Executive has in his or her possession, custody, or control. Such property includes, without limitation:</w:t>
      </w:r>
    </w:p>
    <w:p>
      <w:pPr>
        <w:ind w:left="2" w:right="40" w:hanging="2"/>
        <w:spacing w:after="0" w:line="246" w:lineRule="auto"/>
        <w:tabs>
          <w:tab w:leader="none" w:pos="21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materials of any kind that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w:t>
      </w:r>
    </w:p>
    <w:p>
      <w:pPr>
        <w:spacing w:after="0" w:line="296" w:lineRule="exact"/>
        <w:rPr>
          <w:sz w:val="20"/>
          <w:szCs w:val="20"/>
          <w:color w:val="auto"/>
        </w:rPr>
      </w:pPr>
    </w:p>
    <w:p>
      <w:pPr>
        <w:ind w:left="182" w:hanging="182"/>
        <w:spacing w:after="0"/>
        <w:tabs>
          <w:tab w:leader="none" w:pos="182"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 Payments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right="20" w:firstLine="430"/>
        <w:spacing w:after="0" w:line="250" w:lineRule="auto"/>
        <w:tabs>
          <w:tab w:leader="none" w:pos="674"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 or Termination Upon Death, Disability, Resignation from the Company Without Good Reason or Resignation from the Company for Good Reason Prior to a Change in Control or More Than Eighteen (18) Months Following a Change in Control</w:t>
      </w:r>
      <w:r>
        <w:rPr>
          <w:rFonts w:ascii="Times New Roman" w:cs="Times New Roman" w:eastAsia="Times New Roman" w:hAnsi="Times New Roman"/>
          <w:sz w:val="18"/>
          <w:szCs w:val="18"/>
          <w:color w:val="auto"/>
        </w:rPr>
        <w:t>. If Executive’s employment shall terminate as a result of Executive’s death pursuant to Section 3(a)(i) or Disability pursuant to Section 3(a)(ii), pursuant to Section 3(a) (iii) for Cause, pursuant to Section 3(a)(vi) for Executive’s resignation from the Company without Good Reason, or pursuant to Section 3(a)(v) for Executive’s resignation from the Company without Good Reason, and such resignation for Good Reason occurs prior to a Change in Control or more than eighteen (18) months following a Change in Control, then Executive shall not be entitled to any severance payments or benefits, except for the Accrued Obligations as provided in Section 3(c).</w:t>
      </w:r>
    </w:p>
    <w:p>
      <w:pPr>
        <w:spacing w:after="0" w:line="1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2"/>
          </w:cols>
          <w:pgMar w:left="538" w:top="267" w:right="559" w:bottom="1440" w:gutter="0" w:footer="0" w:header="0"/>
        </w:sectPr>
      </w:pPr>
    </w:p>
    <w:bookmarkStart w:id="544" w:name="page545"/>
    <w:bookmarkEnd w:id="544"/>
    <w:p>
      <w:pPr>
        <w:ind w:left="-40" w:right="80" w:firstLine="430"/>
        <w:spacing w:after="0" w:line="252" w:lineRule="auto"/>
        <w:tabs>
          <w:tab w:leader="none" w:pos="642"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Termination without Cause Prior to a Change in Control or More Than Eighteen (18) Months Following a Change in Control</w:t>
      </w:r>
      <w:r>
        <w:rPr>
          <w:rFonts w:ascii="Times New Roman" w:cs="Times New Roman" w:eastAsia="Times New Roman" w:hAnsi="Times New Roman"/>
          <w:sz w:val="18"/>
          <w:szCs w:val="18"/>
          <w:color w:val="auto"/>
        </w:rPr>
        <w:t>. If Executive’s employment terminates without Cause pursuant to Section 3(a)(iv), and such termination without Cause occurs prior to a Change in Control or more than eighteen (18) months following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79" w:lineRule="exact"/>
        <w:rPr>
          <w:rFonts w:ascii="Times New Roman" w:cs="Times New Roman" w:eastAsia="Times New Roman" w:hAnsi="Times New Roman"/>
          <w:sz w:val="18"/>
          <w:szCs w:val="18"/>
          <w:color w:val="auto"/>
        </w:rPr>
      </w:pPr>
    </w:p>
    <w:p>
      <w:pPr>
        <w:ind w:left="400" w:right="100" w:firstLine="405"/>
        <w:spacing w:after="0" w:line="274" w:lineRule="auto"/>
        <w:tabs>
          <w:tab w:leader="none" w:pos="102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Executive’s Annual Base Salary as in effect immediately prior to the Date of Termination, payable in a lump sum on the first regular payroll date following the effective date of Executive’s Release (as defined below);</w:t>
      </w:r>
    </w:p>
    <w:p>
      <w:pPr>
        <w:spacing w:after="0" w:line="57" w:lineRule="exact"/>
        <w:rPr>
          <w:rFonts w:ascii="Times New Roman" w:cs="Times New Roman" w:eastAsia="Times New Roman" w:hAnsi="Times New Roman"/>
          <w:sz w:val="18"/>
          <w:szCs w:val="18"/>
          <w:color w:val="auto"/>
        </w:rPr>
      </w:pPr>
    </w:p>
    <w:p>
      <w:pPr>
        <w:ind w:left="400" w:right="100" w:firstLine="405"/>
        <w:spacing w:after="0" w:line="265" w:lineRule="auto"/>
        <w:tabs>
          <w:tab w:leader="none" w:pos="1075" w:val="left"/>
        </w:tabs>
        <w:numPr>
          <w:ilvl w:val="1"/>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then the Company shall directly pay, or reimburse Executive for, the COBRA premiums for Executive and Executive’s covered dependents under such plans during the period commencing on Executive’s Separation from Service and ending upon the earliest of (A) the last day of the twelve (12) month period following the Date of Termination, (B) the date that Executive and/or Executive’s covered dependents become no longer eligible for COBRA or</w:t>
      </w:r>
    </w:p>
    <w:p>
      <w:pPr>
        <w:ind w:left="400"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18"/>
          <w:szCs w:val="18"/>
          <w:u w:val="single" w:color="auto"/>
          <w:color w:val="auto"/>
        </w:rPr>
        <w:t>COBRA Continuation Period</w:t>
      </w:r>
      <w:r>
        <w:rPr>
          <w:rFonts w:ascii="Times New Roman" w:cs="Times New Roman" w:eastAsia="Times New Roman" w:hAnsi="Times New Roman"/>
          <w:sz w:val="18"/>
          <w:szCs w:val="18"/>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for the remainder of the COBRA Continuation Period; and</w:t>
      </w:r>
    </w:p>
    <w:p>
      <w:pPr>
        <w:spacing w:after="0" w:line="85" w:lineRule="exact"/>
        <w:rPr>
          <w:rFonts w:ascii="Times New Roman" w:cs="Times New Roman" w:eastAsia="Times New Roman" w:hAnsi="Times New Roman"/>
          <w:sz w:val="17"/>
          <w:szCs w:val="17"/>
          <w:color w:val="auto"/>
        </w:rPr>
      </w:pPr>
    </w:p>
    <w:p>
      <w:pPr>
        <w:ind w:left="400" w:right="60" w:firstLine="405"/>
        <w:spacing w:after="0" w:line="255" w:lineRule="auto"/>
        <w:tabs>
          <w:tab w:leader="none" w:pos="1124"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Target Bonus (and without regard to any reduction in the Target Bonus that resulted in Executive’s resignation with Good Reason), prorated for the portion of the year in which Executive’s Date of Termination occurs that has elapsed through the Date of Termination, payable in a lump sum on the first regular payroll date following the effective date of Executive’s Release (but in no event later than March 15 of the calendar year following the year in which Executive’s Date of Termination occurs);</w:t>
      </w:r>
    </w:p>
    <w:p>
      <w:pPr>
        <w:spacing w:after="0" w:line="74" w:lineRule="exact"/>
        <w:rPr>
          <w:rFonts w:ascii="Times New Roman" w:cs="Times New Roman" w:eastAsia="Times New Roman" w:hAnsi="Times New Roman"/>
          <w:sz w:val="18"/>
          <w:szCs w:val="18"/>
          <w:color w:val="auto"/>
        </w:rPr>
      </w:pPr>
    </w:p>
    <w:p>
      <w:pPr>
        <w:ind w:left="400" w:firstLine="405"/>
        <w:spacing w:after="0" w:line="252" w:lineRule="auto"/>
        <w:tabs>
          <w:tab w:leader="none" w:pos="1114"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number of the outstanding, unvested Company equity awards held by Executive under any Company equity compensation plans as would have vested during the twelve (12) months following the date of Executive’s Separation from Service had Executive continued in employment or service with the Company during such period shall immediately become vested on the effectiveness of the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performance-based equity award will remain subject to attainment of the relevant performance goals unless a more favorable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provision is contained in an applicable award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20"/>
          </w:cols>
          <w:pgMar w:left="580" w:top="266" w:right="599" w:bottom="1440" w:gutter="0" w:footer="0" w:header="0"/>
        </w:sectPr>
      </w:pPr>
    </w:p>
    <w:bookmarkStart w:id="545" w:name="page546"/>
    <w:bookmarkEnd w:id="545"/>
    <w:p>
      <w:pPr>
        <w:ind w:left="2" w:right="60" w:firstLine="430"/>
        <w:spacing w:after="0" w:line="272" w:lineRule="auto"/>
        <w:tabs>
          <w:tab w:leader="none" w:pos="674"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Change in Control</w:t>
      </w:r>
      <w:r>
        <w:rPr>
          <w:rFonts w:ascii="Times New Roman" w:cs="Times New Roman" w:eastAsia="Times New Roman" w:hAnsi="Times New Roman"/>
          <w:sz w:val="17"/>
          <w:szCs w:val="17"/>
          <w:color w:val="auto"/>
        </w:rPr>
        <w:t>. In lieu of the payments and benefits set forth in Section 4(b), in the event Executive’s employment terminates without Cause pursuant to Section 3(a)(iv), or pursuant to Section 3(a)(v) due to Executive’s resignation with Good Reason, in either case, on or within eighteen</w:t>
      </w:r>
    </w:p>
    <w:p>
      <w:pPr>
        <w:ind w:left="2" w:right="40" w:hanging="2"/>
        <w:spacing w:after="0" w:line="248" w:lineRule="auto"/>
        <w:tabs>
          <w:tab w:leader="none" w:pos="3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date of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80" w:lineRule="exact"/>
        <w:rPr>
          <w:rFonts w:ascii="Times New Roman" w:cs="Times New Roman" w:eastAsia="Times New Roman" w:hAnsi="Times New Roman"/>
          <w:sz w:val="18"/>
          <w:szCs w:val="18"/>
          <w:color w:val="auto"/>
        </w:rPr>
      </w:pPr>
    </w:p>
    <w:p>
      <w:pPr>
        <w:ind w:left="442" w:right="60" w:firstLine="405"/>
        <w:spacing w:after="0" w:line="259" w:lineRule="auto"/>
        <w:tabs>
          <w:tab w:leader="none" w:pos="1068"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Executive’s Annual Base Salary as in effect immediately prior to the Date of Termination (and without regard to any reduction in Annual Base Salary that resulted in Executive’s resignation with Good Reason), payable in a lump sum on the first regular payroll date following the effective date of Executive’s Release;</w:t>
      </w:r>
    </w:p>
    <w:p>
      <w:pPr>
        <w:spacing w:after="0" w:line="71" w:lineRule="exact"/>
        <w:rPr>
          <w:rFonts w:ascii="Times New Roman" w:cs="Times New Roman" w:eastAsia="Times New Roman" w:hAnsi="Times New Roman"/>
          <w:sz w:val="18"/>
          <w:szCs w:val="18"/>
          <w:color w:val="auto"/>
        </w:rPr>
      </w:pPr>
    </w:p>
    <w:p>
      <w:pPr>
        <w:ind w:left="442" w:right="100" w:firstLine="405"/>
        <w:spacing w:after="0" w:line="259" w:lineRule="auto"/>
        <w:tabs>
          <w:tab w:leader="none" w:pos="1117"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Target Bonus (and without regard to any reduction in the Target Bonus that resulted in Executive’s resignation with Good Reason), payable in a lump sum on the first regular payroll date following the effective date of Executive’s Release (but in no event later than March 15 of the calendar year following the year in which Executive’s Date of Termination occurs);</w:t>
      </w:r>
    </w:p>
    <w:p>
      <w:pPr>
        <w:spacing w:after="0" w:line="71" w:lineRule="exact"/>
        <w:rPr>
          <w:rFonts w:ascii="Times New Roman" w:cs="Times New Roman" w:eastAsia="Times New Roman" w:hAnsi="Times New Roman"/>
          <w:sz w:val="18"/>
          <w:szCs w:val="18"/>
          <w:color w:val="auto"/>
        </w:rPr>
      </w:pPr>
    </w:p>
    <w:p>
      <w:pPr>
        <w:ind w:left="442" w:firstLine="405"/>
        <w:spacing w:after="0" w:line="248" w:lineRule="auto"/>
        <w:tabs>
          <w:tab w:leader="none" w:pos="1166"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during the period commencing on Executive’s Separation from Service and ending upon the earliest of (A) the last day of the twelve (12)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18"/>
          <w:szCs w:val="18"/>
          <w:u w:val="single" w:color="auto"/>
          <w:color w:val="auto"/>
        </w:rPr>
        <w:t>CIC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COBRA Continuation Period</w:t>
      </w:r>
      <w:r>
        <w:rPr>
          <w:rFonts w:ascii="Times New Roman" w:cs="Times New Roman" w:eastAsia="Times New Roman" w:hAnsi="Times New Roman"/>
          <w:sz w:val="18"/>
          <w:szCs w:val="18"/>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for the remainder of the CIC COBRA Continuation Period; and</w:t>
      </w:r>
    </w:p>
    <w:p>
      <w:pPr>
        <w:spacing w:after="0" w:line="81" w:lineRule="exact"/>
        <w:rPr>
          <w:rFonts w:ascii="Times New Roman" w:cs="Times New Roman" w:eastAsia="Times New Roman" w:hAnsi="Times New Roman"/>
          <w:sz w:val="18"/>
          <w:szCs w:val="18"/>
          <w:color w:val="auto"/>
        </w:rPr>
      </w:pPr>
    </w:p>
    <w:p>
      <w:pPr>
        <w:ind w:left="442" w:right="100" w:firstLine="405"/>
        <w:spacing w:after="0" w:line="282" w:lineRule="auto"/>
        <w:tabs>
          <w:tab w:leader="none" w:pos="1156" w:val="left"/>
        </w:tabs>
        <w:numPr>
          <w:ilvl w:val="2"/>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outstanding, unvested Company equity awards held by Executive under any Company equity compensation plans shall immediately become 100% vested on the effectiveness of the Release,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performance-based equity award will remain subject to attainment of the relevant performance goals unless a more favorable or alternative provision is contained in an applicable award agreement.</w:t>
      </w:r>
    </w:p>
    <w:p>
      <w:pPr>
        <w:spacing w:after="0" w:line="158" w:lineRule="exact"/>
        <w:rPr>
          <w:rFonts w:ascii="Times New Roman" w:cs="Times New Roman" w:eastAsia="Times New Roman" w:hAnsi="Times New Roman"/>
          <w:sz w:val="17"/>
          <w:szCs w:val="17"/>
          <w:color w:val="auto"/>
        </w:rPr>
      </w:pPr>
    </w:p>
    <w:p>
      <w:pPr>
        <w:ind w:left="2" w:firstLine="430"/>
        <w:spacing w:after="0" w:line="251" w:lineRule="auto"/>
        <w:tabs>
          <w:tab w:leader="none" w:pos="684"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Notwithstanding the foregoing, it shall be a condition to the Executive’s right to receive the amounts provided for in Sections 4(b) and 4(c) hereof that the Executive execute and deliver to the Company an effective release of claims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within 21 days (or, to the extent required by law, 45 days) following the Date of Termination and that the Executive not revoke such Release during any applicable revocation period. For the avoidance of doubt, all equity awards eligible for accelerated vesting pursuant to this Section 4 shall remain outstanding and eligible to vest following the Date of Termination and shall actually vest and become exercisable (if applicable) and non-forfeitable upon the effectiveness of the Release.</w:t>
      </w:r>
    </w:p>
    <w:p>
      <w:pPr>
        <w:spacing w:after="0" w:line="1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2"/>
          </w:cols>
          <w:pgMar w:left="538" w:top="267" w:right="559" w:bottom="1440" w:gutter="0" w:footer="0" w:header="0"/>
        </w:sectPr>
      </w:pPr>
    </w:p>
    <w:bookmarkStart w:id="546" w:name="page547"/>
    <w:bookmarkEnd w:id="546"/>
    <w:p>
      <w:pPr>
        <w:ind w:left="2" w:right="20" w:firstLine="430"/>
        <w:spacing w:after="0" w:line="251" w:lineRule="auto"/>
        <w:tabs>
          <w:tab w:leader="none" w:pos="674"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Exclusive Remedy</w:t>
      </w:r>
      <w:r>
        <w:rPr>
          <w:rFonts w:ascii="Times New Roman" w:cs="Times New Roman" w:eastAsia="Times New Roman" w:hAnsi="Times New Roman"/>
          <w:sz w:val="18"/>
          <w:szCs w:val="18"/>
          <w:color w:val="auto"/>
        </w:rPr>
        <w:t>. In the event of a termination of Executive’s employment with the Company, Executive’s sole remedy shall be to receive the payments and benefits described in this Section 4. In addition, Executive acknowledges and agrees that he or she is not entitled to any reimbursement by the Company for any taxes payable by Executive as a result of the payments and benefits received by Executive pursuant to this Section 4, including, without limitation, any excise tax imposed by Section 4999 of the Code. Any payments made to Executive under this Section 4 shall be inclusive of any amounts or benefits to which Executive may be entitled pursuant to the Worker Adjustment and Retraining Notification Act, 29 U.S.C. Sections 2101 et seq., and the Department of Labor regulations thereunder, or any similar state statute.</w:t>
      </w:r>
    </w:p>
    <w:p>
      <w:pPr>
        <w:spacing w:after="0" w:line="289"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right="320" w:firstLine="430"/>
        <w:spacing w:after="0" w:line="255" w:lineRule="auto"/>
        <w:tabs>
          <w:tab w:leader="none" w:pos="674"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hereby acknowledges that Executive has previously entered into the Company’s standard form of agreement containing confidentiality, intellectual property assignment and other protective covenants (the “</w:t>
      </w: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xml:space="preserve">”), a copy of which is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that Executive shall continue to be bound by the terms and conditions of the Restrictive Covenant Agreement, and that such agreement shall be additional to, and not in limitation of, the covenants contained in this Section 5.</w:t>
      </w:r>
    </w:p>
    <w:p>
      <w:pPr>
        <w:spacing w:after="0" w:line="180" w:lineRule="exact"/>
        <w:rPr>
          <w:rFonts w:ascii="Times New Roman" w:cs="Times New Roman" w:eastAsia="Times New Roman" w:hAnsi="Times New Roman"/>
          <w:sz w:val="18"/>
          <w:szCs w:val="18"/>
          <w:color w:val="auto"/>
        </w:rPr>
      </w:pPr>
    </w:p>
    <w:p>
      <w:pPr>
        <w:ind w:left="2" w:right="40" w:firstLine="430"/>
        <w:spacing w:after="0" w:line="250" w:lineRule="auto"/>
        <w:tabs>
          <w:tab w:leader="none" w:pos="684"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shall hold in a fiduciary capacity for the benefit of the Company all secret or confidential information, knowledge or data relating to the Company and its subsidiaries and affiliates, which shall have been obtained by Executive in connection with Executive’s employment by the Company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Executive receives actual notice that Executive is or may be required by law or legal process to communicate or divulge any such information, knowledge or data, Executive shall promptly so notify the Company.</w:t>
      </w:r>
    </w:p>
    <w:p>
      <w:pPr>
        <w:spacing w:after="0" w:line="186" w:lineRule="exact"/>
        <w:rPr>
          <w:rFonts w:ascii="Times New Roman" w:cs="Times New Roman" w:eastAsia="Times New Roman" w:hAnsi="Times New Roman"/>
          <w:sz w:val="18"/>
          <w:szCs w:val="18"/>
          <w:color w:val="auto"/>
        </w:rPr>
      </w:pPr>
    </w:p>
    <w:p>
      <w:pPr>
        <w:ind w:left="2" w:firstLine="430"/>
        <w:spacing w:after="0" w:line="250" w:lineRule="auto"/>
        <w:tabs>
          <w:tab w:leader="none" w:pos="674"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the Company, Executive shall not be engaged in any other business activity that would be competitive with the business of the Company and its subsidiaries or affiliates. In addition, while employed by the Company and for a period of twelve (12) months after the Date of Termination, Executive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Executive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w:t>
      </w:r>
    </w:p>
    <w:p>
      <w:pPr>
        <w:spacing w:after="0" w:line="186" w:lineRule="exact"/>
        <w:rPr>
          <w:rFonts w:ascii="Times New Roman" w:cs="Times New Roman" w:eastAsia="Times New Roman" w:hAnsi="Times New Roman"/>
          <w:sz w:val="18"/>
          <w:szCs w:val="18"/>
          <w:color w:val="auto"/>
        </w:rPr>
      </w:pPr>
    </w:p>
    <w:p>
      <w:pPr>
        <w:ind w:left="2" w:right="20" w:firstLine="430"/>
        <w:spacing w:after="0" w:line="269" w:lineRule="auto"/>
        <w:tabs>
          <w:tab w:leader="none" w:pos="684" w:val="left"/>
        </w:tabs>
        <w:numPr>
          <w:ilvl w:val="1"/>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5(f), during Executive’s service with the Company and thereafter, excepting any litigation between the Parties, (i) Executive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 and (ii) the Company agrees to instruct its directors and executive officers not to publish or disseminate, directly or indirectly, any statements, whether written or oral, that are or could be harmful to or reflect negatively on Executive’s personal or business reputation or business.</w:t>
      </w:r>
    </w:p>
    <w:p>
      <w:pPr>
        <w:spacing w:after="0" w:line="10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2"/>
          </w:cols>
          <w:pgMar w:left="538" w:top="266" w:right="559" w:bottom="1440" w:gutter="0" w:footer="0" w:header="0"/>
        </w:sectPr>
      </w:pPr>
    </w:p>
    <w:bookmarkStart w:id="547" w:name="page548"/>
    <w:bookmarkEnd w:id="547"/>
    <w:p>
      <w:pPr>
        <w:ind w:left="2" w:right="20" w:firstLine="430"/>
        <w:spacing w:after="0" w:line="251" w:lineRule="auto"/>
        <w:tabs>
          <w:tab w:leader="none" w:pos="67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recognition of the fact that irreparable injury will result to the Company in the event of a breach by Executive of his or her obligations under Sections 5(a)-(d) hereof, that monetary damages for such breach would not be readily calculable, and that the Company would not have an adequate remedy at law therefor,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Executive and to cease the payment of any benefits under Section 4(b) or (c) above.</w:t>
      </w:r>
    </w:p>
    <w:p>
      <w:pPr>
        <w:spacing w:after="0" w:line="185" w:lineRule="exact"/>
        <w:rPr>
          <w:rFonts w:ascii="Times New Roman" w:cs="Times New Roman" w:eastAsia="Times New Roman" w:hAnsi="Times New Roman"/>
          <w:sz w:val="18"/>
          <w:szCs w:val="18"/>
          <w:color w:val="auto"/>
        </w:rPr>
      </w:pPr>
    </w:p>
    <w:p>
      <w:pPr>
        <w:ind w:left="2" w:firstLine="430"/>
        <w:spacing w:after="0" w:line="262" w:lineRule="auto"/>
        <w:tabs>
          <w:tab w:leader="none" w:pos="655"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or the Restrictive Covenant Agreement or, if applicable, the Arbitration Agreement (as defined below) to the contrary, nothing contained in this Agreement shall prohibit either party (or either party’s attorney(s)) from (i)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17"/>
          <w:szCs w:val="17"/>
          <w:u w:val="single" w:color="auto"/>
          <w:color w:val="auto"/>
        </w:rPr>
        <w:t>Government Agencies</w:t>
      </w:r>
      <w:r>
        <w:rPr>
          <w:rFonts w:ascii="Times New Roman" w:cs="Times New Roman" w:eastAsia="Times New Roman" w:hAnsi="Times New Roman"/>
          <w:sz w:val="17"/>
          <w:szCs w:val="17"/>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Pursuant to 18 USC</w:t>
      </w:r>
    </w:p>
    <w:p>
      <w:pPr>
        <w:spacing w:after="0" w:line="5" w:lineRule="exact"/>
        <w:rPr>
          <w:rFonts w:ascii="Times New Roman" w:cs="Times New Roman" w:eastAsia="Times New Roman" w:hAnsi="Times New Roman"/>
          <w:sz w:val="17"/>
          <w:szCs w:val="17"/>
          <w:color w:val="auto"/>
        </w:rPr>
      </w:pPr>
    </w:p>
    <w:p>
      <w:pPr>
        <w:ind w:left="2" w:right="6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 request of the anticipated testimony.</w:t>
      </w:r>
    </w:p>
    <w:p>
      <w:pPr>
        <w:spacing w:after="0" w:line="296" w:lineRule="exact"/>
        <w:rPr>
          <w:sz w:val="20"/>
          <w:szCs w:val="20"/>
          <w:color w:val="auto"/>
        </w:rPr>
      </w:pPr>
    </w:p>
    <w:p>
      <w:pPr>
        <w:ind w:left="182" w:hanging="182"/>
        <w:spacing w:after="0"/>
        <w:tabs>
          <w:tab w:leader="none" w:pos="182" w:val="left"/>
        </w:tabs>
        <w:numPr>
          <w:ilvl w:val="0"/>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 and Successors</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ind w:left="2" w:right="20" w:firstLine="432"/>
        <w:spacing w:after="0" w:line="250" w:lineRule="auto"/>
        <w:rPr>
          <w:sz w:val="20"/>
          <w:szCs w:val="20"/>
          <w:color w:val="auto"/>
        </w:rPr>
      </w:pPr>
      <w:r>
        <w:rPr>
          <w:rFonts w:ascii="Times New Roman" w:cs="Times New Roman" w:eastAsia="Times New Roman" w:hAnsi="Times New Roman"/>
          <w:sz w:val="18"/>
          <w:szCs w:val="18"/>
          <w:color w:val="auto"/>
        </w:rPr>
        <w:t>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2"/>
          </w:cols>
          <w:pgMar w:left="538" w:top="267" w:right="559" w:bottom="1440" w:gutter="0" w:footer="0" w:header="0"/>
        </w:sectPr>
      </w:pPr>
    </w:p>
    <w:bookmarkStart w:id="548" w:name="page549"/>
    <w:bookmarkEnd w:id="548"/>
    <w:p>
      <w:pPr>
        <w:ind w:left="182" w:hanging="182"/>
        <w:spacing w:after="0"/>
        <w:tabs>
          <w:tab w:leader="none" w:pos="182" w:val="left"/>
        </w:tabs>
        <w:numPr>
          <w:ilvl w:val="0"/>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Certain Definitions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682" w:hanging="250"/>
        <w:spacing w:after="0"/>
        <w:tabs>
          <w:tab w:leader="none" w:pos="682"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Company shall have “Cause” to terminate Executive’s employment hereunder upon:</w:t>
      </w:r>
    </w:p>
    <w:p>
      <w:pPr>
        <w:spacing w:after="0" w:line="111" w:lineRule="exact"/>
        <w:rPr>
          <w:rFonts w:ascii="Times New Roman" w:cs="Times New Roman" w:eastAsia="Times New Roman" w:hAnsi="Times New Roman"/>
          <w:sz w:val="18"/>
          <w:szCs w:val="18"/>
          <w:color w:val="auto"/>
        </w:rPr>
      </w:pPr>
    </w:p>
    <w:p>
      <w:pPr>
        <w:ind w:left="2" w:right="120" w:firstLine="971"/>
        <w:spacing w:after="0" w:line="255" w:lineRule="auto"/>
        <w:tabs>
          <w:tab w:leader="none" w:pos="1186"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failure by Executive to substantially perform Executive’s duties with the Company (other than any such failure resulting from incapacity due to physical or mental illness), after a written demand for substantial performance is delivered to Executive by the Company or an affiliate that specifically identifies the alleged manner in which Executive has not substantially performed Executive’s duties and after Executive has been provided with a thirty (30) day cure period, or Executive’s deliberate violation of a Company policy;</w:t>
      </w:r>
    </w:p>
    <w:p>
      <w:pPr>
        <w:spacing w:after="0" w:line="180" w:lineRule="exact"/>
        <w:rPr>
          <w:rFonts w:ascii="Times New Roman" w:cs="Times New Roman" w:eastAsia="Times New Roman" w:hAnsi="Times New Roman"/>
          <w:sz w:val="18"/>
          <w:szCs w:val="18"/>
          <w:color w:val="auto"/>
        </w:rPr>
      </w:pPr>
    </w:p>
    <w:p>
      <w:pPr>
        <w:ind w:left="2" w:firstLine="971"/>
        <w:spacing w:after="0" w:line="274" w:lineRule="auto"/>
        <w:tabs>
          <w:tab w:leader="none" w:pos="1235"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engaging by Executive in illegal conduct or misconduct (including fraud, embezzlement, theft or dishonesty or material violation of any Company policy), or gross negligence, in any case that has caused or is reasonably expected to result in injury to the Company or any affiliate;</w:t>
      </w:r>
    </w:p>
    <w:p>
      <w:pPr>
        <w:spacing w:after="0" w:line="163" w:lineRule="exact"/>
        <w:rPr>
          <w:rFonts w:ascii="Times New Roman" w:cs="Times New Roman" w:eastAsia="Times New Roman" w:hAnsi="Times New Roman"/>
          <w:sz w:val="18"/>
          <w:szCs w:val="18"/>
          <w:color w:val="auto"/>
        </w:rPr>
      </w:pPr>
    </w:p>
    <w:p>
      <w:pPr>
        <w:ind w:left="1282" w:hanging="309"/>
        <w:spacing w:after="0"/>
        <w:tabs>
          <w:tab w:leader="none" w:pos="1282"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or plea of no contest to, a felony or any misdemeanor crime involving fraud, moral turpitude or</w:t>
      </w:r>
    </w:p>
    <w:p>
      <w:pPr>
        <w:spacing w:after="0" w:line="24"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dishonesty;</w:t>
      </w:r>
    </w:p>
    <w:p>
      <w:pPr>
        <w:spacing w:after="0" w:line="197" w:lineRule="exact"/>
        <w:rPr>
          <w:rFonts w:ascii="Times New Roman" w:cs="Times New Roman" w:eastAsia="Times New Roman" w:hAnsi="Times New Roman"/>
          <w:sz w:val="18"/>
          <w:szCs w:val="18"/>
          <w:color w:val="auto"/>
        </w:rPr>
      </w:pPr>
    </w:p>
    <w:p>
      <w:pPr>
        <w:ind w:left="1282" w:hanging="309"/>
        <w:spacing w:after="0"/>
        <w:tabs>
          <w:tab w:leader="none" w:pos="1282"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breach of any written agreement or restrictive covenants with the Company; or</w:t>
      </w:r>
    </w:p>
    <w:p>
      <w:pPr>
        <w:spacing w:after="0" w:line="217" w:lineRule="exact"/>
        <w:rPr>
          <w:rFonts w:ascii="Times New Roman" w:cs="Times New Roman" w:eastAsia="Times New Roman" w:hAnsi="Times New Roman"/>
          <w:sz w:val="18"/>
          <w:szCs w:val="18"/>
          <w:color w:val="auto"/>
        </w:rPr>
      </w:pPr>
    </w:p>
    <w:p>
      <w:pPr>
        <w:ind w:left="2" w:right="140" w:firstLine="971"/>
        <w:spacing w:after="0" w:line="274" w:lineRule="auto"/>
        <w:tabs>
          <w:tab w:leader="none" w:pos="1225" w:val="left"/>
        </w:tabs>
        <w:numPr>
          <w:ilvl w:val="2"/>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violation of any law, rule or regulation relating in any way to the business or activities of the Company or any affiliate, or other law, rule or regulation that is violated, during the course of Executive’s performance of services hereunder that results in Executive’s regulatory suspension or disqualification, including, without limitation, the Generic Drug Enforcement Act of 1992, 21 U.S.C. § 335(a), or any similar legislation applicable in the United States or in any other country where the Company or any affiliate intends to develop its activities.</w:t>
      </w:r>
    </w:p>
    <w:p>
      <w:pPr>
        <w:spacing w:after="0" w:line="167" w:lineRule="exact"/>
        <w:rPr>
          <w:sz w:val="20"/>
          <w:szCs w:val="20"/>
          <w:color w:val="auto"/>
        </w:rPr>
      </w:pPr>
    </w:p>
    <w:p>
      <w:pPr>
        <w:jc w:val="both"/>
        <w:ind w:left="2" w:right="160" w:firstLine="432"/>
        <w:spacing w:after="0" w:line="259" w:lineRule="auto"/>
        <w:rPr>
          <w:sz w:val="20"/>
          <w:szCs w:val="20"/>
          <w:color w:val="auto"/>
        </w:rPr>
      </w:pPr>
      <w:r>
        <w:rPr>
          <w:rFonts w:ascii="Times New Roman" w:cs="Times New Roman" w:eastAsia="Times New Roman" w:hAnsi="Times New Roman"/>
          <w:sz w:val="18"/>
          <w:szCs w:val="18"/>
          <w:color w:val="auto"/>
        </w:rPr>
        <w:t>No action or inaction based upon direction of the Board or advice of counsel to the Company shall constitute Cause. Poor performance shall not, in and of itself, constitute Cause. No termination of Executive’s employment for Cause shall occur absent a resolution of the Board and the reasonable opportunity for Executive (with Executive’s counsel) to be heard before the Board.</w:t>
      </w:r>
    </w:p>
    <w:p>
      <w:pPr>
        <w:spacing w:after="0" w:line="178" w:lineRule="exact"/>
        <w:rPr>
          <w:sz w:val="20"/>
          <w:szCs w:val="20"/>
          <w:color w:val="auto"/>
        </w:rPr>
      </w:pPr>
    </w:p>
    <w:p>
      <w:pPr>
        <w:ind w:left="2" w:right="380" w:firstLine="430"/>
        <w:spacing w:after="0" w:line="274" w:lineRule="auto"/>
        <w:tabs>
          <w:tab w:leader="none" w:pos="684"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Company’s 2022 Incentive Award Plan, as in effect on the Effective Date.</w:t>
      </w:r>
    </w:p>
    <w:p>
      <w:pPr>
        <w:spacing w:after="0" w:line="163" w:lineRule="exact"/>
        <w:rPr>
          <w:rFonts w:ascii="Times New Roman" w:cs="Times New Roman" w:eastAsia="Times New Roman" w:hAnsi="Times New Roman"/>
          <w:sz w:val="18"/>
          <w:szCs w:val="18"/>
          <w:color w:val="auto"/>
        </w:rPr>
      </w:pPr>
    </w:p>
    <w:p>
      <w:pPr>
        <w:ind w:left="682" w:hanging="250"/>
        <w:spacing w:after="0"/>
        <w:tabs>
          <w:tab w:leader="none" w:pos="682"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and the regulations and guidance promulgated thereunder.</w:t>
      </w:r>
    </w:p>
    <w:p>
      <w:pPr>
        <w:spacing w:after="0" w:line="217" w:lineRule="exact"/>
        <w:rPr>
          <w:rFonts w:ascii="Times New Roman" w:cs="Times New Roman" w:eastAsia="Times New Roman" w:hAnsi="Times New Roman"/>
          <w:sz w:val="18"/>
          <w:szCs w:val="18"/>
          <w:color w:val="auto"/>
        </w:rPr>
      </w:pPr>
    </w:p>
    <w:p>
      <w:pPr>
        <w:ind w:left="682" w:hanging="250"/>
        <w:spacing w:after="0"/>
        <w:tabs>
          <w:tab w:leader="none" w:pos="682"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shall mean (i) if Executive’s employment is terminated by Executive’s death, the date of</w:t>
      </w:r>
    </w:p>
    <w:p>
      <w:pPr>
        <w:spacing w:after="0" w:line="24" w:lineRule="exact"/>
        <w:rPr>
          <w:rFonts w:ascii="Times New Roman" w:cs="Times New Roman" w:eastAsia="Times New Roman" w:hAnsi="Times New Roman"/>
          <w:sz w:val="18"/>
          <w:szCs w:val="18"/>
          <w:color w:val="auto"/>
        </w:rPr>
      </w:pPr>
    </w:p>
    <w:p>
      <w:pPr>
        <w:ind w:left="2"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death; or (ii) if Executive’s employment is terminated pursuant to Section 3(a)(ii)-(vi) either the date indicated in the Notice of Termination or the date specified by the Company pursuant to Section 3(b), whichever is earlier.</w:t>
      </w:r>
    </w:p>
    <w:p>
      <w:pPr>
        <w:spacing w:after="0" w:line="183" w:lineRule="exact"/>
        <w:rPr>
          <w:rFonts w:ascii="Times New Roman" w:cs="Times New Roman" w:eastAsia="Times New Roman" w:hAnsi="Times New Roman"/>
          <w:sz w:val="18"/>
          <w:szCs w:val="18"/>
          <w:color w:val="auto"/>
        </w:rPr>
      </w:pPr>
    </w:p>
    <w:p>
      <w:pPr>
        <w:ind w:left="2" w:firstLine="430"/>
        <w:spacing w:after="0" w:line="252" w:lineRule="auto"/>
        <w:tabs>
          <w:tab w:leader="none" w:pos="674"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shall mean, at any time the Company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w:t>
      </w:r>
    </w:p>
    <w:p>
      <w:pPr>
        <w:spacing w:after="0" w:line="1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02"/>
          </w:cols>
          <w:pgMar w:left="538" w:top="265" w:right="559" w:bottom="1440" w:gutter="0" w:footer="0" w:header="0"/>
        </w:sectPr>
      </w:pPr>
    </w:p>
    <w:bookmarkStart w:id="549" w:name="page550"/>
    <w:bookmarkEnd w:id="549"/>
    <w:p>
      <w:pPr>
        <w:ind w:left="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persons required to make disability determinations under the long-term disability plan. At any time the Company does not sponsor a long-term disability plan for its employees, “Disability” shall mean Executive’s inability to perform, with reasonable accommodation, the essential functions of Executive’s positions hereunder for a total of 180 days within a 12 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85" w:lineRule="exact"/>
        <w:rPr>
          <w:sz w:val="20"/>
          <w:szCs w:val="20"/>
          <w:color w:val="auto"/>
        </w:rPr>
      </w:pPr>
    </w:p>
    <w:p>
      <w:pPr>
        <w:ind w:left="2" w:right="40" w:firstLine="430"/>
        <w:spacing w:after="0" w:line="248" w:lineRule="auto"/>
        <w:tabs>
          <w:tab w:leader="none" w:pos="655"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For the sole purpose of determining Executive’s right to severance payments and benefits as described above, Executive’s resignation will be with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if Executive resigns within one hundred twenty (120) days after any of the following events, unless Executive expressly consents in writing to the applicable event: (i) a reduction in Executive’s Annual Base Salary or Target Bonus, other than a reduction of less than ten percent (10%) (aggregating all prior reductions) that is implemented in connection with a contemporaneous reduction in annual base salaries affecting other senior executives of the Company; (ii) a material decrease in Executive’s authority or areas of responsibility as are commensurate with Executive’s title or position with the Company (including the failure to nominate Executive to the Board); (iii) the relocation of Executive’s primary office to a location that increases Executive’s one-way commute by more than fifty (50) miles from Executive’s commute to the location at which Executive is employed prior to such change; or (iv)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w:t>
      </w:r>
    </w:p>
    <w:p>
      <w:pPr>
        <w:spacing w:after="0" w:line="293"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Parachute Payments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firstLine="430"/>
        <w:spacing w:after="0" w:line="261" w:lineRule="auto"/>
        <w:tabs>
          <w:tab w:leader="none" w:pos="674"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Best Pay Provision</w:t>
      </w:r>
      <w:r>
        <w:rPr>
          <w:rFonts w:ascii="Times New Roman" w:cs="Times New Roman" w:eastAsia="Times New Roman" w:hAnsi="Times New Roman"/>
          <w:sz w:val="17"/>
          <w:szCs w:val="17"/>
          <w:color w:val="auto"/>
        </w:rPr>
        <w:t>. In the event that any payment or benefit received or to be received by Executive pursuant to the terms of any plan, arrangement or agreement (including any payment or benefit received in connection with a change in ownership or control or the termination of Executive’s employment) (all such payments and benefits being hereinafter referred to as the “</w:t>
      </w:r>
      <w:r>
        <w:rPr>
          <w:rFonts w:ascii="Times New Roman" w:cs="Times New Roman" w:eastAsia="Times New Roman" w:hAnsi="Times New Roman"/>
          <w:sz w:val="17"/>
          <w:szCs w:val="17"/>
          <w:u w:val="single" w:color="auto"/>
          <w:color w:val="auto"/>
        </w:rPr>
        <w:t>Total Payments</w:t>
      </w:r>
      <w:r>
        <w:rPr>
          <w:rFonts w:ascii="Times New Roman" w:cs="Times New Roman" w:eastAsia="Times New Roman" w:hAnsi="Times New Roman"/>
          <w:sz w:val="17"/>
          <w:szCs w:val="17"/>
          <w:color w:val="auto"/>
        </w:rPr>
        <w:t>”) would be subject (in whole or part) to the excise tax (the “</w:t>
      </w:r>
      <w:r>
        <w:rPr>
          <w:rFonts w:ascii="Times New Roman" w:cs="Times New Roman" w:eastAsia="Times New Roman" w:hAnsi="Times New Roman"/>
          <w:sz w:val="17"/>
          <w:szCs w:val="17"/>
          <w:u w:val="single" w:color="auto"/>
          <w:color w:val="auto"/>
        </w:rPr>
        <w:t>Excise Tax</w:t>
      </w:r>
      <w:r>
        <w:rPr>
          <w:rFonts w:ascii="Times New Roman" w:cs="Times New Roman" w:eastAsia="Times New Roman" w:hAnsi="Times New Roman"/>
          <w:sz w:val="17"/>
          <w:szCs w:val="17"/>
          <w:color w:val="auto"/>
        </w:rPr>
        <w:t xml:space="preserve">”) imposed under Section 4999 of the Code, then the Total Payments shall be reduced to the extent necessary so that no portion of the Total Payments is subject to the Excise Tax but only if (i)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sentence shall not apply if, immediately before the change in ownership or control on which such Total Payments are contingent or otherwise relate, no stock in the Company is readily tradeable on an established securities market or otherwise (as determined in accordance with Treasury Reg. Section 1.280G-1 Q&amp;A 6). Except to the extent that an alternative reduction order would result in a greater economic benefit to Executive on an after-tax basis, the Parties intend that the Total Payments shall be reduced in the following order: (w) reduction of any cash severance payments otherwise payable to Executive that are exempt from Section 409A of the Code,</w:t>
      </w:r>
    </w:p>
    <w:p>
      <w:pPr>
        <w:spacing w:after="0" w:line="11" w:lineRule="exact"/>
        <w:rPr>
          <w:rFonts w:ascii="Times New Roman" w:cs="Times New Roman" w:eastAsia="Times New Roman" w:hAnsi="Times New Roman"/>
          <w:sz w:val="17"/>
          <w:szCs w:val="17"/>
          <w:color w:val="auto"/>
        </w:rPr>
      </w:pPr>
    </w:p>
    <w:p>
      <w:pPr>
        <w:ind w:left="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reduction of any other cash payments or benefits otherwise payable to Executive that</w:t>
      </w:r>
    </w:p>
    <w:p>
      <w:pPr>
        <w:spacing w:after="0" w:line="13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2"/>
          </w:cols>
          <w:pgMar w:left="538" w:top="267" w:right="579" w:bottom="1440" w:gutter="0" w:footer="0" w:header="0"/>
        </w:sectPr>
      </w:pPr>
    </w:p>
    <w:bookmarkStart w:id="550" w:name="page551"/>
    <w:bookmarkEnd w:id="550"/>
    <w:p>
      <w:pPr>
        <w:ind w:left="2" w:right="4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are exempt from Section 409A of the Code, but excluding any payment attributable to the acceleration of vesting or payment with respect to any equity award that is exempt from Section 409A of the Code, (y) reduction of any other payments or benefits otherwise payable to Executive on a pro-rata basis or such other manner that complies with 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case of clauses (x), (y) and (z), that reduction of any payments or benefits attributable to the acceleration of vesting of Company equity awards shall be first applied to equity awards with later vesting dates;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notwithstanding the foregoing, any such reduction shall be undertaken in a manner that complies with and does not result in the imposition of additional taxes on Executive under Section 409A of the Code. The foregoing reductions shall be made in a manner that results in the maximum economic benefit to Executive on an after-tax basis and, to the extent economically equivalent payments or benefits are subject to reduction, in a pro rata manner.</w:t>
      </w:r>
    </w:p>
    <w:p>
      <w:pPr>
        <w:spacing w:after="0" w:line="193" w:lineRule="exact"/>
        <w:rPr>
          <w:sz w:val="20"/>
          <w:szCs w:val="20"/>
          <w:color w:val="auto"/>
        </w:rPr>
      </w:pPr>
    </w:p>
    <w:p>
      <w:pPr>
        <w:ind w:left="2" w:right="100" w:firstLine="430"/>
        <w:spacing w:after="0" w:line="272" w:lineRule="auto"/>
        <w:tabs>
          <w:tab w:leader="none" w:pos="684"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Determinations</w:t>
      </w:r>
      <w:r>
        <w:rPr>
          <w:rFonts w:ascii="Times New Roman" w:cs="Times New Roman" w:eastAsia="Times New Roman" w:hAnsi="Times New Roman"/>
          <w:sz w:val="17"/>
          <w:szCs w:val="17"/>
          <w:color w:val="auto"/>
        </w:rPr>
        <w:t>. All determinations regarding the application of this Section 8 shall be made by an independent accounting firm or consulting group with nationally recognized standing and substantial expertise and experience in performing calculations regarding the applicability of</w:t>
      </w:r>
    </w:p>
    <w:p>
      <w:pPr>
        <w:ind w:left="2"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280G of the Code and the Excise Tax retained by the Company prior to the date of the applicable change in ownership or control (the “</w:t>
      </w:r>
      <w:r>
        <w:rPr>
          <w:rFonts w:ascii="Times New Roman" w:cs="Times New Roman" w:eastAsia="Times New Roman" w:hAnsi="Times New Roman"/>
          <w:sz w:val="17"/>
          <w:szCs w:val="17"/>
          <w:u w:val="single" w:color="auto"/>
          <w:color w:val="auto"/>
        </w:rPr>
        <w:t>280G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Firm</w:t>
      </w:r>
      <w:r>
        <w:rPr>
          <w:rFonts w:ascii="Times New Roman" w:cs="Times New Roman" w:eastAsia="Times New Roman" w:hAnsi="Times New Roman"/>
          <w:sz w:val="17"/>
          <w:szCs w:val="17"/>
          <w:color w:val="auto"/>
        </w:rPr>
        <w:t>”). For purposes of determining whether and the extent to which the Total Payments will be subject to the Excise Tax, (i)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 compensation, (ii) no portion of the Total Payments the receipt or enjoyment of which Executive shall have waived at such time and in such manner as not to constitute a “payment” within the meaning of Section 280G(b) of the Code shall be taken into account, and</w:t>
      </w:r>
    </w:p>
    <w:p>
      <w:pPr>
        <w:spacing w:after="0" w:line="1" w:lineRule="exact"/>
        <w:rPr>
          <w:rFonts w:ascii="Times New Roman" w:cs="Times New Roman" w:eastAsia="Times New Roman" w:hAnsi="Times New Roman"/>
          <w:sz w:val="17"/>
          <w:szCs w:val="17"/>
          <w:color w:val="auto"/>
        </w:rPr>
      </w:pPr>
    </w:p>
    <w:p>
      <w:pPr>
        <w:ind w:left="2" w:right="260" w:hanging="2"/>
        <w:spacing w:after="0" w:line="260" w:lineRule="auto"/>
        <w:tabs>
          <w:tab w:leader="none" w:pos="311"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“Section 280G Treatment” section shall be done by the 280G Firm. The 280G Firm will be directed to submit its determination and detailed supporting calculations to both Executive and the Company within fifteen (15) days after notification from either the Company or Executive that Executive may receive payments which may be “parachute payments.” Executive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w:t>
      </w:r>
    </w:p>
    <w:p>
      <w:pPr>
        <w:spacing w:after="0" w:line="1" w:lineRule="exact"/>
        <w:rPr>
          <w:rFonts w:ascii="Times New Roman" w:cs="Times New Roman" w:eastAsia="Times New Roman" w:hAnsi="Times New Roman"/>
          <w:sz w:val="17"/>
          <w:szCs w:val="17"/>
          <w:color w:val="auto"/>
        </w:rPr>
      </w:pPr>
    </w:p>
    <w:p>
      <w:pPr>
        <w:ind w:left="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280G Firm for its services in connection with the determinations and calculations contemplated by this Agreement will be borne solely by the Company.</w:t>
      </w:r>
    </w:p>
    <w:p>
      <w:pPr>
        <w:spacing w:after="0" w:line="209" w:lineRule="exact"/>
        <w:rPr>
          <w:rFonts w:ascii="Times New Roman" w:cs="Times New Roman" w:eastAsia="Times New Roman" w:hAnsi="Times New Roman"/>
          <w:sz w:val="17"/>
          <w:szCs w:val="17"/>
          <w:color w:val="auto"/>
        </w:rPr>
      </w:pPr>
    </w:p>
    <w:p>
      <w:pPr>
        <w:ind w:left="2" w:right="40" w:firstLine="430"/>
        <w:spacing w:after="0" w:line="267" w:lineRule="auto"/>
        <w:tabs>
          <w:tab w:leader="none" w:pos="674"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Exception</w:t>
      </w:r>
      <w:r>
        <w:rPr>
          <w:rFonts w:ascii="Times New Roman" w:cs="Times New Roman" w:eastAsia="Times New Roman" w:hAnsi="Times New Roman"/>
          <w:sz w:val="17"/>
          <w:szCs w:val="17"/>
          <w:color w:val="auto"/>
        </w:rPr>
        <w:t>. Notwithstanding the foregoing, if any portion of the Total Payments would not be subject to the Excise Tax if the stockholder approval requirements of Section 280G(b)(5) of the Code are satisfied, subject to Executive’s waiver of the rights to such portion of the Total Payments above the safe harbor threshold in accordance with 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Executive under this Agreement or otherwise to the Company’s stockholders for approval in accordance with Treasury Reg. Section 1.280G-1 Q&amp;A 7, the foregoing provisions under this Section 8</w:t>
      </w:r>
    </w:p>
    <w:p>
      <w:pPr>
        <w:spacing w:after="0" w:line="10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82"/>
          </w:cols>
          <w:pgMar w:left="538" w:top="266" w:right="579" w:bottom="1440" w:gutter="0" w:footer="0" w:header="0"/>
        </w:sectPr>
      </w:pPr>
    </w:p>
    <w:bookmarkStart w:id="551" w:name="page552"/>
    <w:bookmarkEnd w:id="551"/>
    <w:p>
      <w:pPr>
        <w:jc w:val="both"/>
        <w:ind w:left="2" w:right="20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shall not apply following such submission and such payments and benefits will be treated in accordance with the results of such vote, except that any reduction in, or waiver above the safe harbor threshold of, such payments or benefits required by such vote will be applied without any application of discretion by Executive and in the order prescribed in Section 8(a).</w:t>
      </w:r>
    </w:p>
    <w:p>
      <w:pPr>
        <w:spacing w:after="0" w:line="282" w:lineRule="exact"/>
        <w:rPr>
          <w:sz w:val="20"/>
          <w:szCs w:val="20"/>
          <w:color w:val="auto"/>
        </w:rPr>
      </w:pPr>
    </w:p>
    <w:p>
      <w:pPr>
        <w:ind w:left="182" w:hanging="182"/>
        <w:spacing w:after="0"/>
        <w:tabs>
          <w:tab w:leader="none" w:pos="182"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right="20" w:firstLine="430"/>
        <w:spacing w:after="0" w:line="251" w:lineRule="auto"/>
        <w:tabs>
          <w:tab w:leader="none" w:pos="674"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Agreement shall be governed, construed, interpreted and enforced in accordance with its express terms, and otherwise in accordance with the substantive laws of the State of California without reference to the principles of conflicts of law of the State of California or any other jurisdiction that would result in the application of the laws of a jurisdiction other than the State of California, and where applicable, the laws of the United States. Any suit brought hereon shall be brought in the state or federal courts sitting in Orange County, California, the parties hereto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5" w:lineRule="exact"/>
        <w:rPr>
          <w:rFonts w:ascii="Times New Roman" w:cs="Times New Roman" w:eastAsia="Times New Roman" w:hAnsi="Times New Roman"/>
          <w:sz w:val="18"/>
          <w:szCs w:val="18"/>
          <w:color w:val="auto"/>
        </w:rPr>
      </w:pPr>
    </w:p>
    <w:p>
      <w:pPr>
        <w:ind w:left="2" w:right="220" w:firstLine="430"/>
        <w:spacing w:after="0" w:line="274" w:lineRule="auto"/>
        <w:tabs>
          <w:tab w:leader="none" w:pos="684"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63" w:lineRule="exact"/>
        <w:rPr>
          <w:rFonts w:ascii="Times New Roman" w:cs="Times New Roman" w:eastAsia="Times New Roman" w:hAnsi="Times New Roman"/>
          <w:sz w:val="18"/>
          <w:szCs w:val="18"/>
          <w:color w:val="auto"/>
        </w:rPr>
      </w:pPr>
    </w:p>
    <w:p>
      <w:pPr>
        <w:ind w:left="2" w:right="20" w:firstLine="430"/>
        <w:spacing w:after="0" w:line="304" w:lineRule="auto"/>
        <w:tabs>
          <w:tab w:leader="none" w:pos="674"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claim, demand, document, and other communication hereunder to any Party shall be effective upon receipt (or refusal of receipt) and shall be in writing and delivered personally or sent by facsimile, email or certified or registered mail, postage prepaid, as follows:</w:t>
      </w:r>
    </w:p>
    <w:p>
      <w:pPr>
        <w:spacing w:after="0" w:line="34" w:lineRule="exact"/>
        <w:rPr>
          <w:rFonts w:ascii="Times New Roman" w:cs="Times New Roman" w:eastAsia="Times New Roman" w:hAnsi="Times New Roman"/>
          <w:sz w:val="17"/>
          <w:szCs w:val="17"/>
          <w:color w:val="auto"/>
        </w:rPr>
      </w:pPr>
    </w:p>
    <w:p>
      <w:pPr>
        <w:ind w:left="1062" w:hanging="215"/>
        <w:spacing w:after="0"/>
        <w:tabs>
          <w:tab w:leader="none" w:pos="1062"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Chairman of the Board of the Company at the Company’s headquarters,</w:t>
      </w:r>
    </w:p>
    <w:p>
      <w:pPr>
        <w:spacing w:after="0" w:line="111" w:lineRule="exact"/>
        <w:rPr>
          <w:rFonts w:ascii="Times New Roman" w:cs="Times New Roman" w:eastAsia="Times New Roman" w:hAnsi="Times New Roman"/>
          <w:sz w:val="18"/>
          <w:szCs w:val="18"/>
          <w:color w:val="auto"/>
        </w:rPr>
      </w:pPr>
    </w:p>
    <w:p>
      <w:pPr>
        <w:ind w:left="1102" w:hanging="255"/>
        <w:spacing w:after="0"/>
        <w:tabs>
          <w:tab w:leader="none" w:pos="1102"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Executive, to the last address that the Company has in its personnel records for Executive, or</w:t>
      </w:r>
    </w:p>
    <w:p>
      <w:pPr>
        <w:spacing w:after="0" w:line="111" w:lineRule="exact"/>
        <w:rPr>
          <w:rFonts w:ascii="Times New Roman" w:cs="Times New Roman" w:eastAsia="Times New Roman" w:hAnsi="Times New Roman"/>
          <w:sz w:val="18"/>
          <w:szCs w:val="18"/>
          <w:color w:val="auto"/>
        </w:rPr>
      </w:pPr>
    </w:p>
    <w:p>
      <w:pPr>
        <w:ind w:left="1162" w:hanging="315"/>
        <w:spacing w:after="0"/>
        <w:tabs>
          <w:tab w:leader="none" w:pos="1162"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other address as any Party shall have specified by notice in writing to the other Party.</w:t>
      </w:r>
    </w:p>
    <w:p>
      <w:pPr>
        <w:spacing w:after="0" w:line="217" w:lineRule="exact"/>
        <w:rPr>
          <w:rFonts w:ascii="Times New Roman" w:cs="Times New Roman" w:eastAsia="Times New Roman" w:hAnsi="Times New Roman"/>
          <w:sz w:val="18"/>
          <w:szCs w:val="18"/>
          <w:color w:val="auto"/>
        </w:rPr>
      </w:pPr>
    </w:p>
    <w:p>
      <w:pPr>
        <w:ind w:left="2" w:right="400" w:firstLine="430"/>
        <w:spacing w:after="0" w:line="304" w:lineRule="auto"/>
        <w:tabs>
          <w:tab w:leader="none" w:pos="684"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40" w:lineRule="exact"/>
        <w:rPr>
          <w:rFonts w:ascii="Times New Roman" w:cs="Times New Roman" w:eastAsia="Times New Roman" w:hAnsi="Times New Roman"/>
          <w:sz w:val="17"/>
          <w:szCs w:val="17"/>
          <w:color w:val="auto"/>
        </w:rPr>
      </w:pPr>
    </w:p>
    <w:p>
      <w:pPr>
        <w:ind w:left="2" w:right="100" w:firstLine="430"/>
        <w:spacing w:after="0" w:line="251" w:lineRule="auto"/>
        <w:tabs>
          <w:tab w:leader="none" w:pos="674"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of this Agreement, and the Restrictive Covenant Agreement incorporated herein by reference as set forth in Section 5,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(including the Prior Agreement).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85" w:lineRule="exact"/>
        <w:rPr>
          <w:rFonts w:ascii="Times New Roman" w:cs="Times New Roman" w:eastAsia="Times New Roman" w:hAnsi="Times New Roman"/>
          <w:sz w:val="18"/>
          <w:szCs w:val="18"/>
          <w:color w:val="auto"/>
        </w:rPr>
      </w:pPr>
    </w:p>
    <w:p>
      <w:pPr>
        <w:ind w:left="2" w:firstLine="430"/>
        <w:spacing w:after="0" w:line="259" w:lineRule="auto"/>
        <w:tabs>
          <w:tab w:leader="none" w:pos="655"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w:t>
      </w:r>
    </w:p>
    <w:p>
      <w:pPr>
        <w:spacing w:after="0" w:line="112"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2"/>
          </w:cols>
          <w:pgMar w:left="538" w:top="266" w:right="599" w:bottom="1440" w:gutter="0" w:footer="0" w:header="0"/>
        </w:sectPr>
      </w:pPr>
    </w:p>
    <w:bookmarkStart w:id="552" w:name="page553"/>
    <w:bookmarkEnd w:id="552"/>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Party was or is obligated to comply with or perform;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75" w:lineRule="exact"/>
        <w:rPr>
          <w:sz w:val="20"/>
          <w:szCs w:val="20"/>
          <w:color w:val="auto"/>
        </w:rPr>
      </w:pPr>
    </w:p>
    <w:p>
      <w:pPr>
        <w:ind w:firstLine="430"/>
        <w:spacing w:after="0" w:line="249" w:lineRule="auto"/>
        <w:tabs>
          <w:tab w:leader="none" w:pos="68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7" w:lineRule="exact"/>
        <w:rPr>
          <w:rFonts w:ascii="Times New Roman" w:cs="Times New Roman" w:eastAsia="Times New Roman" w:hAnsi="Times New Roman"/>
          <w:sz w:val="18"/>
          <w:szCs w:val="18"/>
          <w:color w:val="auto"/>
        </w:rPr>
      </w:pPr>
    </w:p>
    <w:p>
      <w:pPr>
        <w:ind w:right="120" w:firstLine="430"/>
        <w:spacing w:after="0" w:line="259" w:lineRule="auto"/>
        <w:tabs>
          <w:tab w:leader="none" w:pos="68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The Company offers a voluntary arbitration program for California employees, which will be provided to Executive separately. The program is not a condition of employment. In the event Executive elects to participate in such voluntary arbitration program, such agreement shall be referred to herein as the “</w:t>
      </w:r>
      <w:r>
        <w:rPr>
          <w:rFonts w:ascii="Times New Roman" w:cs="Times New Roman" w:eastAsia="Times New Roman" w:hAnsi="Times New Roman"/>
          <w:sz w:val="18"/>
          <w:szCs w:val="18"/>
          <w:u w:val="single" w:color="auto"/>
          <w:color w:val="auto"/>
        </w:rPr>
        <w:t>Arbitration Agreement</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right="20" w:firstLine="430"/>
        <w:spacing w:after="0" w:line="251" w:lineRule="auto"/>
        <w:tabs>
          <w:tab w:leader="none" w:pos="643"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5" w:lineRule="exact"/>
        <w:rPr>
          <w:rFonts w:ascii="Times New Roman" w:cs="Times New Roman" w:eastAsia="Times New Roman" w:hAnsi="Times New Roman"/>
          <w:sz w:val="18"/>
          <w:szCs w:val="18"/>
          <w:color w:val="auto"/>
        </w:rPr>
      </w:pPr>
    </w:p>
    <w:p>
      <w:pPr>
        <w:ind w:right="40" w:firstLine="430"/>
        <w:spacing w:after="0" w:line="259" w:lineRule="auto"/>
        <w:tabs>
          <w:tab w:leader="none" w:pos="643"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7"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440" w:right="100" w:firstLine="405"/>
        <w:spacing w:after="0" w:line="253" w:lineRule="auto"/>
        <w:tabs>
          <w:tab w:leader="none" w:pos="1066"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intent of the Parties is that the payments and benefits under this Agreement comply with or be exempt from Section 409A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accordingly, to the maximum extent permitted, this Agreement shall be interpreted to be in compliance therewith. If the Company and Executive agree in good faith that the payments and benefits under this Agreement would not comply with Section 409A, the Parties hereto shall reasonably and in good faith attempt to modify this Agreement to comply with Section 409A while endeavoring to maintain the intended economic benefits hereunder.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60"/>
          </w:cols>
          <w:pgMar w:left="540" w:top="265" w:right="599" w:bottom="1440" w:gutter="0" w:footer="0" w:header="0"/>
        </w:sectPr>
      </w:pPr>
    </w:p>
    <w:bookmarkStart w:id="553" w:name="page554"/>
    <w:bookmarkEnd w:id="553"/>
    <w:p>
      <w:pPr>
        <w:ind w:left="442" w:right="40" w:firstLine="405"/>
        <w:spacing w:after="0" w:line="250" w:lineRule="auto"/>
        <w:tabs>
          <w:tab w:leader="none" w:pos="111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Separation from Service. </w:t>
      </w:r>
      <w:r>
        <w:rPr>
          <w:rFonts w:ascii="Times New Roman" w:cs="Times New Roman" w:eastAsia="Times New Roman" w:hAnsi="Times New Roman"/>
          <w:sz w:val="18"/>
          <w:szCs w:val="18"/>
          <w:color w:val="auto"/>
        </w:rPr>
        <w:t>Notwithstanding anything in this Agreement to the contrary, (A) any compensation or benefits payable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and (B) in the event that, with respect to the amounts payable under Sections 4(b) or 4(c), the timing of the delivery of Executive’s Release could cause such amounts to begin in one or another taxable year, to the extent such amounts are subject to Section 409A, then notwithstanding the payment timing set forth in such Sections, such amounts shall not be payable until the later of (1) the payment date specified in such Section or (2) the first business day of the taxable year following Executive’s Separation from Service.</w:t>
      </w:r>
    </w:p>
    <w:p>
      <w:pPr>
        <w:spacing w:after="0" w:line="80" w:lineRule="exact"/>
        <w:rPr>
          <w:rFonts w:ascii="Times New Roman" w:cs="Times New Roman" w:eastAsia="Times New Roman" w:hAnsi="Times New Roman"/>
          <w:sz w:val="18"/>
          <w:szCs w:val="18"/>
          <w:color w:val="auto"/>
        </w:rPr>
      </w:pPr>
    </w:p>
    <w:p>
      <w:pPr>
        <w:ind w:left="442" w:right="40" w:firstLine="405"/>
        <w:spacing w:after="0" w:line="254" w:lineRule="auto"/>
        <w:tabs>
          <w:tab w:leader="none" w:pos="1166"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Specified Employee. </w:t>
      </w:r>
      <w:r>
        <w:rPr>
          <w:rFonts w:ascii="Times New Roman" w:cs="Times New Roman" w:eastAsia="Times New Roman" w:hAnsi="Times New Roman"/>
          <w:sz w:val="18"/>
          <w:szCs w:val="18"/>
          <w:color w:val="auto"/>
        </w:rPr>
        <w:t>Notwithstanding anything in this Agreement to the contrary, if Executive is deemed by the Company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Separation from Service to be a “specified employee” for purposes of Section 409A, to the extent delayed commencement of any portion of the benefits to which Executive is entitled under this Agreement is required in order to avoid a prohibited distribution under</w:t>
      </w:r>
    </w:p>
    <w:p>
      <w:pPr>
        <w:ind w:left="442"/>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such portion of Executive’s benefits shall not be provided to Executive prior to the earlier of (x) the expiration of the six-month period measured from the date of Executive’s Separation from Service with the Company or (y)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79" w:lineRule="exact"/>
        <w:rPr>
          <w:rFonts w:ascii="Times New Roman" w:cs="Times New Roman" w:eastAsia="Times New Roman" w:hAnsi="Times New Roman"/>
          <w:sz w:val="18"/>
          <w:szCs w:val="18"/>
          <w:color w:val="auto"/>
        </w:rPr>
      </w:pPr>
    </w:p>
    <w:p>
      <w:pPr>
        <w:ind w:left="442" w:right="100" w:firstLine="405"/>
        <w:spacing w:after="0" w:line="251" w:lineRule="auto"/>
        <w:tabs>
          <w:tab w:leader="none" w:pos="1156"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Expense Reimbursements. </w:t>
      </w:r>
      <w:r>
        <w:rPr>
          <w:rFonts w:ascii="Times New Roman" w:cs="Times New Roman" w:eastAsia="Times New Roman" w:hAnsi="Times New Roman"/>
          <w:sz w:val="18"/>
          <w:szCs w:val="18"/>
          <w:color w:val="auto"/>
        </w:rPr>
        <w:t>To the extent that any reimbursements under this Agreement are subject to Section 409A, (A)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79" w:lineRule="exact"/>
        <w:rPr>
          <w:rFonts w:ascii="Times New Roman" w:cs="Times New Roman" w:eastAsia="Times New Roman" w:hAnsi="Times New Roman"/>
          <w:sz w:val="18"/>
          <w:szCs w:val="18"/>
          <w:color w:val="auto"/>
        </w:rPr>
      </w:pPr>
    </w:p>
    <w:p>
      <w:pPr>
        <w:ind w:left="442" w:right="80" w:firstLine="405"/>
        <w:spacing w:after="0" w:line="253" w:lineRule="auto"/>
        <w:tabs>
          <w:tab w:leader="none" w:pos="110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Installments. </w:t>
      </w:r>
      <w:r>
        <w:rPr>
          <w:rFonts w:ascii="Times New Roman" w:cs="Times New Roman" w:eastAsia="Times New Roman" w:hAnsi="Times New Roman"/>
          <w:sz w:val="18"/>
          <w:szCs w:val="18"/>
          <w:color w:val="auto"/>
        </w:rPr>
        <w:t>Executive’s right to receive any installment payments under this Agreement, including without limitation any continuation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83" w:lineRule="exact"/>
        <w:rPr>
          <w:rFonts w:ascii="Times New Roman" w:cs="Times New Roman" w:eastAsia="Times New Roman" w:hAnsi="Times New Roman"/>
          <w:sz w:val="18"/>
          <w:szCs w:val="18"/>
          <w:color w:val="auto"/>
        </w:rPr>
      </w:pPr>
    </w:p>
    <w:p>
      <w:pPr>
        <w:ind w:left="2" w:right="260" w:firstLine="430"/>
        <w:spacing w:after="0" w:line="274" w:lineRule="auto"/>
        <w:tabs>
          <w:tab w:leader="none" w:pos="64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Notwithstanding anything to the contrary in this Agreement, the provisions of Sections 5 through 9 will survive the termination of Executive’s employment and the termination of the Term.</w:t>
      </w:r>
    </w:p>
    <w:p>
      <w:pPr>
        <w:spacing w:after="0" w:line="267" w:lineRule="exact"/>
        <w:rPr>
          <w:sz w:val="20"/>
          <w:szCs w:val="20"/>
          <w:color w:val="auto"/>
        </w:rPr>
      </w:pPr>
    </w:p>
    <w:p>
      <w:pPr>
        <w:ind w:left="262" w:hanging="262"/>
        <w:spacing w:after="0"/>
        <w:tabs>
          <w:tab w:leader="none" w:pos="262"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Executive Acknowledgement</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ind w:left="2" w:right="20" w:firstLine="432"/>
        <w:spacing w:after="0" w:line="259" w:lineRule="auto"/>
        <w:rPr>
          <w:sz w:val="20"/>
          <w:szCs w:val="20"/>
          <w:color w:val="auto"/>
        </w:rPr>
      </w:pPr>
      <w:r>
        <w:rPr>
          <w:rFonts w:ascii="Times New Roman" w:cs="Times New Roman" w:eastAsia="Times New Roman" w:hAnsi="Times New Roman"/>
          <w:sz w:val="18"/>
          <w:szCs w:val="18"/>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82"/>
          </w:cols>
          <w:pgMar w:left="538" w:top="265" w:right="57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Agreement on the date and year first above written.</w:t>
      </w:r>
    </w:p>
    <w:p>
      <w:pPr>
        <w:spacing w:after="0" w:line="24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Simone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254952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Simone Song</w:t>
      </w:r>
    </w:p>
    <w:p>
      <w:pPr>
        <w:spacing w:after="0" w:line="1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Title:  Member of the Board of Directors &amp; Chairman of</w:t>
      </w:r>
    </w:p>
    <w:p>
      <w:pPr>
        <w:spacing w:after="0" w:line="1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19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14605</wp:posOffset>
            </wp:positionV>
            <wp:extent cx="274256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Print Name: Arthur Kuan</w:t>
      </w:r>
    </w:p>
    <w:p>
      <w:pPr>
        <w:spacing w:after="0" w:line="3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Employment Agreement]</w:t>
      </w:r>
    </w:p>
    <w:p>
      <w:pPr>
        <w:sectPr>
          <w:pgSz w:w="11900" w:h="16838" w:orient="portrait"/>
          <w:cols w:equalWidth="0" w:num="1">
            <w:col w:w="10360"/>
          </w:cols>
          <w:pgMar w:left="980" w:top="267" w:right="559" w:bottom="1440" w:gutter="0" w:footer="0" w:header="0"/>
        </w:sectPr>
      </w:pPr>
    </w:p>
    <w:bookmarkStart w:id="555" w:name="page556"/>
    <w:bookmarkEnd w:id="555"/>
    <w:p>
      <w:pPr>
        <w:jc w:val="center"/>
        <w:ind w:right="-1"/>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A</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SEPARATION AGREEMENT AND RELEASE</w:t>
      </w:r>
    </w:p>
    <w:p>
      <w:pPr>
        <w:spacing w:after="0" w:line="219"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This Separation Agreement and Release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Arthur Kuan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CG Oncology, Inc. (the</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(collectively referred to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or individually referred to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Capitalized terms used but not defined in this Agreement</w:t>
      </w:r>
    </w:p>
    <w:p>
      <w:pPr>
        <w:spacing w:after="0" w:line="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shall have the meanings set forth in the Amended and Restated Employment Agreement (as defined below).</w:t>
      </w:r>
    </w:p>
    <w:p>
      <w:pPr>
        <w:spacing w:after="0" w:line="198" w:lineRule="exact"/>
        <w:rPr>
          <w:sz w:val="20"/>
          <w:szCs w:val="20"/>
          <w:color w:val="auto"/>
        </w:rPr>
      </w:pPr>
    </w:p>
    <w:p>
      <w:pPr>
        <w:ind w:left="2" w:firstLine="432"/>
        <w:spacing w:after="0" w:line="274" w:lineRule="auto"/>
        <w:rPr>
          <w:sz w:val="20"/>
          <w:szCs w:val="20"/>
          <w:color w:val="auto"/>
        </w:rPr>
      </w:pPr>
      <w:r>
        <w:rPr>
          <w:rFonts w:ascii="Times New Roman" w:cs="Times New Roman" w:eastAsia="Times New Roman" w:hAnsi="Times New Roman"/>
          <w:sz w:val="18"/>
          <w:szCs w:val="18"/>
          <w:color w:val="auto"/>
        </w:rPr>
        <w:t>WHEREAS, the Parties have previously entered into that certain Amended and Restated Employment Agreement, dated as of March 15, 2023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that certain Restrictive Covenant Agreement (as defined in the Employment Agreement); and</w:t>
      </w:r>
    </w:p>
    <w:p>
      <w:pPr>
        <w:spacing w:after="0" w:line="163" w:lineRule="exact"/>
        <w:rPr>
          <w:sz w:val="20"/>
          <w:szCs w:val="20"/>
          <w:color w:val="auto"/>
        </w:rPr>
      </w:pPr>
    </w:p>
    <w:p>
      <w:pPr>
        <w:ind w:left="2" w:right="220" w:firstLine="432"/>
        <w:spacing w:after="0" w:line="272" w:lineRule="auto"/>
        <w:rPr>
          <w:sz w:val="20"/>
          <w:szCs w:val="20"/>
          <w:color w:val="auto"/>
        </w:rPr>
      </w:pPr>
      <w:r>
        <w:rPr>
          <w:rFonts w:ascii="Times New Roman" w:cs="Times New Roman" w:eastAsia="Times New Roman" w:hAnsi="Times New Roman"/>
          <w:sz w:val="17"/>
          <w:szCs w:val="17"/>
          <w:color w:val="auto"/>
        </w:rPr>
        <w:t>WHEREAS, in connection with Executive’s termination of employment with the Company or a subsidiary or affiliate of the Company effective [________], 20[__], the Parties wish to resolve any and all disputes, claims, complaints, grievances, charges, actions, petitions, and demands that</w:t>
      </w:r>
    </w:p>
    <w:p>
      <w:pPr>
        <w:ind w:left="2" w:right="40"/>
        <w:spacing w:after="0" w:line="247" w:lineRule="auto"/>
        <w:rPr>
          <w:sz w:val="20"/>
          <w:szCs w:val="20"/>
          <w:color w:val="auto"/>
        </w:rPr>
      </w:pPr>
      <w:r>
        <w:rPr>
          <w:rFonts w:ascii="Times New Roman" w:cs="Times New Roman" w:eastAsia="Times New Roman" w:hAnsi="Times New Roman"/>
          <w:sz w:val="18"/>
          <w:szCs w:val="18"/>
          <w:color w:val="auto"/>
        </w:rPr>
        <w:t>Executive may have against the Company and any of the Releases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or liability insurance by the Company or any of its affiliates pursuant to contract or applicable law (collectively, the “</w:t>
      </w:r>
      <w:r>
        <w:rPr>
          <w:rFonts w:ascii="Times New Roman" w:cs="Times New Roman" w:eastAsia="Times New Roman" w:hAnsi="Times New Roman"/>
          <w:sz w:val="18"/>
          <w:szCs w:val="18"/>
          <w:u w:val="single" w:color="auto"/>
          <w:color w:val="auto"/>
        </w:rPr>
        <w:t>Retained Claims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2" w:right="260" w:firstLine="432"/>
        <w:spacing w:after="0" w:line="259" w:lineRule="auto"/>
        <w:rPr>
          <w:sz w:val="20"/>
          <w:szCs w:val="20"/>
          <w:color w:val="auto"/>
        </w:rPr>
      </w:pPr>
      <w:r>
        <w:rPr>
          <w:rFonts w:ascii="Times New Roman" w:cs="Times New Roman" w:eastAsia="Times New Roman" w:hAnsi="Times New Roman"/>
          <w:sz w:val="18"/>
          <w:szCs w:val="18"/>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72" w:lineRule="exact"/>
        <w:rPr>
          <w:sz w:val="20"/>
          <w:szCs w:val="20"/>
          <w:color w:val="auto"/>
        </w:rPr>
      </w:pPr>
    </w:p>
    <w:p>
      <w:pPr>
        <w:ind w:left="2" w:right="40" w:hanging="2"/>
        <w:spacing w:after="0" w:line="252" w:lineRule="auto"/>
        <w:tabs>
          <w:tab w:leader="none" w:pos="17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 and Benefits; Salary and Benefits</w:t>
      </w:r>
      <w:r>
        <w:rPr>
          <w:rFonts w:ascii="Times New Roman" w:cs="Times New Roman" w:eastAsia="Times New Roman" w:hAnsi="Times New Roman"/>
          <w:sz w:val="18"/>
          <w:szCs w:val="18"/>
          <w:color w:val="auto"/>
        </w:rPr>
        <w:t>. The Company agrees to provide Executive with the severance payments and benefits described in Section 4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the Accrued Obligations described in Section 3(c) of the Employment Agreement, subject to and in accordance with the terms thereof.</w:t>
      </w:r>
    </w:p>
    <w:p>
      <w:pPr>
        <w:spacing w:after="0" w:line="185" w:lineRule="exact"/>
        <w:rPr>
          <w:rFonts w:ascii="Times New Roman" w:cs="Times New Roman" w:eastAsia="Times New Roman" w:hAnsi="Times New Roman"/>
          <w:sz w:val="18"/>
          <w:szCs w:val="18"/>
          <w:color w:val="auto"/>
        </w:rPr>
      </w:pPr>
    </w:p>
    <w:p>
      <w:pPr>
        <w:ind w:left="2" w:right="140" w:hanging="2"/>
        <w:spacing w:after="0" w:line="248" w:lineRule="auto"/>
        <w:tabs>
          <w:tab w:leader="none" w:pos="17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Executive agrees that, other than with respect to the Retained Claims, the foregoing consideration represents settlement in full of all outstanding obligations owed to Executive by the Company, any of its direct or indirect subsidiaries, and any of its or their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related to Executive’s employment with the Company or its subsidiaries or termination therefrom.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relating to Executive’s employment with the Company or its subsidiaries or termination therefrom, including, without limitation:</w:t>
      </w:r>
    </w:p>
    <w:p>
      <w:pPr>
        <w:spacing w:after="0" w:line="191" w:lineRule="exact"/>
        <w:rPr>
          <w:rFonts w:ascii="Times New Roman" w:cs="Times New Roman" w:eastAsia="Times New Roman" w:hAnsi="Times New Roman"/>
          <w:sz w:val="18"/>
          <w:szCs w:val="18"/>
          <w:color w:val="auto"/>
        </w:rPr>
      </w:pPr>
    </w:p>
    <w:p>
      <w:pPr>
        <w:ind w:left="2" w:right="160" w:firstLine="971"/>
        <w:spacing w:after="0" w:line="274" w:lineRule="auto"/>
        <w:tabs>
          <w:tab w:leader="none" w:pos="1215"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employment or service relationship with the Company or any of its direct or indirect subsidiaries and the termination of that relationship;</w:t>
      </w:r>
    </w:p>
    <w:p>
      <w:pPr>
        <w:sectPr>
          <w:pgSz w:w="11900" w:h="16838" w:orient="portrait"/>
          <w:cols w:equalWidth="0" w:num="1">
            <w:col w:w="10802"/>
          </w:cols>
          <w:pgMar w:left="538" w:top="264" w:right="559" w:bottom="1440" w:gutter="0" w:footer="0" w:header="0"/>
        </w:sectPr>
      </w:pPr>
    </w:p>
    <w:bookmarkStart w:id="556" w:name="page557"/>
    <w:bookmarkEnd w:id="556"/>
    <w:p>
      <w:pPr>
        <w:jc w:val="both"/>
        <w:ind w:left="-40" w:right="140" w:firstLine="971"/>
        <w:spacing w:after="0" w:line="259" w:lineRule="auto"/>
        <w:tabs>
          <w:tab w:leader="none" w:pos="118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77" w:lineRule="exact"/>
        <w:rPr>
          <w:rFonts w:ascii="Times New Roman" w:cs="Times New Roman" w:eastAsia="Times New Roman" w:hAnsi="Times New Roman"/>
          <w:sz w:val="18"/>
          <w:szCs w:val="18"/>
          <w:color w:val="auto"/>
        </w:rPr>
      </w:pPr>
    </w:p>
    <w:p>
      <w:pPr>
        <w:ind w:left="-40" w:right="120" w:firstLine="971"/>
        <w:spacing w:after="0" w:line="252" w:lineRule="auto"/>
        <w:tabs>
          <w:tab w:leader="none" w:pos="117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5" w:lineRule="exact"/>
        <w:rPr>
          <w:rFonts w:ascii="Times New Roman" w:cs="Times New Roman" w:eastAsia="Times New Roman" w:hAnsi="Times New Roman"/>
          <w:sz w:val="18"/>
          <w:szCs w:val="18"/>
          <w:color w:val="auto"/>
        </w:rPr>
      </w:pPr>
    </w:p>
    <w:p>
      <w:pPr>
        <w:ind w:left="-40" w:firstLine="971"/>
        <w:spacing w:after="0" w:line="252" w:lineRule="auto"/>
        <w:tabs>
          <w:tab w:leader="none" w:pos="118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 and the California Fair Employment and Housing Act, California Government Code Section 12940, et seq.;</w:t>
      </w:r>
    </w:p>
    <w:p>
      <w:pPr>
        <w:spacing w:after="0" w:line="185" w:lineRule="exact"/>
        <w:rPr>
          <w:rFonts w:ascii="Times New Roman" w:cs="Times New Roman" w:eastAsia="Times New Roman" w:hAnsi="Times New Roman"/>
          <w:sz w:val="18"/>
          <w:szCs w:val="18"/>
          <w:color w:val="auto"/>
        </w:rPr>
      </w:pPr>
    </w:p>
    <w:p>
      <w:pPr>
        <w:ind w:left="1180" w:hanging="249"/>
        <w:spacing w:after="0"/>
        <w:tabs>
          <w:tab w:leader="none" w:pos="118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the federal or any state constitution;</w:t>
      </w:r>
    </w:p>
    <w:p>
      <w:pPr>
        <w:spacing w:after="0" w:line="217" w:lineRule="exact"/>
        <w:rPr>
          <w:rFonts w:ascii="Times New Roman" w:cs="Times New Roman" w:eastAsia="Times New Roman" w:hAnsi="Times New Roman"/>
          <w:sz w:val="18"/>
          <w:szCs w:val="18"/>
          <w:color w:val="auto"/>
        </w:rPr>
      </w:pPr>
    </w:p>
    <w:p>
      <w:pPr>
        <w:ind w:left="1160" w:hanging="229"/>
        <w:spacing w:after="0"/>
        <w:tabs>
          <w:tab w:leader="none" w:pos="11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out of any other laws and regulations relating to employment or employment discrimination;</w:t>
      </w:r>
    </w:p>
    <w:p>
      <w:pPr>
        <w:spacing w:after="0" w:line="217" w:lineRule="exact"/>
        <w:rPr>
          <w:rFonts w:ascii="Times New Roman" w:cs="Times New Roman" w:eastAsia="Times New Roman" w:hAnsi="Times New Roman"/>
          <w:sz w:val="18"/>
          <w:szCs w:val="18"/>
          <w:color w:val="auto"/>
        </w:rPr>
      </w:pPr>
    </w:p>
    <w:p>
      <w:pPr>
        <w:ind w:left="-40" w:right="220" w:firstLine="971"/>
        <w:spacing w:after="0" w:line="274" w:lineRule="auto"/>
        <w:tabs>
          <w:tab w:leader="none" w:pos="118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any loss, cost, damage, or expense arising out of any dispute over the non-withholding or other tax treatment of any of the proceeds received by Executive as a result of this Agreement;</w:t>
      </w:r>
    </w:p>
    <w:p>
      <w:pPr>
        <w:spacing w:after="0" w:line="163" w:lineRule="exact"/>
        <w:rPr>
          <w:rFonts w:ascii="Times New Roman" w:cs="Times New Roman" w:eastAsia="Times New Roman" w:hAnsi="Times New Roman"/>
          <w:sz w:val="18"/>
          <w:szCs w:val="18"/>
          <w:color w:val="auto"/>
        </w:rPr>
      </w:pPr>
    </w:p>
    <w:p>
      <w:pPr>
        <w:ind w:left="-40" w:right="160" w:firstLine="971"/>
        <w:spacing w:after="0" w:line="274" w:lineRule="auto"/>
        <w:tabs>
          <w:tab w:leader="none" w:pos="118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out of the wage and hour and wage payments laws and regulations of the state or states in which Executive has provided service to the Company or any of its affiliates; and</w:t>
      </w:r>
    </w:p>
    <w:p>
      <w:pPr>
        <w:spacing w:after="0" w:line="163" w:lineRule="exact"/>
        <w:rPr>
          <w:rFonts w:ascii="Times New Roman" w:cs="Times New Roman" w:eastAsia="Times New Roman" w:hAnsi="Times New Roman"/>
          <w:sz w:val="18"/>
          <w:szCs w:val="18"/>
          <w:color w:val="auto"/>
        </w:rPr>
      </w:pPr>
    </w:p>
    <w:p>
      <w:pPr>
        <w:ind w:left="1140" w:hanging="209"/>
        <w:spacing w:after="0"/>
        <w:tabs>
          <w:tab w:leader="none" w:pos="11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attorneys’ fees and costs.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740"/>
          </w:cols>
          <w:pgMar w:left="580" w:top="267" w:right="579" w:bottom="1440" w:gutter="0" w:footer="0" w:header="0"/>
        </w:sectPr>
      </w:pPr>
    </w:p>
    <w:bookmarkStart w:id="557" w:name="page558"/>
    <w:bookmarkEnd w:id="557"/>
    <w:p>
      <w:pPr>
        <w:ind w:left="2" w:right="860"/>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EXECUTIVE ACKNOWLEDGES THAT EXECUTIVE HAS BEEN ADVISED BY LEGAL COUNSEL AND IS FAMILIAR WITH THE PROVISIONS OF CALIFORNIA CIVIL CODE SECTION 1542, WHICH PROVIDES AS FOLLOWS:</w:t>
      </w:r>
    </w:p>
    <w:p>
      <w:pPr>
        <w:spacing w:after="0" w:line="57" w:lineRule="exact"/>
        <w:rPr>
          <w:sz w:val="20"/>
          <w:szCs w:val="20"/>
          <w:color w:val="auto"/>
        </w:rPr>
      </w:pPr>
    </w:p>
    <w:p>
      <w:pPr>
        <w:ind w:left="442"/>
        <w:spacing w:after="0" w:line="259"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ind w:left="2" w:right="440" w:firstLine="432"/>
        <w:spacing w:after="0" w:line="274" w:lineRule="auto"/>
        <w:rPr>
          <w:sz w:val="20"/>
          <w:szCs w:val="20"/>
          <w:color w:val="auto"/>
        </w:rPr>
      </w:pPr>
      <w:r>
        <w:rPr>
          <w:rFonts w:ascii="Times New Roman" w:cs="Times New Roman" w:eastAsia="Times New Roman" w:hAnsi="Times New Roman"/>
          <w:sz w:val="18"/>
          <w:szCs w:val="18"/>
          <w:color w:val="auto"/>
        </w:rPr>
        <w:t>EXECUTIVE, BEING AWARE OF SAID CODE SECTION, HEREBY EXPRESSLY WAIVES ANY RIGHTS EXECUTIVE MAY HAVE THEREUNDER, AS WELL AS UNDER ANY OTHER STATUTES OR COMMON LAW PRINCIPLES OF SIMILAR EFFECT.</w:t>
      </w:r>
    </w:p>
    <w:p>
      <w:pPr>
        <w:spacing w:after="0" w:line="16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7"/>
          <w:szCs w:val="17"/>
          <w:color w:val="auto"/>
        </w:rPr>
        <w:t>Executive agrees that the release set forth in this section shall be and remain in effect in all respects as a complete general release as to the matters</w:t>
      </w:r>
    </w:p>
    <w:p>
      <w:pPr>
        <w:spacing w:after="0" w:line="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released. This release does not release claims that cannot be released as a matter of law, including, but not limited to, Executive’s right to report possible</w:t>
      </w:r>
    </w:p>
    <w:p>
      <w:pPr>
        <w:spacing w:after="0" w:line="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violations of federal law or regulation to any governmental agency or entity in accordance with the provisions of and rules promulgated under</w:t>
      </w:r>
    </w:p>
    <w:p>
      <w:pPr>
        <w:spacing w:after="0" w:line="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Section 21F of the Securities Exchange Act of 1934 or Section 806 of the Sarbanes-Oxley Act of 2002, or any other whistleblower protection provisions</w:t>
      </w:r>
    </w:p>
    <w:p>
      <w:pPr>
        <w:spacing w:after="0" w:line="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of state or federal law or regulation and any right to receive an award for information provided thereunder, Executive’s right to file a charge with or</w:t>
      </w:r>
    </w:p>
    <w:p>
      <w:pPr>
        <w:spacing w:after="0" w:line="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participate in a charge by the Equal Employment Opportunity Commission, or any other local, state, or federal administrative body or government</w:t>
      </w:r>
    </w:p>
    <w:p>
      <w:pPr>
        <w:spacing w:after="0" w:line="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agency that is authorized to enforce or administer laws related to employment, against the Company for discrimination (with the understanding that</w:t>
      </w:r>
    </w:p>
    <w:p>
      <w:pPr>
        <w:spacing w:after="0" w:line="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Executive’s release of claims herein bars Executive from recovering such monetary relief from the Company or any Releasee for any alleged</w:t>
      </w:r>
    </w:p>
    <w:p>
      <w:pPr>
        <w:spacing w:after="0" w:line="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discriminatory treatment), claims for unemployment compensation or any state disability insurance benefits pursuant to the terms of applicable state law,</w:t>
      </w:r>
    </w:p>
    <w:p>
      <w:pPr>
        <w:spacing w:after="0" w:line="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claims to continued participation in certain of the Company’s group benefit plans pursuant to the terms and conditions of COBRA, claims for indemnity</w:t>
      </w:r>
    </w:p>
    <w:p>
      <w:pPr>
        <w:spacing w:after="0" w:line="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under the bylaws of the Company, as provided for by California or Delaware law or under any applicable insurance policy with respect to Executive’s</w:t>
      </w:r>
    </w:p>
    <w:p>
      <w:pPr>
        <w:spacing w:after="0" w:line="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liability as an employee, director or officer of the Company, claims to any benefit entitlements vested as the date of separation of Executive’s</w:t>
      </w:r>
    </w:p>
    <w:p>
      <w:pPr>
        <w:spacing w:after="0" w:line="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employment, pursuant to written terms of any employee benefit plan of the Company or its affiliates and Executive’s right under applicable law and any</w:t>
      </w:r>
    </w:p>
    <w:p>
      <w:pPr>
        <w:spacing w:after="0" w:line="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Retained Claims. This release further does not release claims for breach of Section 3(c) or Section 4 of the Employment Agreement.</w:t>
      </w:r>
    </w:p>
    <w:p>
      <w:pPr>
        <w:spacing w:after="0" w:line="198" w:lineRule="exact"/>
        <w:rPr>
          <w:sz w:val="20"/>
          <w:szCs w:val="20"/>
          <w:color w:val="auto"/>
        </w:rPr>
      </w:pPr>
    </w:p>
    <w:p>
      <w:pPr>
        <w:ind w:left="2" w:right="20" w:firstLine="430"/>
        <w:spacing w:after="0" w:line="262" w:lineRule="auto"/>
        <w:tabs>
          <w:tab w:leader="none" w:pos="611" w:val="left"/>
        </w:tabs>
        <w:numPr>
          <w:ilvl w:val="1"/>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of Waiver of Claims under ADEA</w:t>
      </w:r>
      <w:r>
        <w:rPr>
          <w:rFonts w:ascii="Times New Roman" w:cs="Times New Roman" w:eastAsia="Times New Roman" w:hAnsi="Times New Roman"/>
          <w:sz w:val="17"/>
          <w:szCs w:val="17"/>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17"/>
          <w:szCs w:val="17"/>
          <w:u w:val="single" w:color="auto"/>
          <w:color w:val="auto"/>
        </w:rPr>
        <w:t>ADEA</w:t>
      </w:r>
      <w:r>
        <w:rPr>
          <w:rFonts w:ascii="Times New Roman" w:cs="Times New Roman" w:eastAsia="Times New Roman" w:hAnsi="Times New Roman"/>
          <w:sz w:val="17"/>
          <w:szCs w:val="17"/>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[twenty-one (21)] days within which to consider this Agreement, and the Parties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w:t>
      </w:r>
    </w:p>
    <w:p>
      <w:pPr>
        <w:spacing w:after="0" w:line="6" w:lineRule="exact"/>
        <w:rPr>
          <w:rFonts w:ascii="Times New Roman" w:cs="Times New Roman" w:eastAsia="Times New Roman" w:hAnsi="Times New Roman"/>
          <w:sz w:val="17"/>
          <w:szCs w:val="17"/>
          <w:color w:val="auto"/>
        </w:rPr>
      </w:pPr>
    </w:p>
    <w:p>
      <w:pPr>
        <w:ind w:left="2" w:right="80" w:hanging="2"/>
        <w:spacing w:after="0" w:line="247" w:lineRule="auto"/>
        <w:tabs>
          <w:tab w:leader="none" w:pos="242"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[twenty-one (21)] day period identified above, Executive hereby acknowledges that Executive has freely and voluntarily chosen to waive the time period allotted for considering this Agreement.</w:t>
      </w:r>
    </w:p>
    <w:p>
      <w:pPr>
        <w:spacing w:after="0" w:line="12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802"/>
          </w:cols>
          <w:pgMar w:left="538" w:top="267" w:right="559" w:bottom="1440" w:gutter="0" w:footer="0" w:header="0"/>
        </w:sectPr>
      </w:pPr>
    </w:p>
    <w:bookmarkStart w:id="558" w:name="page559"/>
    <w:bookmarkEnd w:id="558"/>
    <w:p>
      <w:pPr>
        <w:ind w:left="2" w:firstLine="430"/>
        <w:spacing w:after="0" w:line="259" w:lineRule="auto"/>
        <w:tabs>
          <w:tab w:leader="none" w:pos="611"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Severability</w:t>
      </w:r>
      <w:r>
        <w:rPr>
          <w:rFonts w:ascii="Times New Roman" w:cs="Times New Roman" w:eastAsia="Times New Roman" w:hAnsi="Times New Roman"/>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7" w:lineRule="exact"/>
        <w:rPr>
          <w:rFonts w:ascii="Times New Roman" w:cs="Times New Roman" w:eastAsia="Times New Roman" w:hAnsi="Times New Roman"/>
          <w:sz w:val="18"/>
          <w:szCs w:val="18"/>
          <w:color w:val="auto"/>
        </w:rPr>
      </w:pPr>
    </w:p>
    <w:p>
      <w:pPr>
        <w:ind w:left="602" w:hanging="170"/>
        <w:spacing w:after="0"/>
        <w:tabs>
          <w:tab w:leader="none" w:pos="602" w:val="left"/>
        </w:tabs>
        <w:numPr>
          <w:ilvl w:val="1"/>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Oral Modification</w:t>
      </w:r>
      <w:r>
        <w:rPr>
          <w:rFonts w:ascii="Times New Roman" w:cs="Times New Roman" w:eastAsia="Times New Roman" w:hAnsi="Times New Roman"/>
          <w:sz w:val="17"/>
          <w:szCs w:val="17"/>
          <w:color w:val="auto"/>
        </w:rPr>
        <w:t>. This Agreement may only be amended in a writing signed by Executive and a duly authorized officer of the Company.</w:t>
      </w:r>
    </w:p>
    <w:p>
      <w:pPr>
        <w:spacing w:after="0" w:line="228" w:lineRule="exact"/>
        <w:rPr>
          <w:rFonts w:ascii="Times New Roman" w:cs="Times New Roman" w:eastAsia="Times New Roman" w:hAnsi="Times New Roman"/>
          <w:sz w:val="17"/>
          <w:szCs w:val="17"/>
          <w:color w:val="auto"/>
        </w:rPr>
      </w:pPr>
    </w:p>
    <w:p>
      <w:pPr>
        <w:ind w:left="2" w:right="420" w:firstLine="430"/>
        <w:spacing w:after="0" w:line="274" w:lineRule="auto"/>
        <w:tabs>
          <w:tab w:leader="none" w:pos="611"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 This Agreement shall be subject to the provisions of Sections 9(a), 9(c), and 9(h) of the Employment Agreement.</w:t>
      </w:r>
    </w:p>
    <w:p>
      <w:pPr>
        <w:spacing w:after="0" w:line="163" w:lineRule="exact"/>
        <w:rPr>
          <w:rFonts w:ascii="Times New Roman" w:cs="Times New Roman" w:eastAsia="Times New Roman" w:hAnsi="Times New Roman"/>
          <w:sz w:val="18"/>
          <w:szCs w:val="18"/>
          <w:color w:val="auto"/>
        </w:rPr>
      </w:pPr>
    </w:p>
    <w:p>
      <w:pPr>
        <w:ind w:left="2" w:right="140" w:firstLine="430"/>
        <w:spacing w:after="0" w:line="274" w:lineRule="auto"/>
        <w:tabs>
          <w:tab w:leader="none" w:pos="611"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Executive has seven business days after Executive signs this Agreement to revoke it and this Agreement will become effective on the day immediately following the seventh business day after Executive signed this Agreement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2" w:right="160" w:firstLine="430"/>
        <w:spacing w:after="0" w:line="265" w:lineRule="auto"/>
        <w:tabs>
          <w:tab w:leader="none" w:pos="611" w:val="left"/>
        </w:tabs>
        <w:numPr>
          <w:ilvl w:val="1"/>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Execution of Agreement</w:t>
      </w:r>
      <w:r>
        <w:rPr>
          <w:rFonts w:ascii="Times New Roman" w:cs="Times New Roman" w:eastAsia="Times New Roman" w:hAnsi="Times New Roman"/>
          <w:sz w:val="17"/>
          <w:szCs w:val="17"/>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w:t>
      </w:r>
    </w:p>
    <w:p>
      <w:pPr>
        <w:ind w:left="2" w:right="20" w:hanging="2"/>
        <w:spacing w:after="0" w:line="251" w:lineRule="auto"/>
        <w:tabs>
          <w:tab w:leader="none" w:pos="252"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the terms and consequences of this Agreement and of the releases it contains; and (e) Executive is fully aware of the legal and binding effect of this Agreement.</w:t>
      </w:r>
    </w:p>
    <w:p>
      <w:pPr>
        <w:spacing w:after="0" w:line="1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802"/>
          </w:cols>
          <w:pgMar w:left="538" w:top="266" w:right="559" w:bottom="1440" w:gutter="0" w:footer="0" w:header="0"/>
        </w:sectPr>
      </w:pPr>
    </w:p>
    <w:bookmarkStart w:id="559" w:name="page560"/>
    <w:bookmarkEnd w:id="559"/>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Agreement on the respective dates set forth below.</w:t>
      </w:r>
    </w:p>
    <w:p>
      <w:pPr>
        <w:spacing w:after="0" w:line="24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b w:val="1"/>
          <w:bCs w:val="1"/>
          <w:color w:val="auto"/>
        </w:rPr>
        <w:t>EXECUTIVE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365125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651250" cy="825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-9525</wp:posOffset>
            </wp:positionV>
            <wp:extent cx="78486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Print Name: Arthur Kuan</w:t>
      </w:r>
    </w:p>
    <w:p>
      <w:pPr>
        <w:spacing w:after="0" w:line="20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b w:val="1"/>
          <w:bCs w:val="1"/>
          <w:color w:val="auto"/>
        </w:rPr>
        <w:t>CG ONCOLOGY, INC.</w:t>
      </w:r>
    </w:p>
    <w:p>
      <w:pPr>
        <w:spacing w:after="0" w:line="227"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8"/>
          <w:szCs w:val="18"/>
          <w:color w:val="auto"/>
        </w:rPr>
        <w:t xml:space="preserve">Dated: 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3483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3483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-9525</wp:posOffset>
            </wp:positionV>
            <wp:extent cx="78486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10795</wp:posOffset>
            </wp:positionV>
            <wp:extent cx="294449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94449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10795</wp:posOffset>
            </wp:positionV>
            <wp:extent cx="294449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944495" cy="8255"/>
                    </a:xfrm>
                    <a:prstGeom prst="rect">
                      <a:avLst/>
                    </a:prstGeom>
                    <a:noFill/>
                  </pic:spPr>
                </pic:pic>
              </a:graphicData>
            </a:graphic>
          </wp:anchor>
        </w:drawing>
      </w:r>
    </w:p>
    <w:p>
      <w:pPr>
        <w:spacing w:after="0" w:line="13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9919"/>
          </w:cols>
          <w:pgMar w:left="540" w:top="267" w:right="1440" w:bottom="1440" w:gutter="0" w:footer="0" w:header="0"/>
        </w:sectPr>
      </w:pPr>
    </w:p>
    <w:bookmarkStart w:id="560" w:name="page561"/>
    <w:bookmarkEnd w:id="56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B</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RESTRICTIVE COVENANT AGREEMENT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4" w:right="1440" w:bottom="1440" w:gutter="0" w:footer="0" w:header="0"/>
        </w:sectPr>
      </w:pPr>
    </w:p>
    <w:bookmarkStart w:id="561" w:name="page562"/>
    <w:bookmarkEnd w:id="561"/>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19"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CG Oncology,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Ambaw Bellete</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Executive</w:t>
      </w:r>
      <w:r>
        <w:rPr>
          <w:rFonts w:ascii="Times New Roman" w:cs="Times New Roman" w:eastAsia="Times New Roman" w:hAnsi="Times New Roman"/>
          <w:sz w:val="17"/>
          <w:szCs w:val="17"/>
          <w:color w:val="auto"/>
        </w:rPr>
        <w:t>”) (collectively referred to herein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or individually referred to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effective as of 09-Jul-2023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9"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WHEREAS, the Company seeks to employ Executive as its President and Chief Operating Officer; and</w:t>
      </w:r>
    </w:p>
    <w:p>
      <w:pPr>
        <w:spacing w:after="0" w:line="217" w:lineRule="exact"/>
        <w:rPr>
          <w:sz w:val="20"/>
          <w:szCs w:val="20"/>
          <w:color w:val="auto"/>
        </w:rPr>
      </w:pPr>
    </w:p>
    <w:p>
      <w:pPr>
        <w:ind w:left="2" w:right="240" w:firstLine="432"/>
        <w:spacing w:after="0" w:line="259" w:lineRule="auto"/>
        <w:rPr>
          <w:sz w:val="20"/>
          <w:szCs w:val="20"/>
          <w:color w:val="auto"/>
        </w:rPr>
      </w:pPr>
      <w:r>
        <w:rPr>
          <w:rFonts w:ascii="Times New Roman" w:cs="Times New Roman" w:eastAsia="Times New Roman" w:hAnsi="Times New Roman"/>
          <w:sz w:val="18"/>
          <w:szCs w:val="18"/>
          <w:color w:val="auto"/>
        </w:rPr>
        <w:t>WHEREAS, the Parties desire to enter into an agreement setting forth the terms of such employment as of the Effective Date, which supersedes any and all prior understandings and agreements, whether written or oral, including any prior employment offer letters, between Executive and the Company or any of its affiliates, subject to the terms and conditions of this Agreement.</w:t>
      </w:r>
    </w:p>
    <w:p>
      <w:pPr>
        <w:spacing w:after="0" w:line="178" w:lineRule="exact"/>
        <w:rPr>
          <w:sz w:val="20"/>
          <w:szCs w:val="20"/>
          <w:color w:val="auto"/>
        </w:rPr>
      </w:pPr>
    </w:p>
    <w:p>
      <w:pPr>
        <w:ind w:left="2" w:right="40" w:firstLine="432"/>
        <w:spacing w:after="0" w:line="274"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respective covenants and agreements set forth below, the Parties hereto agree as follows:</w:t>
      </w:r>
    </w:p>
    <w:p>
      <w:pPr>
        <w:spacing w:after="0" w:line="37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44" w:lineRule="exact"/>
        <w:rPr>
          <w:sz w:val="20"/>
          <w:szCs w:val="20"/>
          <w:color w:val="auto"/>
        </w:rPr>
      </w:pPr>
    </w:p>
    <w:p>
      <w:pPr>
        <w:ind w:left="422" w:hanging="422"/>
        <w:spacing w:after="0"/>
        <w:tabs>
          <w:tab w:leader="none" w:pos="422" w:val="left"/>
        </w:tabs>
        <w:numPr>
          <w:ilvl w:val="0"/>
          <w:numId w:val="3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Employment</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right="400" w:firstLine="430"/>
        <w:spacing w:after="0" w:line="274" w:lineRule="auto"/>
        <w:tabs>
          <w:tab w:leader="none" w:pos="674"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Effective on the Effective Date, the Company shall employ Executive, and Executive shall be employed by the Company, for the period and in the positions set forth in this Section 1, and subject to the other terms and conditions herein provided.</w:t>
      </w:r>
    </w:p>
    <w:p>
      <w:pPr>
        <w:spacing w:after="0" w:line="163" w:lineRule="exact"/>
        <w:rPr>
          <w:rFonts w:ascii="Times New Roman" w:cs="Times New Roman" w:eastAsia="Times New Roman" w:hAnsi="Times New Roman"/>
          <w:sz w:val="18"/>
          <w:szCs w:val="18"/>
          <w:color w:val="auto"/>
        </w:rPr>
      </w:pPr>
    </w:p>
    <w:p>
      <w:pPr>
        <w:ind w:left="2" w:right="40" w:firstLine="430"/>
        <w:spacing w:after="0" w:line="271" w:lineRule="auto"/>
        <w:tabs>
          <w:tab w:leader="none" w:pos="684" w:val="left"/>
        </w:tabs>
        <w:numPr>
          <w:ilvl w:val="1"/>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At-Will Employment</w:t>
      </w:r>
      <w:r>
        <w:rPr>
          <w:rFonts w:ascii="Times New Roman" w:cs="Times New Roman" w:eastAsia="Times New Roman" w:hAnsi="Times New Roman"/>
          <w:sz w:val="17"/>
          <w:szCs w:val="17"/>
          <w:color w:val="auto"/>
        </w:rPr>
        <w:t>.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Section 3(b)). This “at-will” nature of Executive’s employment shall remain unchanged during Executive’s tenure as an employee and may not be changed, except in an express writing signed by Executive and a duly authorized officer of the Company. The term of this Agreement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shall commence on the Effective Date and end on the date this Agreement is terminated under Section 3.</w:t>
      </w:r>
    </w:p>
    <w:p>
      <w:pPr>
        <w:spacing w:after="0" w:line="168" w:lineRule="exact"/>
        <w:rPr>
          <w:rFonts w:ascii="Times New Roman" w:cs="Times New Roman" w:eastAsia="Times New Roman" w:hAnsi="Times New Roman"/>
          <w:sz w:val="17"/>
          <w:szCs w:val="17"/>
          <w:color w:val="auto"/>
        </w:rPr>
      </w:pPr>
    </w:p>
    <w:p>
      <w:pPr>
        <w:ind w:left="2" w:right="60" w:firstLine="430"/>
        <w:spacing w:after="0" w:line="248" w:lineRule="auto"/>
        <w:tabs>
          <w:tab w:leader="none" w:pos="674"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Positions and Duties</w:t>
      </w:r>
      <w:r>
        <w:rPr>
          <w:rFonts w:ascii="Times New Roman" w:cs="Times New Roman" w:eastAsia="Times New Roman" w:hAnsi="Times New Roman"/>
          <w:sz w:val="18"/>
          <w:szCs w:val="18"/>
          <w:color w:val="auto"/>
        </w:rPr>
        <w:t>. During the Term, Executive initially shall serve as President and Chief Operating Officer of the Company, with such responsibilities, duties and authority normally associated with such positions and as may from time to time be reasonably assigned to Executive by the Chief Executive Officer of the Company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Initial functional oversight will include Commercial, Sales, Marketing, Regulatory, Quality, Project Management, and Alliance Management with an overall focus on working with the Board of Directors and CEO to exploit market opportunities and build relationships with investors, partners, industry contacts, and customers to create long term value for the organization; defining the strategies and tactics across the organization that will help achieve the corporate strategic plan and goals to advance the product pipeline, marketing/sales, productivity, and profitability targets; working with every functional leader to help them optimize productivity; increasing revenue/cash flow while also helping to manage operational costs; and developing strategies and tactics to operationalize corporate growth opportunities leveraging the organization’s resources. Executive shall report to the CEO.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or</w:t>
      </w:r>
    </w:p>
    <w:p>
      <w:pPr>
        <w:sectPr>
          <w:pgSz w:w="11900" w:h="16838" w:orient="portrait"/>
          <w:cols w:equalWidth="0" w:num="1">
            <w:col w:w="10822"/>
          </w:cols>
          <w:pgMar w:left="538" w:top="119" w:right="539" w:bottom="1440" w:gutter="0" w:footer="0" w:header="0"/>
        </w:sectPr>
      </w:pPr>
    </w:p>
    <w:bookmarkStart w:id="562" w:name="page563"/>
    <w:bookmarkEnd w:id="562"/>
    <w:p>
      <w:pPr>
        <w:ind w:left="2"/>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the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Executive shall be permitted to (i) manage Executive’s personal, financial and legal affairs, (ii) participate in trade associations,</w:t>
      </w:r>
    </w:p>
    <w:p>
      <w:pPr>
        <w:spacing w:after="0" w:line="38" w:lineRule="exact"/>
        <w:rPr>
          <w:sz w:val="20"/>
          <w:szCs w:val="20"/>
          <w:color w:val="auto"/>
        </w:rPr>
      </w:pPr>
    </w:p>
    <w:p>
      <w:pPr>
        <w:ind w:left="2" w:right="40" w:hanging="2"/>
        <w:spacing w:after="0" w:line="246" w:lineRule="auto"/>
        <w:tabs>
          <w:tab w:leader="none" w:pos="311"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serve on the board of directors of not-for-profit or tax-exempt charitable organizations or, with the consent of the Board (not to be unreasonably withheld), the board of directors of non-competitive for-profit businesses, in each case, subject to compliance with this Agreement and provided that such activities do not materially interfere with Executive’s performance of Executive’s duties and responsibilities hereunder, and (iv) provide consulting services to the non-competitive businesses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subject to compliance with this Agreement and provided that such consulting services are performed in a manner consistent with such services performed prior to the Effective Date and do not materially interfere with Executive’s performance of Executive’s duties and responsibilities hereunder. Executive’s engagement in outside business activities, including consulting services for any additional non-competitive businesses that are not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shall be subject to the consent of the CEO or Board. Executive agrees to observe and comply with the reasonable rules and policies of the Company as adopted by the Company from time to time (to the extent they do not conflict with the terms of this Agreement), in each case, as amended from time to time, and as delivered or made available to Executive (each, a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2" w:right="160" w:firstLine="430"/>
        <w:spacing w:after="0" w:line="282" w:lineRule="auto"/>
        <w:tabs>
          <w:tab w:leader="none" w:pos="684" w:val="left"/>
        </w:tabs>
        <w:numPr>
          <w:ilvl w:val="1"/>
          <w:numId w:val="3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Principal Location</w:t>
      </w:r>
      <w:r>
        <w:rPr>
          <w:rFonts w:ascii="Times New Roman" w:cs="Times New Roman" w:eastAsia="Times New Roman" w:hAnsi="Times New Roman"/>
          <w:sz w:val="17"/>
          <w:szCs w:val="17"/>
          <w:color w:val="auto"/>
        </w:rPr>
        <w:t>. During the Term, Executive shall perform the services required by this Agreement at his home office in New Jersey, located at 2 Vail Lane, Flemington, NJ 08822 (the “</w:t>
      </w:r>
      <w:r>
        <w:rPr>
          <w:rFonts w:ascii="Times New Roman" w:cs="Times New Roman" w:eastAsia="Times New Roman" w:hAnsi="Times New Roman"/>
          <w:sz w:val="17"/>
          <w:szCs w:val="17"/>
          <w:u w:val="single" w:color="auto"/>
          <w:color w:val="auto"/>
        </w:rPr>
        <w:t>Principal Location</w:t>
      </w:r>
      <w:r>
        <w:rPr>
          <w:rFonts w:ascii="Times New Roman" w:cs="Times New Roman" w:eastAsia="Times New Roman" w:hAnsi="Times New Roman"/>
          <w:sz w:val="17"/>
          <w:szCs w:val="17"/>
          <w:color w:val="auto"/>
        </w:rPr>
        <w:t xml:space="preserve">”) as of the Effective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Parties acknowledge and agree that Executive may be required to travel to other locations as may be necessary to fulfill Executive’s duties and responsibilities hereunder.</w:t>
      </w:r>
    </w:p>
    <w:p>
      <w:pPr>
        <w:spacing w:after="0" w:line="303" w:lineRule="exact"/>
        <w:rPr>
          <w:sz w:val="20"/>
          <w:szCs w:val="20"/>
          <w:color w:val="auto"/>
        </w:rPr>
      </w:pPr>
    </w:p>
    <w:p>
      <w:pPr>
        <w:ind w:left="422" w:hanging="422"/>
        <w:spacing w:after="0"/>
        <w:tabs>
          <w:tab w:leader="none" w:pos="422"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and Related Matters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firstLine="430"/>
        <w:spacing w:after="0" w:line="255" w:lineRule="auto"/>
        <w:tabs>
          <w:tab w:leader="none" w:pos="674"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During the Term, Executive shall receive a base salary at a rate initially of $430,000 per annum, which shall be paid in accordance with the customary payroll practices of the Company and shall be pro-rated for partial years of employment. Such annual base salary shall be reviewed (and may be adjusted for increase, but not decrease) from time to time (such annual base salary, as it may be adjusted from time to time, the “</w:t>
      </w: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by the Board or its compensation committee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2" w:firstLine="430"/>
        <w:spacing w:after="0" w:line="238" w:lineRule="auto"/>
        <w:tabs>
          <w:tab w:leader="none" w:pos="684"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Cash Bonus Opportunity</w:t>
      </w:r>
      <w:r>
        <w:rPr>
          <w:rFonts w:ascii="Times New Roman" w:cs="Times New Roman" w:eastAsia="Times New Roman" w:hAnsi="Times New Roman"/>
          <w:sz w:val="18"/>
          <w:szCs w:val="18"/>
          <w:color w:val="auto"/>
        </w:rPr>
        <w:t>. During the Term, Executive will be eligible to participate in an annual incentive program established by the Board or Compensation Committee with target level annual incentive compensation opportunities as may be determined by the Board or Compensation Committee from time to time, but with an annual “target level” incentive bonus opportunity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that is not less than 40% of the Annual Base Salary. The annual bonus payable under the incentive program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shall be based on the achievement of performance goals or such other criteria as may be determined by the Board or Compensation Committee. The payment of any Annual Bonus pursuant to the incentive program shall be subject to Executive’s continued employment with the Company through the date of payment, except as otherwise provided in Section 4. The Annual Bonus shall be paid to Executive when paid generally to other senior executives of the Company, but in any event, to the extent determinable as of such time, not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year immediately following the applicable year for which such Annual Bonus is being paid. For the year ending December 31, 2023, Executive’s Annual Bonus shall not be pro-rated for the partial year of employment and Executive shall receive the full Annual Bonus for 2023 based on the level of achievement of performance goals or other such criteria as determined by the Board or Compensation Committee.</w:t>
      </w:r>
    </w:p>
    <w:p>
      <w:pPr>
        <w:spacing w:after="0" w:line="194" w:lineRule="exact"/>
        <w:rPr>
          <w:rFonts w:ascii="Times New Roman" w:cs="Times New Roman" w:eastAsia="Times New Roman" w:hAnsi="Times New Roman"/>
          <w:sz w:val="18"/>
          <w:szCs w:val="18"/>
          <w:color w:val="auto"/>
        </w:rPr>
      </w:pPr>
    </w:p>
    <w:p>
      <w:pPr>
        <w:ind w:left="682" w:hanging="250"/>
        <w:spacing w:after="0"/>
        <w:tabs>
          <w:tab w:leader="none" w:pos="682"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Sign-On Bonus</w:t>
      </w:r>
      <w:r>
        <w:rPr>
          <w:rFonts w:ascii="Times New Roman" w:cs="Times New Roman" w:eastAsia="Times New Roman" w:hAnsi="Times New Roman"/>
          <w:sz w:val="18"/>
          <w:szCs w:val="18"/>
          <w:color w:val="auto"/>
        </w:rPr>
        <w:t>. Executive shall be entitled to a one-time signing bonus equal to the amount of $125,000, less any taxable withholdings (the</w:t>
      </w:r>
    </w:p>
    <w:p>
      <w:pPr>
        <w:spacing w:after="0" w:line="24" w:lineRule="exact"/>
        <w:rPr>
          <w:sz w:val="20"/>
          <w:szCs w:val="20"/>
          <w:color w:val="auto"/>
        </w:rPr>
      </w:pPr>
    </w:p>
    <w:p>
      <w:pPr>
        <w:jc w:val="both"/>
        <w:ind w:left="2" w:right="8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Sign-On Bonus</w:t>
      </w:r>
      <w:r>
        <w:rPr>
          <w:rFonts w:ascii="Times New Roman" w:cs="Times New Roman" w:eastAsia="Times New Roman" w:hAnsi="Times New Roman"/>
          <w:sz w:val="17"/>
          <w:szCs w:val="17"/>
          <w:color w:val="auto"/>
        </w:rPr>
        <w:t>”), which will be paid not later than 30 days following Executive’s start date. If Executive is terminated for Cause or voluntarily leaves the Company without Good Reason prior to completing twelve (12) months of service from Executive’s start date, Executive shall be required to repay to the Company, within thirty (30) days following Executive’s last day of employment with the Company, 100% of the Sign-On Bonus.</w:t>
      </w:r>
    </w:p>
    <w:p>
      <w:pPr>
        <w:spacing w:after="0" w:line="10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2"/>
          </w:cols>
          <w:pgMar w:left="538" w:top="264" w:right="579" w:bottom="1440" w:gutter="0" w:footer="0" w:header="0"/>
        </w:sectPr>
      </w:pPr>
    </w:p>
    <w:bookmarkStart w:id="563" w:name="page564"/>
    <w:bookmarkEnd w:id="563"/>
    <w:p>
      <w:pPr>
        <w:ind w:left="-40" w:right="240" w:firstLine="430"/>
        <w:spacing w:after="0" w:line="274" w:lineRule="auto"/>
        <w:tabs>
          <w:tab w:leader="none" w:pos="642"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Equity Awards</w:t>
      </w:r>
      <w:r>
        <w:rPr>
          <w:rFonts w:ascii="Times New Roman" w:cs="Times New Roman" w:eastAsia="Times New Roman" w:hAnsi="Times New Roman"/>
          <w:sz w:val="18"/>
          <w:szCs w:val="18"/>
          <w:color w:val="auto"/>
        </w:rPr>
        <w:t>. During the Term, Executive will be eligible to participate and receive awards under the Company’s equity plans as in effect from time to time.</w:t>
      </w:r>
    </w:p>
    <w:p>
      <w:pPr>
        <w:spacing w:after="0" w:line="55" w:lineRule="exact"/>
        <w:rPr>
          <w:rFonts w:ascii="Times New Roman" w:cs="Times New Roman" w:eastAsia="Times New Roman" w:hAnsi="Times New Roman"/>
          <w:sz w:val="18"/>
          <w:szCs w:val="18"/>
          <w:color w:val="auto"/>
        </w:rPr>
      </w:pPr>
    </w:p>
    <w:p>
      <w:pPr>
        <w:ind w:left="400" w:right="200" w:firstLine="405"/>
        <w:spacing w:after="0" w:line="269" w:lineRule="auto"/>
        <w:tabs>
          <w:tab w:leader="none" w:pos="1026" w:val="left"/>
        </w:tabs>
        <w:numPr>
          <w:ilvl w:val="1"/>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Initial Option</w:t>
      </w:r>
      <w:r>
        <w:rPr>
          <w:rFonts w:ascii="Times New Roman" w:cs="Times New Roman" w:eastAsia="Times New Roman" w:hAnsi="Times New Roman"/>
          <w:sz w:val="17"/>
          <w:szCs w:val="17"/>
          <w:color w:val="auto"/>
        </w:rPr>
        <w:t>: On June 14, 2023, Executive was granted stock options to purchase 4,122,091 shares of the Company’s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Initial Option</w:t>
      </w:r>
      <w:r>
        <w:rPr>
          <w:rFonts w:ascii="Times New Roman" w:cs="Times New Roman" w:eastAsia="Times New Roman" w:hAnsi="Times New Roman"/>
          <w:sz w:val="17"/>
          <w:szCs w:val="17"/>
          <w:color w:val="auto"/>
        </w:rPr>
        <w:t>”). The Initial Option was granted in accordance with the Company’s 2022 Incentive Award Plan (the “Plan”) and related stock option documents. The Initial Option has an exercise price per share equal to the fair market value on the grant date, as determined by the Board. Subject to Executive’s continued employment with the Company, the Initial Option will vest over a four-year period starting on the Effective Date (the “</w:t>
      </w:r>
      <w:r>
        <w:rPr>
          <w:rFonts w:ascii="Times New Roman" w:cs="Times New Roman" w:eastAsia="Times New Roman" w:hAnsi="Times New Roman"/>
          <w:sz w:val="17"/>
          <w:szCs w:val="17"/>
          <w:u w:val="single" w:color="auto"/>
          <w:color w:val="auto"/>
        </w:rPr>
        <w:t>Vesting Commencement Date</w:t>
      </w:r>
      <w:r>
        <w:rPr>
          <w:rFonts w:ascii="Times New Roman" w:cs="Times New Roman" w:eastAsia="Times New Roman" w:hAnsi="Times New Roman"/>
          <w:sz w:val="17"/>
          <w:szCs w:val="17"/>
          <w:color w:val="auto"/>
        </w:rPr>
        <w:t>”), with 25% of the shares fully vested twelve (12) months after the Vesting Commencement Date and the remainder vesting in thirty-six (36) equal monthly installments over the subsequent three (3) year period.</w:t>
      </w:r>
    </w:p>
    <w:p>
      <w:pPr>
        <w:spacing w:after="0" w:line="63" w:lineRule="exact"/>
        <w:rPr>
          <w:rFonts w:ascii="Times New Roman" w:cs="Times New Roman" w:eastAsia="Times New Roman" w:hAnsi="Times New Roman"/>
          <w:sz w:val="17"/>
          <w:szCs w:val="17"/>
          <w:color w:val="auto"/>
        </w:rPr>
      </w:pPr>
    </w:p>
    <w:p>
      <w:pPr>
        <w:ind w:left="400" w:right="100" w:firstLine="405"/>
        <w:spacing w:after="0" w:line="283" w:lineRule="auto"/>
        <w:tabs>
          <w:tab w:leader="none" w:pos="1075" w:val="left"/>
        </w:tabs>
        <w:numPr>
          <w:ilvl w:val="1"/>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Milestone Option</w:t>
      </w:r>
      <w:r>
        <w:rPr>
          <w:rFonts w:ascii="Times New Roman" w:cs="Times New Roman" w:eastAsia="Times New Roman" w:hAnsi="Times New Roman"/>
          <w:sz w:val="17"/>
          <w:szCs w:val="17"/>
          <w:color w:val="auto"/>
        </w:rPr>
        <w:t>: On June 14, 2023, Executive was also granted stock options to purchase 1,161,680 Shares (the “</w:t>
      </w:r>
      <w:r>
        <w:rPr>
          <w:rFonts w:ascii="Times New Roman" w:cs="Times New Roman" w:eastAsia="Times New Roman" w:hAnsi="Times New Roman"/>
          <w:sz w:val="17"/>
          <w:szCs w:val="17"/>
          <w:u w:val="single" w:color="auto"/>
          <w:color w:val="auto"/>
        </w:rPr>
        <w:t>Milestone Option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Milestone Option was granted in accordance with the Plan and related stock option documents. The Milestone Option has an exercise price per share equal to the fair market value on the grant date, as determined by the Board. The Milestone Option will vest as follows:</w:t>
      </w:r>
    </w:p>
    <w:p>
      <w:pPr>
        <w:spacing w:after="0" w:line="52" w:lineRule="exact"/>
        <w:rPr>
          <w:rFonts w:ascii="Times New Roman" w:cs="Times New Roman" w:eastAsia="Times New Roman" w:hAnsi="Times New Roman"/>
          <w:sz w:val="17"/>
          <w:szCs w:val="17"/>
          <w:color w:val="auto"/>
        </w:rPr>
      </w:pPr>
    </w:p>
    <w:p>
      <w:pPr>
        <w:ind w:left="940" w:right="660" w:firstLine="384"/>
        <w:spacing w:after="0" w:line="259" w:lineRule="auto"/>
        <w:tabs>
          <w:tab w:leader="none" w:pos="1623"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280,000 Shares subject to the Milestone Option (the “</w:t>
      </w:r>
      <w:r>
        <w:rPr>
          <w:rFonts w:ascii="Times New Roman" w:cs="Times New Roman" w:eastAsia="Times New Roman" w:hAnsi="Times New Roman"/>
          <w:sz w:val="18"/>
          <w:szCs w:val="18"/>
          <w:u w:val="single" w:color="auto"/>
          <w:color w:val="auto"/>
        </w:rPr>
        <w:t>First Milestone Option</w:t>
      </w:r>
      <w:r>
        <w:rPr>
          <w:rFonts w:ascii="Times New Roman" w:cs="Times New Roman" w:eastAsia="Times New Roman" w:hAnsi="Times New Roman"/>
          <w:sz w:val="18"/>
          <w:szCs w:val="18"/>
          <w:color w:val="auto"/>
        </w:rPr>
        <w:t>”) will be eligible to vest upon successful completion of the initial public offering of the Company’s common stock on a public exchange by December 31, 2026, subject to Executive’s continued employment with the Company through such date;</w:t>
      </w:r>
    </w:p>
    <w:p>
      <w:pPr>
        <w:spacing w:after="0" w:line="71" w:lineRule="exact"/>
        <w:rPr>
          <w:rFonts w:ascii="Times New Roman" w:cs="Times New Roman" w:eastAsia="Times New Roman" w:hAnsi="Times New Roman"/>
          <w:sz w:val="18"/>
          <w:szCs w:val="18"/>
          <w:color w:val="auto"/>
        </w:rPr>
      </w:pPr>
    </w:p>
    <w:p>
      <w:pPr>
        <w:ind w:left="940" w:right="80" w:firstLine="384"/>
        <w:spacing w:after="0" w:line="304" w:lineRule="auto"/>
        <w:tabs>
          <w:tab w:leader="none" w:pos="1613" w:val="left"/>
        </w:tabs>
        <w:numPr>
          <w:ilvl w:val="2"/>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280,000 Shares subject to the Milestone Option (the “</w:t>
      </w:r>
      <w:r>
        <w:rPr>
          <w:rFonts w:ascii="Times New Roman" w:cs="Times New Roman" w:eastAsia="Times New Roman" w:hAnsi="Times New Roman"/>
          <w:sz w:val="17"/>
          <w:szCs w:val="17"/>
          <w:u w:val="single" w:color="auto"/>
          <w:color w:val="auto"/>
        </w:rPr>
        <w:t>Second Milestone Option</w:t>
      </w:r>
      <w:r>
        <w:rPr>
          <w:rFonts w:ascii="Times New Roman" w:cs="Times New Roman" w:eastAsia="Times New Roman" w:hAnsi="Times New Roman"/>
          <w:sz w:val="17"/>
          <w:szCs w:val="17"/>
          <w:color w:val="auto"/>
        </w:rPr>
        <w:t>”) will be eligible to vest upon the enrolment of the first patient in the IR trial by December 31, 2026, subject to Executive’s continued employment with the Company through such date;</w:t>
      </w:r>
    </w:p>
    <w:p>
      <w:pPr>
        <w:spacing w:after="0" w:line="34" w:lineRule="exact"/>
        <w:rPr>
          <w:rFonts w:ascii="Times New Roman" w:cs="Times New Roman" w:eastAsia="Times New Roman" w:hAnsi="Times New Roman"/>
          <w:sz w:val="17"/>
          <w:szCs w:val="17"/>
          <w:color w:val="auto"/>
        </w:rPr>
      </w:pPr>
    </w:p>
    <w:p>
      <w:pPr>
        <w:jc w:val="both"/>
        <w:ind w:left="940" w:right="500" w:firstLine="384"/>
        <w:spacing w:after="0" w:line="259" w:lineRule="auto"/>
        <w:tabs>
          <w:tab w:leader="none" w:pos="1613"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160,840 Shares subject to the Milestone Option (the “</w:t>
      </w:r>
      <w:r>
        <w:rPr>
          <w:rFonts w:ascii="Times New Roman" w:cs="Times New Roman" w:eastAsia="Times New Roman" w:hAnsi="Times New Roman"/>
          <w:sz w:val="18"/>
          <w:szCs w:val="18"/>
          <w:u w:val="single" w:color="auto"/>
          <w:color w:val="auto"/>
        </w:rPr>
        <w:t>Third Milestone Option</w:t>
      </w:r>
      <w:r>
        <w:rPr>
          <w:rFonts w:ascii="Times New Roman" w:cs="Times New Roman" w:eastAsia="Times New Roman" w:hAnsi="Times New Roman"/>
          <w:sz w:val="18"/>
          <w:szCs w:val="18"/>
          <w:color w:val="auto"/>
        </w:rPr>
        <w:t>”) will be eligible to vest upon the Company achieving commercial organization readiness by December 31, 2026, as determined by the Board, subject to Executive’s continued employment with the Company through such date;</w:t>
      </w:r>
    </w:p>
    <w:p>
      <w:pPr>
        <w:spacing w:after="0" w:line="71" w:lineRule="exact"/>
        <w:rPr>
          <w:rFonts w:ascii="Times New Roman" w:cs="Times New Roman" w:eastAsia="Times New Roman" w:hAnsi="Times New Roman"/>
          <w:sz w:val="18"/>
          <w:szCs w:val="18"/>
          <w:color w:val="auto"/>
        </w:rPr>
      </w:pPr>
    </w:p>
    <w:p>
      <w:pPr>
        <w:jc w:val="both"/>
        <w:ind w:left="940" w:firstLine="384"/>
        <w:spacing w:after="0" w:line="255" w:lineRule="auto"/>
        <w:tabs>
          <w:tab w:leader="none" w:pos="1623"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280,000 Shares subject to the Milestone Option (the “</w:t>
      </w:r>
      <w:r>
        <w:rPr>
          <w:rFonts w:ascii="Times New Roman" w:cs="Times New Roman" w:eastAsia="Times New Roman" w:hAnsi="Times New Roman"/>
          <w:sz w:val="18"/>
          <w:szCs w:val="18"/>
          <w:u w:val="single" w:color="auto"/>
          <w:color w:val="auto"/>
        </w:rPr>
        <w:t>Fourth Milestone Option</w:t>
      </w:r>
      <w:r>
        <w:rPr>
          <w:rFonts w:ascii="Times New Roman" w:cs="Times New Roman" w:eastAsia="Times New Roman" w:hAnsi="Times New Roman"/>
          <w:sz w:val="18"/>
          <w:szCs w:val="18"/>
          <w:color w:val="auto"/>
        </w:rPr>
        <w:t>”) will be eligible to vest upon the approval by the Federal Drug Administration of the Company’s Biologics License Application with respect to cretostimogene grenadenorepvec (CG0070) (“</w:t>
      </w:r>
      <w:r>
        <w:rPr>
          <w:rFonts w:ascii="Times New Roman" w:cs="Times New Roman" w:eastAsia="Times New Roman" w:hAnsi="Times New Roman"/>
          <w:sz w:val="18"/>
          <w:szCs w:val="18"/>
          <w:u w:val="single" w:color="auto"/>
          <w:color w:val="auto"/>
        </w:rPr>
        <w:t>BLA Approval</w:t>
      </w:r>
      <w:r>
        <w:rPr>
          <w:rFonts w:ascii="Times New Roman" w:cs="Times New Roman" w:eastAsia="Times New Roman" w:hAnsi="Times New Roman"/>
          <w:sz w:val="18"/>
          <w:szCs w:val="18"/>
          <w:color w:val="auto"/>
        </w:rPr>
        <w:t>”), provided such BLA Approval occurs on or before December 31, 2026, subject to Executive’s continued employment with the Company through such date; and</w:t>
      </w:r>
    </w:p>
    <w:p>
      <w:pPr>
        <w:spacing w:after="0" w:line="74" w:lineRule="exact"/>
        <w:rPr>
          <w:rFonts w:ascii="Times New Roman" w:cs="Times New Roman" w:eastAsia="Times New Roman" w:hAnsi="Times New Roman"/>
          <w:sz w:val="18"/>
          <w:szCs w:val="18"/>
          <w:color w:val="auto"/>
        </w:rPr>
      </w:pPr>
    </w:p>
    <w:p>
      <w:pPr>
        <w:ind w:left="940" w:right="440" w:firstLine="384"/>
        <w:spacing w:after="0" w:line="259" w:lineRule="auto"/>
        <w:tabs>
          <w:tab w:leader="none" w:pos="1603"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160,840 Shares subject to the Milestone Option (the “</w:t>
      </w:r>
      <w:r>
        <w:rPr>
          <w:rFonts w:ascii="Times New Roman" w:cs="Times New Roman" w:eastAsia="Times New Roman" w:hAnsi="Times New Roman"/>
          <w:sz w:val="18"/>
          <w:szCs w:val="18"/>
          <w:u w:val="single" w:color="auto"/>
          <w:color w:val="auto"/>
        </w:rPr>
        <w:t>Fifth Milestone Option</w:t>
      </w:r>
      <w:r>
        <w:rPr>
          <w:rFonts w:ascii="Times New Roman" w:cs="Times New Roman" w:eastAsia="Times New Roman" w:hAnsi="Times New Roman"/>
          <w:sz w:val="18"/>
          <w:szCs w:val="18"/>
          <w:color w:val="auto"/>
        </w:rPr>
        <w:t>”) will be eligible to vest upon the Company’s achievement of the first successful commercial sale by December 31, 2026, subject to Executive’s continued employment with the Company through such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580" w:top="267" w:right="599" w:bottom="1440" w:gutter="0" w:footer="0" w:header="0"/>
        </w:sectPr>
      </w:pPr>
    </w:p>
    <w:bookmarkStart w:id="564" w:name="page565"/>
    <w:bookmarkEnd w:id="564"/>
    <w:p>
      <w:pPr>
        <w:ind w:left="-20" w:right="20" w:firstLine="430"/>
        <w:spacing w:after="0" w:line="266" w:lineRule="auto"/>
        <w:tabs>
          <w:tab w:leader="none" w:pos="652"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Benefits</w:t>
      </w:r>
      <w:r>
        <w:rPr>
          <w:rFonts w:ascii="Times New Roman" w:cs="Times New Roman" w:eastAsia="Times New Roman" w:hAnsi="Times New Roman"/>
          <w:sz w:val="17"/>
          <w:szCs w:val="17"/>
          <w:color w:val="auto"/>
        </w:rPr>
        <w:t>. During the Term, Executive (and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on the same terms and conditions as those applicable to similarly situated senior executives. In addition, during the Term, Executive shall be eligible to participate in any retirement, savings and other employee benefit plans and programs maintained from time to time by the Company for the benefit of its senior executive officers. Nothing contained in this Section 2(e)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spacing w:after="0" w:line="174" w:lineRule="exact"/>
        <w:rPr>
          <w:rFonts w:ascii="Times New Roman" w:cs="Times New Roman" w:eastAsia="Times New Roman" w:hAnsi="Times New Roman"/>
          <w:sz w:val="17"/>
          <w:szCs w:val="17"/>
          <w:color w:val="auto"/>
        </w:rPr>
      </w:pPr>
    </w:p>
    <w:p>
      <w:pPr>
        <w:ind w:left="-20" w:right="380" w:firstLine="430"/>
        <w:spacing w:after="0" w:line="259" w:lineRule="auto"/>
        <w:tabs>
          <w:tab w:leader="none" w:pos="633"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or Paid Time Off</w:t>
      </w:r>
      <w:r>
        <w:rPr>
          <w:rFonts w:ascii="Times New Roman" w:cs="Times New Roman" w:eastAsia="Times New Roman" w:hAnsi="Times New Roman"/>
          <w:sz w:val="18"/>
          <w:szCs w:val="18"/>
          <w:color w:val="auto"/>
        </w:rPr>
        <w:t>. During the Term, Executive shall be entitled to paid personal leave in accordance with the Company’s Policies applicable to similarly situated executives. Any vacation or paid time off shall be taken in the reasonable convenience of Executive. Through the Company’s paid time-off policies Executive will receive paid sick leave as required by state and any applicable local laws.</w:t>
      </w:r>
    </w:p>
    <w:p>
      <w:pPr>
        <w:spacing w:after="0" w:line="177" w:lineRule="exact"/>
        <w:rPr>
          <w:rFonts w:ascii="Times New Roman" w:cs="Times New Roman" w:eastAsia="Times New Roman" w:hAnsi="Times New Roman"/>
          <w:sz w:val="18"/>
          <w:szCs w:val="18"/>
          <w:color w:val="auto"/>
        </w:rPr>
      </w:pPr>
    </w:p>
    <w:p>
      <w:pPr>
        <w:ind w:left="-20" w:firstLine="430"/>
        <w:spacing w:after="0" w:line="304" w:lineRule="auto"/>
        <w:tabs>
          <w:tab w:leader="none" w:pos="662"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Business Expenses</w:t>
      </w:r>
      <w:r>
        <w:rPr>
          <w:rFonts w:ascii="Times New Roman" w:cs="Times New Roman" w:eastAsia="Times New Roman" w:hAnsi="Times New Roman"/>
          <w:sz w:val="17"/>
          <w:szCs w:val="17"/>
          <w:color w:val="auto"/>
        </w:rPr>
        <w:t>. During the Term, the Company shall reimburse Executive for all reasonable travel and other business expenses incurred by Executive in the performance of Executive’s duties to the Company in accordance with the Company’s Travel and Expense Reimbursement Policy.</w:t>
      </w:r>
    </w:p>
    <w:p>
      <w:pPr>
        <w:spacing w:after="0" w:line="140" w:lineRule="exact"/>
        <w:rPr>
          <w:rFonts w:ascii="Times New Roman" w:cs="Times New Roman" w:eastAsia="Times New Roman" w:hAnsi="Times New Roman"/>
          <w:sz w:val="17"/>
          <w:szCs w:val="17"/>
          <w:color w:val="auto"/>
        </w:rPr>
      </w:pPr>
    </w:p>
    <w:p>
      <w:pPr>
        <w:ind w:left="-20" w:firstLine="430"/>
        <w:spacing w:after="0" w:line="248" w:lineRule="auto"/>
        <w:tabs>
          <w:tab w:leader="none" w:pos="662"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Relocation Reimbursement</w:t>
      </w:r>
      <w:r>
        <w:rPr>
          <w:rFonts w:ascii="Times New Roman" w:cs="Times New Roman" w:eastAsia="Times New Roman" w:hAnsi="Times New Roman"/>
          <w:sz w:val="18"/>
          <w:szCs w:val="18"/>
          <w:color w:val="auto"/>
        </w:rPr>
        <w:t>. If the Company should require Executive to relocate from the Principal Location to the Orange County, California area in order to work from the Company’s principal executive offices, the Company shall pay for or reimburse Executive for Executive’s reasonable relocation expenses (the “</w:t>
      </w:r>
      <w:r>
        <w:rPr>
          <w:rFonts w:ascii="Times New Roman" w:cs="Times New Roman" w:eastAsia="Times New Roman" w:hAnsi="Times New Roman"/>
          <w:sz w:val="18"/>
          <w:szCs w:val="18"/>
          <w:u w:val="single" w:color="auto"/>
          <w:color w:val="auto"/>
        </w:rPr>
        <w:t>Relocation Reimbursement</w:t>
      </w:r>
      <w:r>
        <w:rPr>
          <w:rFonts w:ascii="Times New Roman" w:cs="Times New Roman" w:eastAsia="Times New Roman" w:hAnsi="Times New Roman"/>
          <w:sz w:val="18"/>
          <w:szCs w:val="18"/>
          <w:color w:val="auto"/>
        </w:rPr>
        <w:t>”). In addition, the Company shall pay to Executive a tax gross-up (the “</w:t>
      </w:r>
      <w:r>
        <w:rPr>
          <w:rFonts w:ascii="Times New Roman" w:cs="Times New Roman" w:eastAsia="Times New Roman" w:hAnsi="Times New Roman"/>
          <w:sz w:val="18"/>
          <w:szCs w:val="18"/>
          <w:u w:val="single" w:color="auto"/>
          <w:color w:val="auto"/>
        </w:rPr>
        <w:t>Tax Gross-Up</w:t>
      </w:r>
      <w:r>
        <w:rPr>
          <w:rFonts w:ascii="Times New Roman" w:cs="Times New Roman" w:eastAsia="Times New Roman" w:hAnsi="Times New Roman"/>
          <w:sz w:val="18"/>
          <w:szCs w:val="18"/>
          <w:color w:val="auto"/>
        </w:rPr>
        <w:t>”) for any federal and state income and employment taxes that Executive is required to pay resulting from the Relocation Reimbursement and from the Tax Gross-Up, which Tax Gross-Up shall be paid in accordance with Treasury Regulation Section 1.409A-3(i)(1)(v). The Relocation Reimbursement and any Tax Gross-Up shall be subject to an aggregate cap of $90,000. All amounts eligible for the Relocation Reimbursement must be incurred by and paid to Executive during the term of Executive’s employment with the Company. The Relocation Reimbursement and the Tax Gross-Up shall be paid to Executive within thirty (30) days following the Company’s receipt of a written request for such reimbursement, but subject to receipt by the Company of supporting receipts and/or documentation and/or receipts in form and substance reasonably acceptable to the Company in a manner required by the Company’s Travel and Expense Reimbursement Policy.</w:t>
      </w:r>
    </w:p>
    <w:p>
      <w:pPr>
        <w:spacing w:after="0" w:line="193" w:lineRule="exact"/>
        <w:rPr>
          <w:rFonts w:ascii="Times New Roman" w:cs="Times New Roman" w:eastAsia="Times New Roman" w:hAnsi="Times New Roman"/>
          <w:sz w:val="18"/>
          <w:szCs w:val="18"/>
          <w:color w:val="auto"/>
        </w:rPr>
      </w:pPr>
    </w:p>
    <w:p>
      <w:pPr>
        <w:ind w:left="-20" w:right="60" w:firstLine="430"/>
        <w:spacing w:after="0" w:line="259" w:lineRule="auto"/>
        <w:tabs>
          <w:tab w:leader="none" w:pos="623"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D&amp;O Insurance</w:t>
      </w:r>
      <w:r>
        <w:rPr>
          <w:rFonts w:ascii="Times New Roman" w:cs="Times New Roman" w:eastAsia="Times New Roman" w:hAnsi="Times New Roman"/>
          <w:sz w:val="18"/>
          <w:szCs w:val="18"/>
          <w:color w:val="auto"/>
        </w:rPr>
        <w:t>. The Company shall indemnify Executive (and advance expenses to Executive) to the greatest extent permitted by applicable state law and shall provide Executive with coverage under a directors’ and officers’ liability insurance policy to the same extent provided to other senior executives and directors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0"/>
          </w:cols>
          <w:pgMar w:left="560" w:top="267" w:right="559" w:bottom="1440" w:gutter="0" w:footer="0" w:header="0"/>
        </w:sectPr>
      </w:pPr>
    </w:p>
    <w:bookmarkStart w:id="565" w:name="page566"/>
    <w:bookmarkEnd w:id="565"/>
    <w:p>
      <w:pPr>
        <w:ind w:left="422" w:hanging="422"/>
        <w:spacing w:after="0"/>
        <w:tabs>
          <w:tab w:leader="none" w:pos="422"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Termination of Employment</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Executive’s employment hereunder and the Term may be terminated by the Company or Executive, as applicable, without any breach of this</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Agreement under the following circumstances and the Term will end on the Date of Termination:</w:t>
      </w:r>
    </w:p>
    <w:p>
      <w:pPr>
        <w:spacing w:after="0" w:line="92" w:lineRule="exact"/>
        <w:rPr>
          <w:sz w:val="20"/>
          <w:szCs w:val="20"/>
          <w:color w:val="auto"/>
        </w:rPr>
      </w:pPr>
    </w:p>
    <w:p>
      <w:pPr>
        <w:ind w:left="682" w:hanging="250"/>
        <w:spacing w:after="0"/>
        <w:tabs>
          <w:tab w:leader="none" w:pos="682"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Circumstances</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1062" w:hanging="215"/>
        <w:spacing w:after="0"/>
        <w:tabs>
          <w:tab w:leader="none" w:pos="1062"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w:t>
      </w:r>
      <w:r>
        <w:rPr>
          <w:rFonts w:ascii="Times New Roman" w:cs="Times New Roman" w:eastAsia="Times New Roman" w:hAnsi="Times New Roman"/>
          <w:sz w:val="18"/>
          <w:szCs w:val="18"/>
          <w:color w:val="auto"/>
        </w:rPr>
        <w:t>. Executive’s employment hereunder shall terminate upon Executive’s death.</w:t>
      </w:r>
    </w:p>
    <w:p>
      <w:pPr>
        <w:spacing w:after="0" w:line="111" w:lineRule="exact"/>
        <w:rPr>
          <w:rFonts w:ascii="Times New Roman" w:cs="Times New Roman" w:eastAsia="Times New Roman" w:hAnsi="Times New Roman"/>
          <w:sz w:val="18"/>
          <w:szCs w:val="18"/>
          <w:color w:val="auto"/>
        </w:rPr>
      </w:pPr>
    </w:p>
    <w:p>
      <w:pPr>
        <w:ind w:left="1102" w:hanging="255"/>
        <w:spacing w:after="0"/>
        <w:tabs>
          <w:tab w:leader="none" w:pos="1102"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If Executive has incurred a Disability (as defined below), the Company may terminate Executive’s employment.</w:t>
      </w:r>
    </w:p>
    <w:p>
      <w:pPr>
        <w:spacing w:after="0" w:line="111" w:lineRule="exact"/>
        <w:rPr>
          <w:rFonts w:ascii="Times New Roman" w:cs="Times New Roman" w:eastAsia="Times New Roman" w:hAnsi="Times New Roman"/>
          <w:sz w:val="18"/>
          <w:szCs w:val="18"/>
          <w:color w:val="auto"/>
        </w:rPr>
      </w:pPr>
    </w:p>
    <w:p>
      <w:pPr>
        <w:ind w:left="1162" w:hanging="315"/>
        <w:spacing w:after="0"/>
        <w:tabs>
          <w:tab w:leader="none" w:pos="1162"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for Cause</w:t>
      </w:r>
      <w:r>
        <w:rPr>
          <w:rFonts w:ascii="Times New Roman" w:cs="Times New Roman" w:eastAsia="Times New Roman" w:hAnsi="Times New Roman"/>
          <w:sz w:val="18"/>
          <w:szCs w:val="18"/>
          <w:color w:val="auto"/>
        </w:rPr>
        <w:t>. The Company may terminate Executive’s employment for Cause (as defined below).</w:t>
      </w:r>
    </w:p>
    <w:p>
      <w:pPr>
        <w:spacing w:after="0" w:line="111" w:lineRule="exact"/>
        <w:rPr>
          <w:rFonts w:ascii="Times New Roman" w:cs="Times New Roman" w:eastAsia="Times New Roman" w:hAnsi="Times New Roman"/>
          <w:sz w:val="18"/>
          <w:szCs w:val="18"/>
          <w:color w:val="auto"/>
        </w:rPr>
      </w:pPr>
    </w:p>
    <w:p>
      <w:pPr>
        <w:ind w:left="1142" w:hanging="295"/>
        <w:spacing w:after="0"/>
        <w:tabs>
          <w:tab w:leader="none" w:pos="1142"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without Cause</w:t>
      </w:r>
      <w:r>
        <w:rPr>
          <w:rFonts w:ascii="Times New Roman" w:cs="Times New Roman" w:eastAsia="Times New Roman" w:hAnsi="Times New Roman"/>
          <w:sz w:val="18"/>
          <w:szCs w:val="18"/>
          <w:color w:val="auto"/>
        </w:rPr>
        <w:t>. The Company may terminate Executive’s employment without Cause.</w:t>
      </w:r>
    </w:p>
    <w:p>
      <w:pPr>
        <w:spacing w:after="0" w:line="111" w:lineRule="exact"/>
        <w:rPr>
          <w:rFonts w:ascii="Times New Roman" w:cs="Times New Roman" w:eastAsia="Times New Roman" w:hAnsi="Times New Roman"/>
          <w:sz w:val="18"/>
          <w:szCs w:val="18"/>
          <w:color w:val="auto"/>
        </w:rPr>
      </w:pPr>
    </w:p>
    <w:p>
      <w:pPr>
        <w:ind w:left="442" w:firstLine="405"/>
        <w:spacing w:after="0" w:line="276" w:lineRule="auto"/>
        <w:tabs>
          <w:tab w:leader="none" w:pos="1107"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Resignation from the Company with Good Reason. </w:t>
      </w:r>
      <w:r>
        <w:rPr>
          <w:rFonts w:ascii="Times New Roman" w:cs="Times New Roman" w:eastAsia="Times New Roman" w:hAnsi="Times New Roman"/>
          <w:sz w:val="18"/>
          <w:szCs w:val="18"/>
          <w:color w:val="auto"/>
        </w:rPr>
        <w:t>Executive may resign Executive’s employment with the Company with 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below).</w:t>
      </w:r>
    </w:p>
    <w:p>
      <w:pPr>
        <w:spacing w:after="0" w:line="53" w:lineRule="exact"/>
        <w:rPr>
          <w:rFonts w:ascii="Times New Roman" w:cs="Times New Roman" w:eastAsia="Times New Roman" w:hAnsi="Times New Roman"/>
          <w:sz w:val="18"/>
          <w:szCs w:val="18"/>
          <w:color w:val="auto"/>
        </w:rPr>
      </w:pPr>
    </w:p>
    <w:p>
      <w:pPr>
        <w:ind w:left="442" w:right="20" w:firstLine="405"/>
        <w:spacing w:after="0" w:line="276" w:lineRule="auto"/>
        <w:tabs>
          <w:tab w:leader="none" w:pos="1156"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 from the Company without Good Reason</w:t>
      </w:r>
      <w:r>
        <w:rPr>
          <w:rFonts w:ascii="Times New Roman" w:cs="Times New Roman" w:eastAsia="Times New Roman" w:hAnsi="Times New Roman"/>
          <w:sz w:val="18"/>
          <w:szCs w:val="18"/>
          <w:color w:val="auto"/>
        </w:rPr>
        <w:t>. Executive may resign Executive’s employment with the Company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Good Reason or for no reason.</w:t>
      </w:r>
    </w:p>
    <w:p>
      <w:pPr>
        <w:spacing w:after="0" w:line="161" w:lineRule="exact"/>
        <w:rPr>
          <w:rFonts w:ascii="Times New Roman" w:cs="Times New Roman" w:eastAsia="Times New Roman" w:hAnsi="Times New Roman"/>
          <w:sz w:val="18"/>
          <w:szCs w:val="18"/>
          <w:color w:val="auto"/>
        </w:rPr>
      </w:pPr>
    </w:p>
    <w:p>
      <w:pPr>
        <w:ind w:left="2" w:right="120" w:firstLine="430"/>
        <w:spacing w:after="0" w:line="264" w:lineRule="auto"/>
        <w:tabs>
          <w:tab w:leader="none" w:pos="684" w:val="left"/>
        </w:tabs>
        <w:numPr>
          <w:ilvl w:val="0"/>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xml:space="preserve">. Any termination of Executive’s employment by the Company or by Executive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78" w:lineRule="exact"/>
        <w:rPr>
          <w:rFonts w:ascii="Times New Roman" w:cs="Times New Roman" w:eastAsia="Times New Roman" w:hAnsi="Times New Roman"/>
          <w:sz w:val="17"/>
          <w:szCs w:val="17"/>
          <w:color w:val="auto"/>
        </w:rPr>
      </w:pPr>
    </w:p>
    <w:p>
      <w:pPr>
        <w:ind w:left="2" w:right="160" w:firstLine="430"/>
        <w:spacing w:after="0" w:line="271" w:lineRule="auto"/>
        <w:tabs>
          <w:tab w:leader="none" w:pos="674" w:val="left"/>
        </w:tabs>
        <w:numPr>
          <w:ilvl w:val="0"/>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Obligations upon Termination</w:t>
      </w:r>
      <w:r>
        <w:rPr>
          <w:rFonts w:ascii="Times New Roman" w:cs="Times New Roman" w:eastAsia="Times New Roman" w:hAnsi="Times New Roman"/>
          <w:sz w:val="17"/>
          <w:szCs w:val="17"/>
          <w:color w:val="auto"/>
        </w:rPr>
        <w:t xml:space="preserve">. Upon termination of Executive’s employment pursuant to any of the circumstances listed in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Executive (or Executive’s estate, if applicable) shall be entitled to receive, at a minimum, the following (the “</w:t>
      </w:r>
      <w:r>
        <w:rPr>
          <w:rFonts w:ascii="Times New Roman" w:cs="Times New Roman" w:eastAsia="Times New Roman" w:hAnsi="Times New Roman"/>
          <w:sz w:val="17"/>
          <w:szCs w:val="17"/>
          <w:u w:val="single" w:color="auto"/>
          <w:color w:val="auto"/>
        </w:rPr>
        <w:t>Accrued Obligations</w:t>
      </w:r>
      <w:r>
        <w:rPr>
          <w:rFonts w:ascii="Times New Roman" w:cs="Times New Roman" w:eastAsia="Times New Roman" w:hAnsi="Times New Roman"/>
          <w:sz w:val="17"/>
          <w:szCs w:val="17"/>
          <w:color w:val="auto"/>
        </w:rPr>
        <w:t>”): (i) the portion of Executive’s Annual Base Salary earned through the Date of Termination, but not yet paid to Executive (payable on the Company’s next payroll date or such earlier date as required by applicable law); (ii) any expense reimbursements owed to Executive pursuant to Section 2(g), payable pursuant to the applicable policy; and (iii) any amount accrued and arising from Executive’s participation in, or benefits accrued under</w:t>
      </w:r>
    </w:p>
    <w:p>
      <w:pPr>
        <w:spacing w:after="0" w:line="102"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62"/>
          </w:cols>
          <w:pgMar w:left="538" w:top="265" w:right="599" w:bottom="1440" w:gutter="0" w:footer="0" w:header="0"/>
        </w:sectPr>
      </w:pPr>
    </w:p>
    <w:bookmarkStart w:id="566" w:name="page567"/>
    <w:bookmarkEnd w:id="566"/>
    <w:p>
      <w:pPr>
        <w:ind w:left="2"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18"/>
          <w:szCs w:val="18"/>
          <w:u w:val="single" w:color="auto"/>
          <w:color w:val="auto"/>
        </w:rPr>
        <w:t>Company Arrangements</w:t>
      </w:r>
      <w:r>
        <w:rPr>
          <w:rFonts w:ascii="Times New Roman" w:cs="Times New Roman" w:eastAsia="Times New Roman" w:hAnsi="Times New Roman"/>
          <w:sz w:val="18"/>
          <w:szCs w:val="18"/>
          <w:color w:val="auto"/>
        </w:rPr>
        <w:t>”). Except as otherwise expressly required by law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COBRA) or applicable Company Arrangement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for severance benefits shall be to receive the payments and benefits described in this Section 3(c) or Section 4, as applicable.</w:t>
      </w:r>
    </w:p>
    <w:p>
      <w:pPr>
        <w:spacing w:after="0" w:line="185" w:lineRule="exact"/>
        <w:rPr>
          <w:sz w:val="20"/>
          <w:szCs w:val="20"/>
          <w:color w:val="auto"/>
        </w:rPr>
      </w:pPr>
    </w:p>
    <w:p>
      <w:pPr>
        <w:ind w:left="2" w:right="460" w:firstLine="430"/>
        <w:spacing w:after="0" w:line="274" w:lineRule="auto"/>
        <w:tabs>
          <w:tab w:leader="none" w:pos="68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Resignation</w:t>
      </w:r>
      <w:r>
        <w:rPr>
          <w:rFonts w:ascii="Times New Roman" w:cs="Times New Roman" w:eastAsia="Times New Roman" w:hAnsi="Times New Roman"/>
          <w:sz w:val="18"/>
          <w:szCs w:val="18"/>
          <w:color w:val="auto"/>
        </w:rPr>
        <w:t>. Upon termination of Executive’s employment for any reason, Executive shall be deemed to have resigned from all offices and directorships, if any, then held with the Company or any of its subsidiaries.</w:t>
      </w:r>
    </w:p>
    <w:p>
      <w:pPr>
        <w:spacing w:after="0" w:line="163" w:lineRule="exact"/>
        <w:rPr>
          <w:rFonts w:ascii="Times New Roman" w:cs="Times New Roman" w:eastAsia="Times New Roman" w:hAnsi="Times New Roman"/>
          <w:sz w:val="18"/>
          <w:szCs w:val="18"/>
          <w:color w:val="auto"/>
        </w:rPr>
      </w:pPr>
    </w:p>
    <w:p>
      <w:pPr>
        <w:ind w:left="2" w:right="120" w:firstLine="430"/>
        <w:spacing w:after="0" w:line="268" w:lineRule="auto"/>
        <w:tabs>
          <w:tab w:leader="none" w:pos="674" w:val="left"/>
        </w:tabs>
        <w:numPr>
          <w:ilvl w:val="1"/>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Property</w:t>
      </w:r>
      <w:r>
        <w:rPr>
          <w:rFonts w:ascii="Times New Roman" w:cs="Times New Roman" w:eastAsia="Times New Roman" w:hAnsi="Times New Roman"/>
          <w:sz w:val="17"/>
          <w:szCs w:val="17"/>
          <w:color w:val="auto"/>
        </w:rPr>
        <w:t>. Upon termination of Executive’s employment for any reason, unless otherwise specified in a written agreement between Executive and the Company, Executive agrees to return to the Company all documents of the Company and its affiliates (and all copies thereof) and all other Company or Company affiliate property that Executive has in his possession, custody, or control. Such property includes, without limitation:</w:t>
      </w:r>
    </w:p>
    <w:p>
      <w:pPr>
        <w:ind w:left="2" w:right="20" w:hanging="2"/>
        <w:spacing w:after="0" w:line="246" w:lineRule="auto"/>
        <w:tabs>
          <w:tab w:leader="none" w:pos="213"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materials of any kind that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w:t>
      </w:r>
    </w:p>
    <w:p>
      <w:pPr>
        <w:spacing w:after="0" w:line="335" w:lineRule="exact"/>
        <w:rPr>
          <w:sz w:val="20"/>
          <w:szCs w:val="20"/>
          <w:color w:val="auto"/>
        </w:rPr>
      </w:pPr>
    </w:p>
    <w:p>
      <w:pPr>
        <w:ind w:left="422" w:hanging="422"/>
        <w:spacing w:after="0"/>
        <w:tabs>
          <w:tab w:leader="none" w:pos="422"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 Payments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firstLine="430"/>
        <w:spacing w:after="0" w:line="250" w:lineRule="auto"/>
        <w:tabs>
          <w:tab w:leader="none" w:pos="674"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 or Termination Upon Death, Disability, Resignation from the Company Without Good Reason or Resignation from the Company for Good Reason Prior to a Change in Control or More Than Eighteen (18) Months Following a Change in Control</w:t>
      </w:r>
      <w:r>
        <w:rPr>
          <w:rFonts w:ascii="Times New Roman" w:cs="Times New Roman" w:eastAsia="Times New Roman" w:hAnsi="Times New Roman"/>
          <w:sz w:val="18"/>
          <w:szCs w:val="18"/>
          <w:color w:val="auto"/>
        </w:rPr>
        <w:t>. If Executive’s employment shall terminate as a result of Executive’s death pursuant to Section 3(a)(i) or Disability pursuant to Section 3(a)(ii), pursuant to Section 3(a) (iii) for Cause, pursuant to Section 3(a)(vi) for Executive’s resignation from the Company without Good Reason, or pursuant to Section 3(a)(v) for Executive’s resignation from the Company with Good Reason, and such resignation for Good Reason occurs prior to a Change in Control or more than eighteen (18) months following a Change in Control, then Executive shall not be entitled to any severance payments or benefits, except for the Accrued Obligations as provided in Section 3(c).</w:t>
      </w:r>
    </w:p>
    <w:p>
      <w:pPr>
        <w:spacing w:after="0" w:line="186" w:lineRule="exact"/>
        <w:rPr>
          <w:rFonts w:ascii="Times New Roman" w:cs="Times New Roman" w:eastAsia="Times New Roman" w:hAnsi="Times New Roman"/>
          <w:sz w:val="18"/>
          <w:szCs w:val="18"/>
          <w:color w:val="auto"/>
        </w:rPr>
      </w:pPr>
    </w:p>
    <w:p>
      <w:pPr>
        <w:ind w:left="2" w:right="120" w:firstLine="430"/>
        <w:spacing w:after="0" w:line="252" w:lineRule="auto"/>
        <w:tabs>
          <w:tab w:leader="none" w:pos="684"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Prior to a Change in Control or More Than Eighteen (18) Months Following a Change in Control</w:t>
      </w:r>
      <w:r>
        <w:rPr>
          <w:rFonts w:ascii="Times New Roman" w:cs="Times New Roman" w:eastAsia="Times New Roman" w:hAnsi="Times New Roman"/>
          <w:sz w:val="18"/>
          <w:szCs w:val="18"/>
          <w:color w:val="auto"/>
        </w:rPr>
        <w:t>. If Executive’s employment terminates without Cause pursuant to Section 3(a)(iv), and such termination without Cause occurs prior to a Change in Control or more than eighteen (18) months following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79" w:lineRule="exact"/>
        <w:rPr>
          <w:rFonts w:ascii="Times New Roman" w:cs="Times New Roman" w:eastAsia="Times New Roman" w:hAnsi="Times New Roman"/>
          <w:sz w:val="18"/>
          <w:szCs w:val="18"/>
          <w:color w:val="auto"/>
        </w:rPr>
      </w:pPr>
    </w:p>
    <w:p>
      <w:pPr>
        <w:ind w:left="442" w:right="120" w:firstLine="405"/>
        <w:spacing w:after="0" w:line="274" w:lineRule="auto"/>
        <w:tabs>
          <w:tab w:leader="none" w:pos="1068" w:val="left"/>
        </w:tabs>
        <w:numPr>
          <w:ilvl w:val="2"/>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Executive’s Annual Base Salary as in effect immediately prior to the Date of Termination, payable in a lump sum on the first regular payroll date following the effective date of Executive’s Release (as defined below);</w:t>
      </w:r>
    </w:p>
    <w:p>
      <w:pPr>
        <w:spacing w:after="0" w:line="97"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82"/>
          </w:cols>
          <w:pgMar w:left="538" w:top="266" w:right="579" w:bottom="1440" w:gutter="0" w:footer="0" w:header="0"/>
        </w:sectPr>
      </w:pPr>
    </w:p>
    <w:bookmarkStart w:id="567" w:name="page568"/>
    <w:bookmarkEnd w:id="567"/>
    <w:p>
      <w:pPr>
        <w:ind w:left="10" w:right="40" w:firstLine="405"/>
        <w:spacing w:after="0" w:line="265" w:lineRule="auto"/>
        <w:tabs>
          <w:tab w:leader="none" w:pos="685" w:val="left"/>
        </w:tabs>
        <w:numPr>
          <w:ilvl w:val="1"/>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then the Company shall directly pay, or reimburse Executive for, the COBRA premiums for Executive and Executive’s covered dependents under such plans during the period commencing on Executive’s Separation from Service and ending upon the earliest of (A) the last day of the twelve (12) month period following the Date of Termination, (B) the date that Executive and/or Executive’s covered dependents become no longer eligible for COBRA or</w:t>
      </w:r>
    </w:p>
    <w:p>
      <w:pPr>
        <w:ind w:left="10" w:hanging="10"/>
        <w:spacing w:after="0" w:line="246" w:lineRule="auto"/>
        <w:tabs>
          <w:tab w:leader="none" w:pos="289"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18"/>
          <w:szCs w:val="18"/>
          <w:u w:val="single" w:color="auto"/>
          <w:color w:val="auto"/>
        </w:rPr>
        <w:t>COBRA Continuation Period</w:t>
      </w:r>
      <w:r>
        <w:rPr>
          <w:rFonts w:ascii="Times New Roman" w:cs="Times New Roman" w:eastAsia="Times New Roman" w:hAnsi="Times New Roman"/>
          <w:sz w:val="18"/>
          <w:szCs w:val="18"/>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COBRA Continuation Period;</w:t>
      </w:r>
    </w:p>
    <w:p>
      <w:pPr>
        <w:spacing w:after="0" w:line="85" w:lineRule="exact"/>
        <w:rPr>
          <w:rFonts w:ascii="Times New Roman" w:cs="Times New Roman" w:eastAsia="Times New Roman" w:hAnsi="Times New Roman"/>
          <w:sz w:val="18"/>
          <w:szCs w:val="18"/>
          <w:color w:val="auto"/>
        </w:rPr>
      </w:pPr>
    </w:p>
    <w:p>
      <w:pPr>
        <w:ind w:left="10" w:firstLine="405"/>
        <w:spacing w:after="0" w:line="255" w:lineRule="auto"/>
        <w:tabs>
          <w:tab w:leader="none" w:pos="734"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Target Bonus (and without regard to any reduction in the Target Bonus that resulted in Executive’s resignation with Good Reason), prorated for the portion of the year in which Executive’s Date of Termination occurs that has elapsed through the Date of Termination, payable in a lump sum on the first regular payroll date following the effective date of Executive’s Release (but in no event later than March 15 of the calendar year following the year in which Executive’s Date of Termination occurs);</w:t>
      </w:r>
    </w:p>
    <w:p>
      <w:pPr>
        <w:spacing w:after="0" w:line="74" w:lineRule="exact"/>
        <w:rPr>
          <w:rFonts w:ascii="Times New Roman" w:cs="Times New Roman" w:eastAsia="Times New Roman" w:hAnsi="Times New Roman"/>
          <w:sz w:val="18"/>
          <w:szCs w:val="18"/>
          <w:color w:val="auto"/>
        </w:rPr>
      </w:pPr>
    </w:p>
    <w:p>
      <w:pPr>
        <w:ind w:left="10" w:right="40" w:firstLine="405"/>
        <w:spacing w:after="0" w:line="225" w:lineRule="auto"/>
        <w:tabs>
          <w:tab w:leader="none" w:pos="724"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with respect to Company equity awards held by Executive other than the Initial Option, such number of the outstanding, unvested Company equity awards held by Executive under any Company equity compensation plans as would have vested during the twelve (12) months following the date of Executive’s Separation from Service had Executive continued in employment or service with the Company during such period shall immediately become vested on the effectiveness of the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this clause (A), any performance-based equity award will remain subject to attainment of the relevant performance goals unless a more favorable or alternative provision is contained in an applicable award agreement; and (B) with respect to the Initial Option only, (1) to the extent such termination occurs prior to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Effective Date, such portion of the Initial Option as would have vested during the twelve (12) months following the date of Executive’s Separation from Service had Executive continued in employment or service with the Company during such period shall immediately become vested on the effectiveness of the Release; (2) to the extent such termination occurs on or after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Effective Date but prior to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anniversary of the Effective Date, such portion of the Initial Option as would have vested during the eighteen (18) months following the date of Executive’s Separation from Service had Executive continued in employment or service with the Company during such period shall immediately become vested on the effectiveness of the Release; and (3) to the extent such termination occurs on or after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anniversary of the Effective Date, any remaining unvested portion of the Initial Option shall immediately become vested on the effectiveness of the Release; and</w:t>
      </w:r>
    </w:p>
    <w:p>
      <w:pPr>
        <w:spacing w:after="0" w:line="138"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70"/>
          </w:cols>
          <w:pgMar w:left="970" w:top="266" w:right="659" w:bottom="1440" w:gutter="0" w:footer="0" w:header="0"/>
        </w:sectPr>
      </w:pPr>
    </w:p>
    <w:bookmarkStart w:id="568" w:name="page569"/>
    <w:bookmarkEnd w:id="568"/>
    <w:p>
      <w:pPr>
        <w:ind w:left="442" w:right="100" w:firstLine="405"/>
        <w:spacing w:after="0" w:line="255" w:lineRule="auto"/>
        <w:tabs>
          <w:tab w:leader="none" w:pos="1107" w:val="left"/>
        </w:tabs>
        <w:numPr>
          <w:ilvl w:val="2"/>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outplacement services by a nationally or industry-recognized outplacement services organization of the Executive’s choosing, subject to the written consent of the Company (not to be unreasonably withheld), for the cost of twelve (12) months of professional outplacement services for the Executive up to a maximum cost of $20,000,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Executive commences the use of such services no later than the ninetieth (90th) day following the Date of Termination.</w:t>
      </w:r>
    </w:p>
    <w:p>
      <w:pPr>
        <w:spacing w:after="0" w:line="180" w:lineRule="exact"/>
        <w:rPr>
          <w:rFonts w:ascii="Times New Roman" w:cs="Times New Roman" w:eastAsia="Times New Roman" w:hAnsi="Times New Roman"/>
          <w:sz w:val="18"/>
          <w:szCs w:val="18"/>
          <w:color w:val="auto"/>
        </w:rPr>
      </w:pPr>
    </w:p>
    <w:p>
      <w:pPr>
        <w:ind w:left="2" w:right="60" w:firstLine="430"/>
        <w:spacing w:after="0" w:line="272" w:lineRule="auto"/>
        <w:tabs>
          <w:tab w:leader="none" w:pos="674" w:val="left"/>
        </w:tabs>
        <w:numPr>
          <w:ilvl w:val="1"/>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In lieu of the payments and benefits set forth in Section 4(b), in the event Executive’s employment terminates without Cause pursuant to Section 3(a)(iv), or pursuant to Section 3(a)(v) due to Executive’s resignation with Good Reason, in either case, on or within eighteen</w:t>
      </w:r>
    </w:p>
    <w:p>
      <w:pPr>
        <w:ind w:left="342" w:hanging="342"/>
        <w:spacing w:after="0"/>
        <w:tabs>
          <w:tab w:leader="none" w:pos="342"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date of a Change in Control, then subject to Sections 3(e), 4(d) and 9(k), and Executive’s continued compliance with the</w:t>
      </w:r>
    </w:p>
    <w:p>
      <w:pPr>
        <w:spacing w:after="0" w:line="5" w:lineRule="exact"/>
        <w:rPr>
          <w:rFonts w:ascii="Times New Roman" w:cs="Times New Roman" w:eastAsia="Times New Roman" w:hAnsi="Times New Roman"/>
          <w:sz w:val="18"/>
          <w:szCs w:val="18"/>
          <w:color w:val="auto"/>
        </w:rPr>
      </w:pPr>
    </w:p>
    <w:p>
      <w:pPr>
        <w:ind w:left="2"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this Agreement (including, without limitation, Section 5), the Company shall pay Executive, in addition to the Accrued Obligations set forth in Section 3(c), the following:</w:t>
      </w:r>
    </w:p>
    <w:p>
      <w:pPr>
        <w:spacing w:after="0" w:line="77" w:lineRule="exact"/>
        <w:rPr>
          <w:rFonts w:ascii="Times New Roman" w:cs="Times New Roman" w:eastAsia="Times New Roman" w:hAnsi="Times New Roman"/>
          <w:sz w:val="18"/>
          <w:szCs w:val="18"/>
          <w:color w:val="auto"/>
        </w:rPr>
      </w:pPr>
    </w:p>
    <w:p>
      <w:pPr>
        <w:ind w:left="442" w:right="60" w:firstLine="405"/>
        <w:spacing w:after="0" w:line="259" w:lineRule="auto"/>
        <w:tabs>
          <w:tab w:leader="none" w:pos="1068" w:val="left"/>
        </w:tabs>
        <w:numPr>
          <w:ilvl w:val="2"/>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Executive’s Annual Base Salary as in effect immediately prior to the Date of Termination (and without regard to any reduction in Annual Base Salary that resulted in Executive’s resignation with Good Reason), payable in a lump sum on the first regular payroll date following the effective date of Executive’s Release;</w:t>
      </w:r>
    </w:p>
    <w:p>
      <w:pPr>
        <w:spacing w:after="0" w:line="72" w:lineRule="exact"/>
        <w:rPr>
          <w:sz w:val="20"/>
          <w:szCs w:val="20"/>
          <w:color w:val="auto"/>
        </w:rPr>
      </w:pPr>
    </w:p>
    <w:p>
      <w:pPr>
        <w:ind w:left="442" w:right="100" w:firstLine="405"/>
        <w:spacing w:after="0" w:line="259" w:lineRule="auto"/>
        <w:tabs>
          <w:tab w:leader="none" w:pos="111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Target Bonus (and without regard to any reduction in the Target Bonus that resulted in Executive’s resignation with Good Reason), payable in a lump sum on the first regular payroll date following the effective date of Executive’s Release (but in no event later than March 15 of the calendar year following the year in which Executive’s Date of Termination occurs);</w:t>
      </w:r>
    </w:p>
    <w:p>
      <w:pPr>
        <w:spacing w:after="0" w:line="71" w:lineRule="exact"/>
        <w:rPr>
          <w:rFonts w:ascii="Times New Roman" w:cs="Times New Roman" w:eastAsia="Times New Roman" w:hAnsi="Times New Roman"/>
          <w:sz w:val="18"/>
          <w:szCs w:val="18"/>
          <w:color w:val="auto"/>
        </w:rPr>
      </w:pPr>
    </w:p>
    <w:p>
      <w:pPr>
        <w:ind w:left="442" w:firstLine="405"/>
        <w:spacing w:after="0" w:line="248" w:lineRule="auto"/>
        <w:tabs>
          <w:tab w:leader="none" w:pos="116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during the period commencing on Executive’s Separation from Service and ending upon the earliest of (A) the last day of the twelve (12)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18"/>
          <w:szCs w:val="18"/>
          <w:u w:val="single" w:color="auto"/>
          <w:color w:val="auto"/>
        </w:rPr>
        <w:t>CIC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COBRA Continuation Period</w:t>
      </w:r>
      <w:r>
        <w:rPr>
          <w:rFonts w:ascii="Times New Roman" w:cs="Times New Roman" w:eastAsia="Times New Roman" w:hAnsi="Times New Roman"/>
          <w:sz w:val="18"/>
          <w:szCs w:val="18"/>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CIC COBRA Continuation Period;</w:t>
      </w:r>
    </w:p>
    <w:p>
      <w:pPr>
        <w:spacing w:after="0" w:line="81" w:lineRule="exact"/>
        <w:rPr>
          <w:rFonts w:ascii="Times New Roman" w:cs="Times New Roman" w:eastAsia="Times New Roman" w:hAnsi="Times New Roman"/>
          <w:sz w:val="18"/>
          <w:szCs w:val="18"/>
          <w:color w:val="auto"/>
        </w:rPr>
      </w:pPr>
    </w:p>
    <w:p>
      <w:pPr>
        <w:ind w:left="442" w:right="100" w:firstLine="405"/>
        <w:spacing w:after="0" w:line="282" w:lineRule="auto"/>
        <w:tabs>
          <w:tab w:leader="none" w:pos="1156"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outstanding, unvested Company equity awards held by Executive under any Company equity compensation plans shall immediately become 100% vested on the effectiveness of the Release,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performance-based equity award will remain subject to attainment of the relevant performance goals unless a more favorable or alternative provision is contained in an applicable award agreement; and</w:t>
      </w:r>
    </w:p>
    <w:p>
      <w:pPr>
        <w:spacing w:after="0" w:line="9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2"/>
          </w:cols>
          <w:pgMar w:left="538" w:top="267" w:right="559" w:bottom="1440" w:gutter="0" w:footer="0" w:header="0"/>
        </w:sectPr>
      </w:pPr>
    </w:p>
    <w:bookmarkStart w:id="569" w:name="page570"/>
    <w:bookmarkEnd w:id="569"/>
    <w:p>
      <w:pPr>
        <w:jc w:val="both"/>
        <w:ind w:left="442" w:right="100" w:firstLine="405"/>
        <w:spacing w:after="0" w:line="255" w:lineRule="auto"/>
        <w:tabs>
          <w:tab w:leader="none" w:pos="1107"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outplacement services by a nationally or industry-recognized outplacement services organization of the Executive’s choosing, subject to the written consent of the Company (not to be unreasonably withheld), for the cost of eighteen (18) months of professional outplacement services for the Executive up to a maximum cost of $20,000,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Executive commences the use of such services no later than the ninetieth (90th) day following the Date of Termination.</w:t>
      </w:r>
    </w:p>
    <w:p>
      <w:pPr>
        <w:spacing w:after="0" w:line="180" w:lineRule="exact"/>
        <w:rPr>
          <w:rFonts w:ascii="Times New Roman" w:cs="Times New Roman" w:eastAsia="Times New Roman" w:hAnsi="Times New Roman"/>
          <w:sz w:val="18"/>
          <w:szCs w:val="18"/>
          <w:color w:val="auto"/>
        </w:rPr>
      </w:pPr>
    </w:p>
    <w:p>
      <w:pPr>
        <w:ind w:left="2" w:firstLine="430"/>
        <w:spacing w:after="0" w:line="251" w:lineRule="auto"/>
        <w:tabs>
          <w:tab w:leader="none" w:pos="684"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Notwithstanding the foregoing, it shall be a condition to the Executive’s right to receive the amounts provided for in Sections 4(b) and 4(c) hereof that the Executive execute and deliver to the Company an effective release of claims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within 21 days (or, to the extent required by law, 45 days) following the Date of Termination and that the Executive not revoke such Release during any applicable revocation period. For the avoidance of doubt, all equity awards eligible for accelerated vesting pursuant to this Section 4 shall remain outstanding and eligible to vest following the Date of Termination and shall actually vest and become exercisable (if applicable) and non-forfeitable upon the effectiveness of the Release.</w:t>
      </w:r>
    </w:p>
    <w:p>
      <w:pPr>
        <w:spacing w:after="0" w:line="185" w:lineRule="exact"/>
        <w:rPr>
          <w:rFonts w:ascii="Times New Roman" w:cs="Times New Roman" w:eastAsia="Times New Roman" w:hAnsi="Times New Roman"/>
          <w:sz w:val="18"/>
          <w:szCs w:val="18"/>
          <w:color w:val="auto"/>
        </w:rPr>
      </w:pPr>
    </w:p>
    <w:p>
      <w:pPr>
        <w:jc w:val="both"/>
        <w:ind w:left="2" w:right="40" w:firstLine="430"/>
        <w:spacing w:after="0" w:line="252" w:lineRule="auto"/>
        <w:tabs>
          <w:tab w:leader="none" w:pos="674"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In addition, Executive acknowledges and agrees that he is not entitled to any reimbursement by the Company for any taxes payable by Executive as a result of the payments and benefits received by Executive pursuant to this Section 4, including, without limitation, any excise tax imposed by Section 4999 of the Code. Any payments made to Executive under this Section 4 shall be inclusive of any amounts or benefits to which Executive may be entitled pursuant to the Worker Adjustment and Retraining Notification Act, 29 U.S.C. Sections 2101 et seq., and the Department of Labor regulations thereunder, or any similar state statute.</w:t>
      </w:r>
    </w:p>
    <w:p>
      <w:pPr>
        <w:spacing w:after="0" w:line="329" w:lineRule="exact"/>
        <w:rPr>
          <w:rFonts w:ascii="Times New Roman" w:cs="Times New Roman" w:eastAsia="Times New Roman" w:hAnsi="Times New Roman"/>
          <w:sz w:val="18"/>
          <w:szCs w:val="18"/>
          <w:color w:val="auto"/>
        </w:rPr>
      </w:pPr>
    </w:p>
    <w:p>
      <w:pPr>
        <w:ind w:left="422" w:hanging="422"/>
        <w:spacing w:after="0"/>
        <w:tabs>
          <w:tab w:leader="none" w:pos="422"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right="60" w:firstLine="430"/>
        <w:spacing w:after="0" w:line="255" w:lineRule="auto"/>
        <w:tabs>
          <w:tab w:leader="none" w:pos="674"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his commencement of employment, Executive has entered into the form of agreement containing confidentiality, intellectual property assignment and other protective covenants (the “</w:t>
      </w: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xml:space="preserve">”), which is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Executive shall be bound by the terms and conditions of the Restrictive Covenant Agreement, and hereby agrees that such agreement shall be additional to, and not in limitation of, the covenants contained in this Section 5.</w:t>
      </w:r>
    </w:p>
    <w:p>
      <w:pPr>
        <w:spacing w:after="0" w:line="180" w:lineRule="exact"/>
        <w:rPr>
          <w:rFonts w:ascii="Times New Roman" w:cs="Times New Roman" w:eastAsia="Times New Roman" w:hAnsi="Times New Roman"/>
          <w:sz w:val="18"/>
          <w:szCs w:val="18"/>
          <w:color w:val="auto"/>
        </w:rPr>
      </w:pPr>
    </w:p>
    <w:p>
      <w:pPr>
        <w:ind w:left="2" w:right="40" w:firstLine="430"/>
        <w:spacing w:after="0" w:line="250" w:lineRule="auto"/>
        <w:tabs>
          <w:tab w:leader="none" w:pos="684"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shall hold in a fiduciary capacity for the benefit of the Company all secret or confidential information, knowledge or data relating to the Company and its subsidiaries and affiliates, which shall have been obtained by Executive in connection with Executive’s employment by the Company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Executive receives actual notice that Executive is or may be required by law or legal process to communicate or divulge any such information, knowledge or data, Executive shall promptly so notify the Company.</w:t>
      </w:r>
    </w:p>
    <w:p>
      <w:pPr>
        <w:spacing w:after="0" w:line="186" w:lineRule="exact"/>
        <w:rPr>
          <w:rFonts w:ascii="Times New Roman" w:cs="Times New Roman" w:eastAsia="Times New Roman" w:hAnsi="Times New Roman"/>
          <w:sz w:val="18"/>
          <w:szCs w:val="18"/>
          <w:color w:val="auto"/>
        </w:rPr>
      </w:pPr>
    </w:p>
    <w:p>
      <w:pPr>
        <w:ind w:left="2" w:firstLine="430"/>
        <w:spacing w:after="0" w:line="250" w:lineRule="auto"/>
        <w:tabs>
          <w:tab w:leader="none" w:pos="674"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the Company, Executive shall not be engaged in any other business activity that would be competitive with the business of the Company and its subsidiaries or affiliates. In addition, while employed by the Company and for a period of twelve (12) months after the Date of Termination, Executive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Executive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w:t>
      </w:r>
    </w:p>
    <w:p>
      <w:pPr>
        <w:spacing w:after="0" w:line="1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02"/>
          </w:cols>
          <w:pgMar w:left="538" w:top="267" w:right="559" w:bottom="1440" w:gutter="0" w:footer="0" w:header="0"/>
        </w:sectPr>
      </w:pPr>
    </w:p>
    <w:bookmarkStart w:id="570" w:name="page571"/>
    <w:bookmarkEnd w:id="570"/>
    <w:p>
      <w:pPr>
        <w:ind w:left="2" w:right="20" w:firstLine="430"/>
        <w:spacing w:after="0" w:line="269" w:lineRule="auto"/>
        <w:tabs>
          <w:tab w:leader="none" w:pos="684" w:val="left"/>
        </w:tabs>
        <w:numPr>
          <w:ilvl w:val="1"/>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Subject to Section 5(f), during Executive’s service with the Company and thereafter, excepting any litigation between the Parties, (i) Executive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 and (ii) the Company agrees to instruct its directors and executive officers not to publish or disseminate, directly or indirectly, any statements, whether written or oral, that are or could be harmful to or reflect negatively on Executive’s personal or business reputation or business.</w:t>
      </w:r>
    </w:p>
    <w:p>
      <w:pPr>
        <w:spacing w:after="0" w:line="169" w:lineRule="exact"/>
        <w:rPr>
          <w:rFonts w:ascii="Times New Roman" w:cs="Times New Roman" w:eastAsia="Times New Roman" w:hAnsi="Times New Roman"/>
          <w:sz w:val="17"/>
          <w:szCs w:val="17"/>
          <w:color w:val="auto"/>
        </w:rPr>
      </w:pPr>
    </w:p>
    <w:p>
      <w:pPr>
        <w:ind w:left="2" w:right="100" w:firstLine="430"/>
        <w:spacing w:after="0" w:line="271" w:lineRule="auto"/>
        <w:tabs>
          <w:tab w:leader="none" w:pos="674" w:val="left"/>
        </w:tabs>
        <w:numPr>
          <w:ilvl w:val="1"/>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recognition of the fact that irreparable injury will result to the Company in the event of a breach by Executive of his obligations under Sections 5(a)-(d) hereof, that monetary damages for such breach would not be readily calculable, and that the Company would not have an adequate remedy at law therefor, Executive acknowledges, consents and agrees that in the event of such breach, the Company shall be entitled, in addition to any other legal remedies and damages available, to specific performance thereof and to temporary and permanent injunctive relief (without the necessity of posting a bond) to restrain the violation of such obligations by Executive and to cease the payment of any benefits under Section 4(b) or (c) above.</w:t>
      </w:r>
    </w:p>
    <w:p>
      <w:pPr>
        <w:spacing w:after="0" w:line="168" w:lineRule="exact"/>
        <w:rPr>
          <w:rFonts w:ascii="Times New Roman" w:cs="Times New Roman" w:eastAsia="Times New Roman" w:hAnsi="Times New Roman"/>
          <w:sz w:val="17"/>
          <w:szCs w:val="17"/>
          <w:color w:val="auto"/>
        </w:rPr>
      </w:pPr>
    </w:p>
    <w:p>
      <w:pPr>
        <w:ind w:left="2" w:right="60" w:firstLine="430"/>
        <w:spacing w:after="0" w:line="263" w:lineRule="auto"/>
        <w:tabs>
          <w:tab w:leader="none" w:pos="655" w:val="left"/>
        </w:tabs>
        <w:numPr>
          <w:ilvl w:val="1"/>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or the Restrictive Covenant Agreement or, if applicable, the Arbitration Agreement (as defined below) to the contrary, nothing contained in this Agreement shall prohibit either party (or either party’s attorney(s)) from (i) communicating directly with,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cs="Times New Roman" w:eastAsia="Times New Roman" w:hAnsi="Times New Roman"/>
          <w:sz w:val="17"/>
          <w:szCs w:val="17"/>
          <w:u w:val="single" w:color="auto"/>
          <w:color w:val="auto"/>
        </w:rPr>
        <w:t>NLRB</w:t>
      </w:r>
      <w:r>
        <w:rPr>
          <w:rFonts w:ascii="Times New Roman" w:cs="Times New Roman" w:eastAsia="Times New Roman" w:hAnsi="Times New Roman"/>
          <w:sz w:val="17"/>
          <w:szCs w:val="17"/>
          <w:color w:val="auto"/>
        </w:rPr>
        <w:t>”),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17"/>
          <w:szCs w:val="17"/>
          <w:u w:val="single" w:color="auto"/>
          <w:color w:val="auto"/>
        </w:rPr>
        <w:t>Government Agencies</w:t>
      </w:r>
      <w:r>
        <w:rPr>
          <w:rFonts w:ascii="Times New Roman" w:cs="Times New Roman" w:eastAsia="Times New Roman" w:hAnsi="Times New Roman"/>
          <w:sz w:val="17"/>
          <w:szCs w:val="17"/>
          <w:color w:val="auto"/>
        </w:rPr>
        <w:t>”), or making other disclosures that are protected under the whistleblower provisions of applicable law or regulation,</w:t>
      </w:r>
    </w:p>
    <w:p>
      <w:pPr>
        <w:spacing w:after="0" w:line="3" w:lineRule="exact"/>
        <w:rPr>
          <w:rFonts w:ascii="Times New Roman" w:cs="Times New Roman" w:eastAsia="Times New Roman" w:hAnsi="Times New Roman"/>
          <w:sz w:val="17"/>
          <w:szCs w:val="17"/>
          <w:color w:val="auto"/>
        </w:rPr>
      </w:pPr>
    </w:p>
    <w:p>
      <w:pPr>
        <w:ind w:left="2" w:hanging="2"/>
        <w:spacing w:after="0" w:line="261" w:lineRule="auto"/>
        <w:tabs>
          <w:tab w:leader="none" w:pos="262" w:val="left"/>
        </w:tabs>
        <w:numPr>
          <w:ilvl w:val="0"/>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Further, nothing herein will prevent Executive from participating in activity permitted by Section 7 of the National Labor Relations Act or from filing an unfair labor practice charge with the NLRB.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 request of the anticipated testimony. Further, nothing in this Agreement prevents Executive from discussing or disclosing information about unlawful acts in the workplace, such as harassment or discrimination or any other conduct that Executive has reason to believe is unlawful.</w:t>
      </w:r>
    </w:p>
    <w:p>
      <w:pPr>
        <w:spacing w:after="0" w:line="1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02"/>
          </w:cols>
          <w:pgMar w:left="538" w:top="267" w:right="559" w:bottom="1440" w:gutter="0" w:footer="0" w:header="0"/>
        </w:sectPr>
      </w:pPr>
    </w:p>
    <w:bookmarkStart w:id="571" w:name="page572"/>
    <w:bookmarkEnd w:id="571"/>
    <w:p>
      <w:pPr>
        <w:ind w:left="422" w:hanging="422"/>
        <w:spacing w:after="0"/>
        <w:tabs>
          <w:tab w:leader="none" w:pos="422"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Assignment and Successors</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ind w:left="2" w:right="20" w:firstLine="432"/>
        <w:spacing w:after="0" w:line="248" w:lineRule="auto"/>
        <w:rPr>
          <w:sz w:val="20"/>
          <w:szCs w:val="20"/>
          <w:color w:val="auto"/>
        </w:rPr>
      </w:pPr>
      <w:r>
        <w:rPr>
          <w:rFonts w:ascii="Times New Roman" w:cs="Times New Roman" w:eastAsia="Times New Roman" w:hAnsi="Times New Roman"/>
          <w:sz w:val="18"/>
          <w:szCs w:val="18"/>
          <w:color w:val="auto"/>
        </w:rPr>
        <w:t xml:space="preserve">The Company may assign its rights and obligations under this Agreement to any successor to all or substantially all of the business or the assets of the Company (by merger or otherwise). The Company will require any such successor (whether direct or indirect, by purchase, merger or otherwise) to all or substantially all of the business or assets of the Company expressly to assume and to agree to perform this Agreement in the same manner and to the same extent that the Company would be required to perform it if no such succession had taken place;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assumption shall relieve the Company of its obligations hereunder.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337" w:lineRule="exact"/>
        <w:rPr>
          <w:sz w:val="20"/>
          <w:szCs w:val="20"/>
          <w:color w:val="auto"/>
        </w:rPr>
      </w:pPr>
    </w:p>
    <w:p>
      <w:pPr>
        <w:ind w:left="422" w:hanging="422"/>
        <w:spacing w:after="0"/>
        <w:tabs>
          <w:tab w:leader="none" w:pos="422"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682" w:hanging="250"/>
        <w:spacing w:after="0"/>
        <w:tabs>
          <w:tab w:leader="none" w:pos="682"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Company shall have “Cause” to terminate Executive’s employment hereunder upon:</w:t>
      </w:r>
    </w:p>
    <w:p>
      <w:pPr>
        <w:spacing w:after="0" w:line="111" w:lineRule="exact"/>
        <w:rPr>
          <w:rFonts w:ascii="Times New Roman" w:cs="Times New Roman" w:eastAsia="Times New Roman" w:hAnsi="Times New Roman"/>
          <w:sz w:val="18"/>
          <w:szCs w:val="18"/>
          <w:color w:val="auto"/>
        </w:rPr>
      </w:pPr>
    </w:p>
    <w:p>
      <w:pPr>
        <w:ind w:left="2" w:right="120" w:firstLine="971"/>
        <w:spacing w:after="0" w:line="255" w:lineRule="auto"/>
        <w:tabs>
          <w:tab w:leader="none" w:pos="1186"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failure by Executive to substantially perform Executive’s duties with the Company (other than any such failure resulting from incapacity due to physical or mental illness), after a written demand for substantial performance is delivered to Executive by the Company or an affiliate that specifically identifies the alleged manner in which Executive has not substantially performed Executive’s duties and after Executive has been provided with a thirty (30) day cure period, or Executive’s deliberate violation of a Company policy;</w:t>
      </w:r>
    </w:p>
    <w:p>
      <w:pPr>
        <w:spacing w:after="0" w:line="180" w:lineRule="exact"/>
        <w:rPr>
          <w:rFonts w:ascii="Times New Roman" w:cs="Times New Roman" w:eastAsia="Times New Roman" w:hAnsi="Times New Roman"/>
          <w:sz w:val="18"/>
          <w:szCs w:val="18"/>
          <w:color w:val="auto"/>
        </w:rPr>
      </w:pPr>
    </w:p>
    <w:p>
      <w:pPr>
        <w:ind w:left="2" w:firstLine="971"/>
        <w:spacing w:after="0" w:line="274" w:lineRule="auto"/>
        <w:tabs>
          <w:tab w:leader="none" w:pos="1235"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engaging by Executive in illegal conduct or misconduct (including fraud, embezzlement, theft or dishonesty or material violation of any Company policy), or gross negligence, in any case that has caused or is reasonably expected to result in injury to the Company or any affiliate;</w:t>
      </w:r>
    </w:p>
    <w:p>
      <w:pPr>
        <w:spacing w:after="0" w:line="163" w:lineRule="exact"/>
        <w:rPr>
          <w:rFonts w:ascii="Times New Roman" w:cs="Times New Roman" w:eastAsia="Times New Roman" w:hAnsi="Times New Roman"/>
          <w:sz w:val="18"/>
          <w:szCs w:val="18"/>
          <w:color w:val="auto"/>
        </w:rPr>
      </w:pPr>
    </w:p>
    <w:p>
      <w:pPr>
        <w:ind w:left="1282" w:hanging="309"/>
        <w:spacing w:after="0"/>
        <w:tabs>
          <w:tab w:leader="none" w:pos="1282"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or plea of no contest to, a felony or any misdemeanor crime involving fraud, moral turpitude or</w:t>
      </w:r>
    </w:p>
    <w:p>
      <w:pPr>
        <w:spacing w:after="0" w:line="24"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dishonesty;</w:t>
      </w:r>
    </w:p>
    <w:p>
      <w:pPr>
        <w:spacing w:after="0" w:line="197" w:lineRule="exact"/>
        <w:rPr>
          <w:rFonts w:ascii="Times New Roman" w:cs="Times New Roman" w:eastAsia="Times New Roman" w:hAnsi="Times New Roman"/>
          <w:sz w:val="18"/>
          <w:szCs w:val="18"/>
          <w:color w:val="auto"/>
        </w:rPr>
      </w:pPr>
    </w:p>
    <w:p>
      <w:pPr>
        <w:ind w:left="1282" w:hanging="309"/>
        <w:spacing w:after="0"/>
        <w:tabs>
          <w:tab w:leader="none" w:pos="1282"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breach of any written agreement or restrictive covenants with the Company; or</w:t>
      </w:r>
    </w:p>
    <w:p>
      <w:pPr>
        <w:spacing w:after="0" w:line="217" w:lineRule="exact"/>
        <w:rPr>
          <w:rFonts w:ascii="Times New Roman" w:cs="Times New Roman" w:eastAsia="Times New Roman" w:hAnsi="Times New Roman"/>
          <w:sz w:val="18"/>
          <w:szCs w:val="18"/>
          <w:color w:val="auto"/>
        </w:rPr>
      </w:pPr>
    </w:p>
    <w:p>
      <w:pPr>
        <w:ind w:left="2" w:right="140" w:firstLine="971"/>
        <w:spacing w:after="0" w:line="274" w:lineRule="auto"/>
        <w:tabs>
          <w:tab w:leader="none" w:pos="1225" w:val="left"/>
        </w:tabs>
        <w:numPr>
          <w:ilvl w:val="2"/>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violation of any law, rule or regulation relating in any way to the business or activities of the Company or any affiliate, or other law, rule or regulation that is violated, during the course of Executive’s performance of services hereunder that results in Executive’s regulatory suspension or disqualification, including, without limitation, the Generic Drug Enforcement Act of 1992, 21 U.S.C. § 335(a), or any similar legislation applicable in the United States or in any other country where the Company or any affiliate intends to develop its activities.</w:t>
      </w:r>
    </w:p>
    <w:p>
      <w:pPr>
        <w:spacing w:after="0" w:line="167" w:lineRule="exact"/>
        <w:rPr>
          <w:sz w:val="20"/>
          <w:szCs w:val="20"/>
          <w:color w:val="auto"/>
        </w:rPr>
      </w:pPr>
    </w:p>
    <w:p>
      <w:pPr>
        <w:jc w:val="both"/>
        <w:ind w:left="2" w:right="160" w:firstLine="432"/>
        <w:spacing w:after="0" w:line="259" w:lineRule="auto"/>
        <w:rPr>
          <w:sz w:val="20"/>
          <w:szCs w:val="20"/>
          <w:color w:val="auto"/>
        </w:rPr>
      </w:pPr>
      <w:r>
        <w:rPr>
          <w:rFonts w:ascii="Times New Roman" w:cs="Times New Roman" w:eastAsia="Times New Roman" w:hAnsi="Times New Roman"/>
          <w:sz w:val="18"/>
          <w:szCs w:val="18"/>
          <w:color w:val="auto"/>
        </w:rPr>
        <w:t>No action or inaction based upon direction of the Board or advice of counsel to the Company shall constitute Cause. Poor performance shall not, in and of itself, constitute Cause. No termination of Executive’s employment for Cause shall occur absent a resolution of the Board and the reasonable opportunity for Executive (with Executive’s counsel) to be heard before the Board.</w:t>
      </w:r>
    </w:p>
    <w:p>
      <w:pPr>
        <w:spacing w:after="0" w:line="1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2"/>
          </w:cols>
          <w:pgMar w:left="538" w:top="264" w:right="559" w:bottom="1440" w:gutter="0" w:footer="0" w:header="0"/>
        </w:sectPr>
      </w:pPr>
    </w:p>
    <w:bookmarkStart w:id="572" w:name="page573"/>
    <w:bookmarkEnd w:id="572"/>
    <w:p>
      <w:pPr>
        <w:ind w:left="682" w:hanging="250"/>
        <w:spacing w:after="0"/>
        <w:tabs>
          <w:tab w:leader="none" w:pos="682"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Change in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Plan, as in effect on the Effective Date.</w:t>
      </w:r>
    </w:p>
    <w:p>
      <w:pPr>
        <w:spacing w:after="0" w:line="217" w:lineRule="exact"/>
        <w:rPr>
          <w:rFonts w:ascii="Times New Roman" w:cs="Times New Roman" w:eastAsia="Times New Roman" w:hAnsi="Times New Roman"/>
          <w:sz w:val="18"/>
          <w:szCs w:val="18"/>
          <w:color w:val="auto"/>
        </w:rPr>
      </w:pPr>
    </w:p>
    <w:p>
      <w:pPr>
        <w:ind w:left="682" w:hanging="250"/>
        <w:spacing w:after="0"/>
        <w:tabs>
          <w:tab w:leader="none" w:pos="682"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and the regulations and guidance promulgated thereunder.</w:t>
      </w:r>
    </w:p>
    <w:p>
      <w:pPr>
        <w:spacing w:after="0" w:line="217" w:lineRule="exact"/>
        <w:rPr>
          <w:rFonts w:ascii="Times New Roman" w:cs="Times New Roman" w:eastAsia="Times New Roman" w:hAnsi="Times New Roman"/>
          <w:sz w:val="18"/>
          <w:szCs w:val="18"/>
          <w:color w:val="auto"/>
        </w:rPr>
      </w:pPr>
    </w:p>
    <w:p>
      <w:pPr>
        <w:ind w:left="2" w:right="20" w:firstLine="430"/>
        <w:spacing w:after="0" w:line="259" w:lineRule="auto"/>
        <w:tabs>
          <w:tab w:leader="none" w:pos="684"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shall mean (i) if Executive’s employment is terminated by Executive’s death, the date of Executive’s death; or (ii) if Executive’s employment is terminated pursuant to Sections 3(a)(ii)-(vi) either the date indicated in the Notice of Termination or the date specified by the Company pursuant to Section 3(b), whichever is earlier.</w:t>
      </w:r>
    </w:p>
    <w:p>
      <w:pPr>
        <w:spacing w:after="0" w:line="177" w:lineRule="exact"/>
        <w:rPr>
          <w:rFonts w:ascii="Times New Roman" w:cs="Times New Roman" w:eastAsia="Times New Roman" w:hAnsi="Times New Roman"/>
          <w:sz w:val="18"/>
          <w:szCs w:val="18"/>
          <w:color w:val="auto"/>
        </w:rPr>
      </w:pPr>
    </w:p>
    <w:p>
      <w:pPr>
        <w:ind w:left="2" w:firstLine="430"/>
        <w:spacing w:after="0" w:line="248" w:lineRule="auto"/>
        <w:tabs>
          <w:tab w:leader="none" w:pos="674"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shall mean, at any time the Company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reasonable accommodation, the essential functions of Executive’s positions hereunder for a total of 180 days within a 12 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93" w:lineRule="exact"/>
        <w:rPr>
          <w:rFonts w:ascii="Times New Roman" w:cs="Times New Roman" w:eastAsia="Times New Roman" w:hAnsi="Times New Roman"/>
          <w:sz w:val="18"/>
          <w:szCs w:val="18"/>
          <w:color w:val="auto"/>
        </w:rPr>
      </w:pPr>
    </w:p>
    <w:p>
      <w:pPr>
        <w:ind w:left="2" w:right="160" w:firstLine="430"/>
        <w:spacing w:after="0" w:line="264" w:lineRule="auto"/>
        <w:tabs>
          <w:tab w:leader="none" w:pos="655" w:val="left"/>
        </w:tabs>
        <w:numPr>
          <w:ilvl w:val="1"/>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For the sole purpose of determining Executive’s right to severance payments and benefits as described above, Executive’s resignation will be with “</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if Executive resigns within one hundred twenty (120) days after any of the following events, unless Executive expressly consents in writing to the applicable event: (i) a reduction in Executive’s Annual Base Salary or Target Bonus, other than a reduction of less than ten percent (10%) (aggregating all prior reductions) that is implemented in connection with a contemporaneous reduction in annual base salaries affecting other senior executives of the Company; (ii) a material decrease in Executive’s authority or areas of responsibility as are commensurate with Executive’s title or position with the Company; (iii) the relocation of Executive’s primary working location to a location that is more than fifty</w:t>
      </w:r>
    </w:p>
    <w:p>
      <w:pPr>
        <w:spacing w:after="0" w:line="1" w:lineRule="exact"/>
        <w:rPr>
          <w:rFonts w:ascii="Times New Roman" w:cs="Times New Roman" w:eastAsia="Times New Roman" w:hAnsi="Times New Roman"/>
          <w:sz w:val="17"/>
          <w:szCs w:val="17"/>
          <w:color w:val="auto"/>
        </w:rPr>
      </w:pPr>
    </w:p>
    <w:p>
      <w:pPr>
        <w:ind w:left="2" w:right="20" w:hanging="2"/>
        <w:spacing w:after="0" w:line="231" w:lineRule="auto"/>
        <w:tabs>
          <w:tab w:leader="none" w:pos="3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 from Executive’s home office in New Jersey as of the Effective Date, provided, that, prior to the occurrence of a Change in Control, the Company’s requirement that Executive relocate pursuant to Section 2(h) will not constitute “Good Reason” so long as Executive has been provided with the Relocation Reimbursement; or (iv) the Company’s breach of a material provision of this Agreement.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5692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47" w:lineRule="exact"/>
        <w:rPr>
          <w:sz w:val="20"/>
          <w:szCs w:val="20"/>
          <w:color w:val="auto"/>
        </w:rPr>
      </w:pPr>
    </w:p>
    <w:p>
      <w:pPr>
        <w:ind w:left="5322" w:right="3700" w:hanging="5322"/>
        <w:spacing w:after="0" w:line="336" w:lineRule="auto"/>
        <w:tabs>
          <w:tab w:leader="none" w:pos="428" w:val="left"/>
        </w:tabs>
        <w:numPr>
          <w:ilvl w:val="0"/>
          <w:numId w:val="3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NTD: Section 6 provides that this agreement shall be binding upon the Company’s successors. 12</w:t>
      </w:r>
    </w:p>
    <w:p>
      <w:pPr>
        <w:sectPr>
          <w:pgSz w:w="11900" w:h="16838" w:orient="portrait"/>
          <w:cols w:equalWidth="0" w:num="1">
            <w:col w:w="10802"/>
          </w:cols>
          <w:pgMar w:left="538" w:top="267" w:right="559" w:bottom="1440" w:gutter="0" w:footer="0" w:header="0"/>
        </w:sectPr>
      </w:pPr>
    </w:p>
    <w:bookmarkStart w:id="573" w:name="page574"/>
    <w:bookmarkEnd w:id="573"/>
    <w:p>
      <w:pPr>
        <w:ind w:left="422" w:hanging="422"/>
        <w:spacing w:after="0"/>
        <w:tabs>
          <w:tab w:leader="none" w:pos="422" w:val="left"/>
        </w:tabs>
        <w:numPr>
          <w:ilvl w:val="0"/>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Parachute Payments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right="20" w:firstLine="430"/>
        <w:spacing w:after="0" w:line="261" w:lineRule="auto"/>
        <w:tabs>
          <w:tab w:leader="none" w:pos="674" w:val="left"/>
        </w:tabs>
        <w:numPr>
          <w:ilvl w:val="1"/>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Best Pay Provision</w:t>
      </w:r>
      <w:r>
        <w:rPr>
          <w:rFonts w:ascii="Times New Roman" w:cs="Times New Roman" w:eastAsia="Times New Roman" w:hAnsi="Times New Roman"/>
          <w:sz w:val="17"/>
          <w:szCs w:val="17"/>
          <w:color w:val="auto"/>
        </w:rPr>
        <w:t>. In the event that any payment or benefit received or to be received by Executive pursuant to the terms of any plan, arrangement or agreement (including any payment or benefit received in connection with a change in ownership or control or the termination of Executive’s employment) (all such payments and benefits being hereinafter referred to as the “</w:t>
      </w:r>
      <w:r>
        <w:rPr>
          <w:rFonts w:ascii="Times New Roman" w:cs="Times New Roman" w:eastAsia="Times New Roman" w:hAnsi="Times New Roman"/>
          <w:sz w:val="17"/>
          <w:szCs w:val="17"/>
          <w:u w:val="single" w:color="auto"/>
          <w:color w:val="auto"/>
        </w:rPr>
        <w:t>Total Payments</w:t>
      </w:r>
      <w:r>
        <w:rPr>
          <w:rFonts w:ascii="Times New Roman" w:cs="Times New Roman" w:eastAsia="Times New Roman" w:hAnsi="Times New Roman"/>
          <w:sz w:val="17"/>
          <w:szCs w:val="17"/>
          <w:color w:val="auto"/>
        </w:rPr>
        <w:t>”) would be subject (in whole or part) to the excise tax (the “</w:t>
      </w:r>
      <w:r>
        <w:rPr>
          <w:rFonts w:ascii="Times New Roman" w:cs="Times New Roman" w:eastAsia="Times New Roman" w:hAnsi="Times New Roman"/>
          <w:sz w:val="17"/>
          <w:szCs w:val="17"/>
          <w:u w:val="single" w:color="auto"/>
          <w:color w:val="auto"/>
        </w:rPr>
        <w:t>Excise Tax</w:t>
      </w:r>
      <w:r>
        <w:rPr>
          <w:rFonts w:ascii="Times New Roman" w:cs="Times New Roman" w:eastAsia="Times New Roman" w:hAnsi="Times New Roman"/>
          <w:sz w:val="17"/>
          <w:szCs w:val="17"/>
          <w:color w:val="auto"/>
        </w:rPr>
        <w:t xml:space="preserve">”) imposed under Section 4999 of the Code, then the Total Payments shall be reduced to the extent necessary so that no portion of the Total Payments is subject to the Excise Tax but only if (i)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sentence shall not apply if, immediately before the change in ownership or control on which such Total Payments are contingent or otherwise relate, no stock in the Company is readily tradeable on an established securities market or otherwise (as determined in accordance with Treasury Reg. Section 1.280G-1 Q&amp;A 6). Except to the extent that an alternative reduction order would result in a greater economic benefit to Executive on an after-tax basis, the Parties intend that the Total Payments shall be reduced in the following order: (w) reduction of any cash severance payments otherwise payable to Executive that are exempt from Section 409A of the Code,</w:t>
      </w:r>
    </w:p>
    <w:p>
      <w:pPr>
        <w:spacing w:after="0" w:line="11" w:lineRule="exact"/>
        <w:rPr>
          <w:rFonts w:ascii="Times New Roman" w:cs="Times New Roman" w:eastAsia="Times New Roman" w:hAnsi="Times New Roman"/>
          <w:sz w:val="17"/>
          <w:szCs w:val="17"/>
          <w:color w:val="auto"/>
        </w:rPr>
      </w:pPr>
    </w:p>
    <w:p>
      <w:pPr>
        <w:ind w:left="2" w:right="100"/>
        <w:spacing w:after="0" w:line="24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reduction of any other cash payments or benefits otherwise payable to Executive that are exempt from Section 409A of the Code, but excluding any payment attributable to the acceleration of vesting or payment with respect to any equity award that is exempt from Section 409A of the Code,</w:t>
      </w:r>
    </w:p>
    <w:p>
      <w:pPr>
        <w:spacing w:after="0" w:line="1" w:lineRule="exact"/>
        <w:rPr>
          <w:rFonts w:ascii="Times New Roman" w:cs="Times New Roman" w:eastAsia="Times New Roman" w:hAnsi="Times New Roman"/>
          <w:sz w:val="17"/>
          <w:szCs w:val="17"/>
          <w:color w:val="auto"/>
        </w:rPr>
      </w:pPr>
    </w:p>
    <w:p>
      <w:pPr>
        <w:ind w:left="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reduction of any other payments or benefits otherwise payable to Executive on a pro-rata basis or such other manner that complies with</w:t>
      </w:r>
    </w:p>
    <w:p>
      <w:pPr>
        <w:spacing w:after="0" w:line="5" w:lineRule="exact"/>
        <w:rPr>
          <w:rFonts w:ascii="Times New Roman" w:cs="Times New Roman" w:eastAsia="Times New Roman" w:hAnsi="Times New Roman"/>
          <w:sz w:val="17"/>
          <w:szCs w:val="17"/>
          <w:color w:val="auto"/>
        </w:rPr>
      </w:pPr>
    </w:p>
    <w:p>
      <w:pPr>
        <w:ind w:left="2"/>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case of clauses (x), (y) and (z), that reduction of any payments or benefits attributable to the acceleration of vesting of Company equity awards shall be first applied to equity awards with later vesting dates;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notwithstanding the foregoing, any such reduction shall be undertaken in a manner that complies with and does not result in the imposition of additional taxes on Executive under Section 409A of the Code. The foregoing reductions shall be made in a manner that results in the maximum economic benefit to Executive on an after-tax basis and, to the extent economically equivalent payments or benefits are subject to reduction, in a pro rata manner.</w:t>
      </w:r>
    </w:p>
    <w:p>
      <w:pPr>
        <w:spacing w:after="0" w:line="191" w:lineRule="exact"/>
        <w:rPr>
          <w:rFonts w:ascii="Times New Roman" w:cs="Times New Roman" w:eastAsia="Times New Roman" w:hAnsi="Times New Roman"/>
          <w:sz w:val="17"/>
          <w:szCs w:val="17"/>
          <w:color w:val="auto"/>
        </w:rPr>
      </w:pPr>
    </w:p>
    <w:p>
      <w:pPr>
        <w:ind w:left="2" w:right="120" w:firstLine="430"/>
        <w:spacing w:after="0" w:line="272" w:lineRule="auto"/>
        <w:tabs>
          <w:tab w:leader="none" w:pos="684" w:val="left"/>
        </w:tabs>
        <w:numPr>
          <w:ilvl w:val="1"/>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Determinations</w:t>
      </w:r>
      <w:r>
        <w:rPr>
          <w:rFonts w:ascii="Times New Roman" w:cs="Times New Roman" w:eastAsia="Times New Roman" w:hAnsi="Times New Roman"/>
          <w:sz w:val="17"/>
          <w:szCs w:val="17"/>
          <w:color w:val="auto"/>
        </w:rPr>
        <w:t>. All determinations regarding the application of this Section 8 shall be made by an independent accounting firm or consulting group with nationally recognized standing and substantial expertise and experience in performing calculations regarding the applicability of</w:t>
      </w:r>
    </w:p>
    <w:p>
      <w:pPr>
        <w:ind w:left="2" w:right="16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280G of the Code and the Excise Tax retained by the Company prior to the date of the applicable change in ownership or control (the “</w:t>
      </w:r>
      <w:r>
        <w:rPr>
          <w:rFonts w:ascii="Times New Roman" w:cs="Times New Roman" w:eastAsia="Times New Roman" w:hAnsi="Times New Roman"/>
          <w:sz w:val="18"/>
          <w:szCs w:val="18"/>
          <w:u w:val="single" w:color="auto"/>
          <w:color w:val="auto"/>
        </w:rPr>
        <w:t>280G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Firm</w:t>
      </w:r>
      <w:r>
        <w:rPr>
          <w:rFonts w:ascii="Times New Roman" w:cs="Times New Roman" w:eastAsia="Times New Roman" w:hAnsi="Times New Roman"/>
          <w:sz w:val="18"/>
          <w:szCs w:val="18"/>
          <w:color w:val="auto"/>
        </w:rPr>
        <w:t>”). For purposes of determining whether and the extent to which the Total Payments will be subject to the Excise Tax, (i)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 compensation, (ii) no portion of the Total Payments the receipt or enjoyment of which Executive shall have waived at such time and in such manner as not to constitute a “payment” within the meaning of Section 280G(b) of the Code shall be taken into account, and (iii) the value of any non-cash benefit or any deferred payment or benefit included in the Total Payments shall be determined by the 280G Firm in accordance with the principles of Sections 280G(d)(3) and (4) of the Code. All</w:t>
      </w:r>
    </w:p>
    <w:p>
      <w:pPr>
        <w:spacing w:after="0" w:line="1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02"/>
          </w:cols>
          <w:pgMar w:left="538" w:top="265" w:right="559" w:bottom="1440" w:gutter="0" w:footer="0" w:header="0"/>
        </w:sectPr>
      </w:pPr>
    </w:p>
    <w:bookmarkStart w:id="574" w:name="page575"/>
    <w:bookmarkEnd w:id="574"/>
    <w:p>
      <w:pPr>
        <w:ind w:left="2"/>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determinations related to the calculations to be performed pursuant to this “Section 280G Treatment” section shall be done by the 280G Firm. The 280G Firm will be directed to submit its determination and detailed supporting calculations to both Executive and the Company within fifteen (15) days after notification from either the Company or Executive that Executive may receive payments which may be “parachute payments.” Executive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187" w:lineRule="exact"/>
        <w:rPr>
          <w:sz w:val="20"/>
          <w:szCs w:val="20"/>
          <w:color w:val="auto"/>
        </w:rPr>
      </w:pPr>
    </w:p>
    <w:p>
      <w:pPr>
        <w:ind w:left="2" w:right="20" w:firstLine="430"/>
        <w:spacing w:after="0" w:line="248" w:lineRule="auto"/>
        <w:tabs>
          <w:tab w:leader="none" w:pos="674"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w:t>
      </w:r>
      <w:r>
        <w:rPr>
          <w:rFonts w:ascii="Times New Roman" w:cs="Times New Roman" w:eastAsia="Times New Roman" w:hAnsi="Times New Roman"/>
          <w:sz w:val="18"/>
          <w:szCs w:val="18"/>
          <w:color w:val="auto"/>
        </w:rPr>
        <w:t>. Notwithstanding the foregoing, if any portion of the Total Payments would not be subject to the Excise Tax if the stockholder approval requirements of Section 280G(b)(5) of the Code are satisfied, subject to Executive’s waiver of the rights to such portion of the Total Payments above the safe harbor threshold in accordance with 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Executive under this Agreement or otherwise to the Company’s stockholders for approval in accordance with Treasury Reg. Section 1.280G-1 Q&amp;A 7, the foregoing provisions under this Section 8 shall not apply following such submission and such payments and benefits will be treated in accordance with the results of such vote, except that any reduction in, or waiver above the safe harbor threshold of, such payments or benefits required by such vote will be applied without any application of discretion by Executive and in the order prescribed in Section 8(a).</w:t>
      </w:r>
    </w:p>
    <w:p>
      <w:pPr>
        <w:spacing w:after="0" w:line="336" w:lineRule="exact"/>
        <w:rPr>
          <w:rFonts w:ascii="Times New Roman" w:cs="Times New Roman" w:eastAsia="Times New Roman" w:hAnsi="Times New Roman"/>
          <w:sz w:val="18"/>
          <w:szCs w:val="18"/>
          <w:color w:val="auto"/>
        </w:rPr>
      </w:pPr>
    </w:p>
    <w:p>
      <w:pPr>
        <w:ind w:left="422" w:hanging="422"/>
        <w:spacing w:after="0"/>
        <w:tabs>
          <w:tab w:leader="none" w:pos="422" w:val="left"/>
        </w:tabs>
        <w:numPr>
          <w:ilvl w:val="0"/>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firstLine="430"/>
        <w:spacing w:after="0" w:line="251" w:lineRule="auto"/>
        <w:tabs>
          <w:tab w:leader="none" w:pos="674"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Agreement shall be governed, construed, interpreted and enforced in accordance with its express terms, and otherwise in accordance with the substantive laws of the State of New Jersey without reference to the principles of conflicts of law of the State of New Jersey or any other jurisdiction that would result in the application of the laws of a jurisdiction other than the State of New Jersey, and where applicable, the laws of the United States. Any suit brought hereon shall be brought in the state or federal courts sitting in the State of New Jersey, the parties hereto hereby waiving any claim or defense that such forum is not convenient or proper. Each party hereby agrees that any such court shall have in personam jurisdiction over it and consents to service of process in any manner authorized by New Jersey law.</w:t>
      </w:r>
    </w:p>
    <w:p>
      <w:pPr>
        <w:spacing w:after="0" w:line="185" w:lineRule="exact"/>
        <w:rPr>
          <w:rFonts w:ascii="Times New Roman" w:cs="Times New Roman" w:eastAsia="Times New Roman" w:hAnsi="Times New Roman"/>
          <w:sz w:val="18"/>
          <w:szCs w:val="18"/>
          <w:color w:val="auto"/>
        </w:rPr>
      </w:pPr>
    </w:p>
    <w:p>
      <w:pPr>
        <w:ind w:left="2" w:right="220" w:firstLine="430"/>
        <w:spacing w:after="0" w:line="274" w:lineRule="auto"/>
        <w:tabs>
          <w:tab w:leader="none" w:pos="684"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63" w:lineRule="exact"/>
        <w:rPr>
          <w:rFonts w:ascii="Times New Roman" w:cs="Times New Roman" w:eastAsia="Times New Roman" w:hAnsi="Times New Roman"/>
          <w:sz w:val="18"/>
          <w:szCs w:val="18"/>
          <w:color w:val="auto"/>
        </w:rPr>
      </w:pPr>
    </w:p>
    <w:p>
      <w:pPr>
        <w:ind w:left="2" w:right="20" w:firstLine="430"/>
        <w:spacing w:after="0" w:line="304" w:lineRule="auto"/>
        <w:tabs>
          <w:tab w:leader="none" w:pos="674" w:val="left"/>
        </w:tabs>
        <w:numPr>
          <w:ilvl w:val="1"/>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claim, demand, document, and other communication hereunder to any Party shall be effective upon receipt (or refusal of receipt) and shall be in writing and delivered personally or sent by facsimile, email or certified or registered mail, postage prepaid, as follows:</w:t>
      </w:r>
    </w:p>
    <w:p>
      <w:pPr>
        <w:spacing w:after="0" w:line="34" w:lineRule="exact"/>
        <w:rPr>
          <w:rFonts w:ascii="Times New Roman" w:cs="Times New Roman" w:eastAsia="Times New Roman" w:hAnsi="Times New Roman"/>
          <w:sz w:val="17"/>
          <w:szCs w:val="17"/>
          <w:color w:val="auto"/>
        </w:rPr>
      </w:pPr>
    </w:p>
    <w:p>
      <w:pPr>
        <w:ind w:left="1062" w:hanging="215"/>
        <w:spacing w:after="0"/>
        <w:tabs>
          <w:tab w:leader="none" w:pos="1062"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Chief Executive Officer of the Company at the Company’s headquarters,</w:t>
      </w:r>
    </w:p>
    <w:p>
      <w:pPr>
        <w:spacing w:after="0" w:line="111" w:lineRule="exact"/>
        <w:rPr>
          <w:rFonts w:ascii="Times New Roman" w:cs="Times New Roman" w:eastAsia="Times New Roman" w:hAnsi="Times New Roman"/>
          <w:sz w:val="18"/>
          <w:szCs w:val="18"/>
          <w:color w:val="auto"/>
        </w:rPr>
      </w:pPr>
    </w:p>
    <w:p>
      <w:pPr>
        <w:ind w:left="1102" w:hanging="255"/>
        <w:spacing w:after="0"/>
        <w:tabs>
          <w:tab w:leader="none" w:pos="1102"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Executive, to the last address that the Company has in its personnel records for Executive, or</w:t>
      </w:r>
    </w:p>
    <w:p>
      <w:pPr>
        <w:spacing w:after="0" w:line="111" w:lineRule="exact"/>
        <w:rPr>
          <w:rFonts w:ascii="Times New Roman" w:cs="Times New Roman" w:eastAsia="Times New Roman" w:hAnsi="Times New Roman"/>
          <w:sz w:val="18"/>
          <w:szCs w:val="18"/>
          <w:color w:val="auto"/>
        </w:rPr>
      </w:pPr>
    </w:p>
    <w:p>
      <w:pPr>
        <w:ind w:left="1162" w:hanging="315"/>
        <w:spacing w:after="0"/>
        <w:tabs>
          <w:tab w:leader="none" w:pos="1162"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other address as any Party shall have specified by notice in writing to the other Party.</w:t>
      </w:r>
    </w:p>
    <w:p>
      <w:pPr>
        <w:spacing w:after="0" w:line="151"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62"/>
          </w:cols>
          <w:pgMar w:left="538" w:top="267" w:right="599" w:bottom="1440" w:gutter="0" w:footer="0" w:header="0"/>
        </w:sectPr>
      </w:pPr>
    </w:p>
    <w:bookmarkStart w:id="575" w:name="page576"/>
    <w:bookmarkEnd w:id="575"/>
    <w:p>
      <w:pPr>
        <w:ind w:left="-40" w:right="400" w:firstLine="430"/>
        <w:spacing w:after="0" w:line="304" w:lineRule="auto"/>
        <w:tabs>
          <w:tab w:leader="none" w:pos="642"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Counterparts</w:t>
      </w:r>
      <w:r>
        <w:rPr>
          <w:rFonts w:ascii="Times New Roman" w:cs="Times New Roman" w:eastAsia="Times New Roman" w:hAnsi="Times New Roman"/>
          <w:sz w:val="17"/>
          <w:szCs w:val="17"/>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40" w:lineRule="exact"/>
        <w:rPr>
          <w:rFonts w:ascii="Times New Roman" w:cs="Times New Roman" w:eastAsia="Times New Roman" w:hAnsi="Times New Roman"/>
          <w:sz w:val="17"/>
          <w:szCs w:val="17"/>
          <w:color w:val="auto"/>
        </w:rPr>
      </w:pPr>
    </w:p>
    <w:p>
      <w:pPr>
        <w:ind w:left="-40" w:right="80" w:firstLine="430"/>
        <w:spacing w:after="0" w:line="252" w:lineRule="auto"/>
        <w:tabs>
          <w:tab w:leader="none" w:pos="632"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of this Agreement, and the Restrictive Covenant Agreement incorporated herein by reference as set forth in Section 5, are intended by the Parties to be the final expression of their agreement with respect to the subject matter hereof and supersede all prior understandings and agreements, whether written or oral, including that certain employment offer letter dated June 14, 2023,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85" w:lineRule="exact"/>
        <w:rPr>
          <w:rFonts w:ascii="Times New Roman" w:cs="Times New Roman" w:eastAsia="Times New Roman" w:hAnsi="Times New Roman"/>
          <w:sz w:val="18"/>
          <w:szCs w:val="18"/>
          <w:color w:val="auto"/>
        </w:rPr>
      </w:pPr>
    </w:p>
    <w:p>
      <w:pPr>
        <w:ind w:left="-40" w:right="20" w:firstLine="430"/>
        <w:spacing w:after="0" w:line="251" w:lineRule="auto"/>
        <w:tabs>
          <w:tab w:leader="none" w:pos="613"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5" w:lineRule="exact"/>
        <w:rPr>
          <w:rFonts w:ascii="Times New Roman" w:cs="Times New Roman" w:eastAsia="Times New Roman" w:hAnsi="Times New Roman"/>
          <w:sz w:val="18"/>
          <w:szCs w:val="18"/>
          <w:color w:val="auto"/>
        </w:rPr>
      </w:pPr>
    </w:p>
    <w:p>
      <w:pPr>
        <w:ind w:left="-40" w:firstLine="430"/>
        <w:spacing w:after="0" w:line="249" w:lineRule="auto"/>
        <w:tabs>
          <w:tab w:leader="none" w:pos="642"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7" w:lineRule="exact"/>
        <w:rPr>
          <w:rFonts w:ascii="Times New Roman" w:cs="Times New Roman" w:eastAsia="Times New Roman" w:hAnsi="Times New Roman"/>
          <w:sz w:val="18"/>
          <w:szCs w:val="18"/>
          <w:color w:val="auto"/>
        </w:rPr>
      </w:pPr>
    </w:p>
    <w:p>
      <w:pPr>
        <w:ind w:left="-40" w:right="40" w:firstLine="430"/>
        <w:spacing w:after="0" w:line="265" w:lineRule="auto"/>
        <w:tabs>
          <w:tab w:leader="none" w:pos="642"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 In the event of any dispute or claim relating to, or arising out of Executive’s employment relationship with the Company or its affiliates, including, but not limited, claims of wrongful termination, age, race, gender, disability or other discrimination—but not including claims for sexual harassment or sexual assault—Executive and the Company agree that all such disputes shall be fully and finally resolved by binding arbitration conducted before a single neutral arbitrator pursuant to the rules for arbitration of employment disputes by the American Arbitration Association (available at www.adr.org) in the State of New Jersey.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of law on which the award is based. By executing this Agreement, the Parties are both waiving the right to a jury trial with respect to any such disputes. The Company shall bear the costs of the arbitrator, forum and filing fees. Each Party shall bear its own respective attorney fees and all other costs, unless provided by law and awarded by the arbitrator.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580" w:top="267" w:right="599" w:bottom="1440" w:gutter="0" w:footer="0" w:header="0"/>
        </w:sectPr>
      </w:pPr>
    </w:p>
    <w:bookmarkStart w:id="576" w:name="page577"/>
    <w:bookmarkEnd w:id="576"/>
    <w:p>
      <w:pPr>
        <w:ind w:left="-20" w:right="40" w:firstLine="430"/>
        <w:spacing w:after="0" w:line="251" w:lineRule="auto"/>
        <w:tabs>
          <w:tab w:leader="none" w:pos="623"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Enforcement</w:t>
      </w:r>
      <w:r>
        <w:rPr>
          <w:rFonts w:ascii="Times New Roman" w:cs="Times New Roman" w:eastAsia="Times New Roman" w:hAnsi="Times New Roman"/>
          <w:sz w:val="18"/>
          <w:szCs w:val="18"/>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5" w:lineRule="exact"/>
        <w:rPr>
          <w:rFonts w:ascii="Times New Roman" w:cs="Times New Roman" w:eastAsia="Times New Roman" w:hAnsi="Times New Roman"/>
          <w:sz w:val="18"/>
          <w:szCs w:val="18"/>
          <w:color w:val="auto"/>
        </w:rPr>
      </w:pPr>
    </w:p>
    <w:p>
      <w:pPr>
        <w:ind w:left="-20" w:right="60" w:firstLine="430"/>
        <w:spacing w:after="0" w:line="259" w:lineRule="auto"/>
        <w:tabs>
          <w:tab w:leader="none" w:pos="623"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7" w:lineRule="exact"/>
        <w:rPr>
          <w:rFonts w:ascii="Times New Roman" w:cs="Times New Roman" w:eastAsia="Times New Roman" w:hAnsi="Times New Roman"/>
          <w:sz w:val="18"/>
          <w:szCs w:val="18"/>
          <w:color w:val="auto"/>
        </w:rPr>
      </w:pPr>
    </w:p>
    <w:p>
      <w:pPr>
        <w:ind w:left="660" w:hanging="250"/>
        <w:spacing w:after="0"/>
        <w:tabs>
          <w:tab w:leader="none" w:pos="66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420" w:right="120" w:firstLine="405"/>
        <w:spacing w:after="0" w:line="253" w:lineRule="auto"/>
        <w:tabs>
          <w:tab w:leader="none" w:pos="104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intent of the Parties is that the payments and benefits under this Agreement comply with or be exempt from Section 409A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accordingly, to the maximum extent permitted, this Agreement shall be interpreted to be in compliance therewith. If the Company and Executive agree in good faith that the payments and benefits under this Agreement would not comply with Section 409A, the Parties hereto shall reasonably and in good faith attempt to modify this Agreement to comply with Section 409A while endeavoring to maintain the intended economic benefits hereunder.</w:t>
      </w:r>
    </w:p>
    <w:p>
      <w:pPr>
        <w:spacing w:after="0" w:line="75" w:lineRule="exact"/>
        <w:rPr>
          <w:rFonts w:ascii="Times New Roman" w:cs="Times New Roman" w:eastAsia="Times New Roman" w:hAnsi="Times New Roman"/>
          <w:sz w:val="18"/>
          <w:szCs w:val="18"/>
          <w:color w:val="auto"/>
        </w:rPr>
      </w:pPr>
    </w:p>
    <w:p>
      <w:pPr>
        <w:ind w:left="420" w:right="40" w:firstLine="405"/>
        <w:spacing w:after="0" w:line="250" w:lineRule="auto"/>
        <w:tabs>
          <w:tab w:leader="none" w:pos="1095"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Separation from Service. </w:t>
      </w:r>
      <w:r>
        <w:rPr>
          <w:rFonts w:ascii="Times New Roman" w:cs="Times New Roman" w:eastAsia="Times New Roman" w:hAnsi="Times New Roman"/>
          <w:sz w:val="18"/>
          <w:szCs w:val="18"/>
          <w:color w:val="auto"/>
        </w:rPr>
        <w:t>Notwithstanding anything in this Agreement to the contrary, (A) any compensation or benefits payable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and (B) in the event that, with respect to the amounts payable under Sections 4(b) or 4(c), the timing of the delivery of Executive’s Release could cause such amounts to begin in one or another taxable year, to the extent such amounts are subject to Section 409A, then notwithstanding the payment timing set forth in such Sections, such amounts shall not be payable until the later of (1) the payment date specified in such Section or (2) the first business day of the taxable year following Executive’s Separation from Service.</w:t>
      </w:r>
    </w:p>
    <w:p>
      <w:pPr>
        <w:spacing w:after="0" w:line="80" w:lineRule="exact"/>
        <w:rPr>
          <w:rFonts w:ascii="Times New Roman" w:cs="Times New Roman" w:eastAsia="Times New Roman" w:hAnsi="Times New Roman"/>
          <w:sz w:val="18"/>
          <w:szCs w:val="18"/>
          <w:color w:val="auto"/>
        </w:rPr>
      </w:pPr>
    </w:p>
    <w:p>
      <w:pPr>
        <w:ind w:left="420" w:right="40" w:firstLine="405"/>
        <w:spacing w:after="0" w:line="254" w:lineRule="auto"/>
        <w:tabs>
          <w:tab w:leader="none" w:pos="1144"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Specified Employee. </w:t>
      </w:r>
      <w:r>
        <w:rPr>
          <w:rFonts w:ascii="Times New Roman" w:cs="Times New Roman" w:eastAsia="Times New Roman" w:hAnsi="Times New Roman"/>
          <w:sz w:val="18"/>
          <w:szCs w:val="18"/>
          <w:color w:val="auto"/>
        </w:rPr>
        <w:t>Notwithstanding anything in this Agreement to the contrary, if Executive is deemed by the Company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Separation from Service to be a “specified employee” for purposes of Section 409A, to the extent delayed commencement of any portion of the benefits to which Executive is entitled under this Agreement is required in order to avoid a prohibited distribution under</w:t>
      </w:r>
    </w:p>
    <w:p>
      <w:pPr>
        <w:ind w:left="42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such portion of Executive’s benefits shall not be provided to Executive prior to the earlier of (x) the expiration of the six-month period measured from the date of Executive’s Separation from Service with the Company or (y)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60"/>
          </w:cols>
          <w:pgMar w:left="560" w:top="266" w:right="579" w:bottom="1440" w:gutter="0" w:footer="0" w:header="0"/>
        </w:sectPr>
      </w:pPr>
    </w:p>
    <w:bookmarkStart w:id="577" w:name="page578"/>
    <w:bookmarkEnd w:id="577"/>
    <w:p>
      <w:pPr>
        <w:ind w:left="442" w:right="80" w:firstLine="405"/>
        <w:spacing w:after="0" w:line="251" w:lineRule="auto"/>
        <w:tabs>
          <w:tab w:leader="none" w:pos="1156"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Expense Reimbursements. </w:t>
      </w:r>
      <w:r>
        <w:rPr>
          <w:rFonts w:ascii="Times New Roman" w:cs="Times New Roman" w:eastAsia="Times New Roman" w:hAnsi="Times New Roman"/>
          <w:sz w:val="18"/>
          <w:szCs w:val="18"/>
          <w:color w:val="auto"/>
        </w:rPr>
        <w:t>To the extent that any reimbursements under this Agreement are subject to Section 409A, (A)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79" w:lineRule="exact"/>
        <w:rPr>
          <w:rFonts w:ascii="Times New Roman" w:cs="Times New Roman" w:eastAsia="Times New Roman" w:hAnsi="Times New Roman"/>
          <w:sz w:val="18"/>
          <w:szCs w:val="18"/>
          <w:color w:val="auto"/>
        </w:rPr>
      </w:pPr>
    </w:p>
    <w:p>
      <w:pPr>
        <w:ind w:left="442" w:right="60" w:firstLine="405"/>
        <w:spacing w:after="0" w:line="253" w:lineRule="auto"/>
        <w:tabs>
          <w:tab w:leader="none" w:pos="1107"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Installments. </w:t>
      </w:r>
      <w:r>
        <w:rPr>
          <w:rFonts w:ascii="Times New Roman" w:cs="Times New Roman" w:eastAsia="Times New Roman" w:hAnsi="Times New Roman"/>
          <w:sz w:val="18"/>
          <w:szCs w:val="18"/>
          <w:color w:val="auto"/>
        </w:rPr>
        <w:t>Executive’s right to receive any installment payments under this Agreement, including without limitation any continuation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83" w:lineRule="exact"/>
        <w:rPr>
          <w:rFonts w:ascii="Times New Roman" w:cs="Times New Roman" w:eastAsia="Times New Roman" w:hAnsi="Times New Roman"/>
          <w:sz w:val="18"/>
          <w:szCs w:val="18"/>
          <w:color w:val="auto"/>
        </w:rPr>
      </w:pPr>
    </w:p>
    <w:p>
      <w:pPr>
        <w:ind w:left="2" w:right="240" w:firstLine="430"/>
        <w:spacing w:after="0" w:line="274" w:lineRule="auto"/>
        <w:tabs>
          <w:tab w:leader="none" w:pos="645"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Notwithstanding anything to the contrary in this Agreement, the provisions of Sections 5 through 9 will survive the termination of Executive’s employment and the termination of the Term.</w:t>
      </w:r>
    </w:p>
    <w:p>
      <w:pPr>
        <w:spacing w:after="0" w:line="307" w:lineRule="exact"/>
        <w:rPr>
          <w:rFonts w:ascii="Times New Roman" w:cs="Times New Roman" w:eastAsia="Times New Roman" w:hAnsi="Times New Roman"/>
          <w:sz w:val="18"/>
          <w:szCs w:val="18"/>
          <w:color w:val="auto"/>
        </w:rPr>
      </w:pPr>
    </w:p>
    <w:p>
      <w:pPr>
        <w:ind w:left="422" w:hanging="422"/>
        <w:spacing w:after="0"/>
        <w:tabs>
          <w:tab w:leader="none" w:pos="422"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Executive Acknowledgement</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ind w:left="2" w:firstLine="432"/>
        <w:spacing w:after="0" w:line="259" w:lineRule="auto"/>
        <w:rPr>
          <w:sz w:val="20"/>
          <w:szCs w:val="20"/>
          <w:color w:val="auto"/>
        </w:rPr>
      </w:pPr>
      <w:r>
        <w:rPr>
          <w:rFonts w:ascii="Times New Roman" w:cs="Times New Roman" w:eastAsia="Times New Roman" w:hAnsi="Times New Roman"/>
          <w:sz w:val="18"/>
          <w:szCs w:val="18"/>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6"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62"/>
          </w:cols>
          <w:pgMar w:left="538" w:top="265" w:right="599"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Agreement on the date and year first above written.</w:t>
      </w:r>
    </w:p>
    <w:p>
      <w:pPr>
        <w:spacing w:after="0" w:line="24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254952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Arthur Kuan</w:t>
      </w:r>
    </w:p>
    <w:p>
      <w:pPr>
        <w:spacing w:after="0" w:line="1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Ambaw Bellete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14605</wp:posOffset>
            </wp:positionV>
            <wp:extent cx="274256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Print Name: Ambaw Bellete</w:t>
      </w:r>
    </w:p>
    <w:p>
      <w:pPr>
        <w:sectPr>
          <w:pgSz w:w="11900" w:h="16838" w:orient="portrait"/>
          <w:cols w:equalWidth="0" w:num="1">
            <w:col w:w="9479"/>
          </w:cols>
          <w:pgMar w:left="980" w:top="267" w:right="1440" w:bottom="1440" w:gutter="0" w:footer="0" w:header="0"/>
        </w:sectPr>
      </w:pPr>
    </w:p>
    <w:bookmarkStart w:id="579" w:name="page580"/>
    <w:bookmarkEnd w:id="579"/>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A</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SEPARATION AGREEMENT AND RELEASE</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Separation Agreement and Release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Ambaw Bellete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CG Oncology, Inc.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(collectively referred to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or individually referred to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Capitalized terms used but not defined in this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meanings set forth in the Employment Agreement (as defined below).</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have previously entered into that certain Employment Agreement, dated as of [_____], 2023 (the “</w:t>
      </w:r>
      <w:r>
        <w:rPr>
          <w:rFonts w:ascii="Times New Roman" w:cs="Times New Roman" w:eastAsia="Times New Roman" w:hAnsi="Times New Roman"/>
          <w:sz w:val="18"/>
          <w:szCs w:val="18"/>
          <w:u w:val="single" w:color="auto"/>
          <w:color w:val="auto"/>
        </w:rPr>
        <w:t>Employment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that certain Restrictive Covenant Agreement (as defined in the Employment Agreement); and</w:t>
      </w:r>
    </w:p>
    <w:p>
      <w:pPr>
        <w:spacing w:after="0" w:line="198" w:lineRule="exact"/>
        <w:rPr>
          <w:sz w:val="20"/>
          <w:szCs w:val="20"/>
          <w:color w:val="auto"/>
        </w:rPr>
      </w:pPr>
    </w:p>
    <w:p>
      <w:pPr>
        <w:ind w:right="180" w:firstLine="432"/>
        <w:spacing w:after="0" w:line="272" w:lineRule="auto"/>
        <w:rPr>
          <w:sz w:val="20"/>
          <w:szCs w:val="20"/>
          <w:color w:val="auto"/>
        </w:rPr>
      </w:pPr>
      <w:r>
        <w:rPr>
          <w:rFonts w:ascii="Times New Roman" w:cs="Times New Roman" w:eastAsia="Times New Roman" w:hAnsi="Times New Roman"/>
          <w:sz w:val="17"/>
          <w:szCs w:val="17"/>
          <w:color w:val="auto"/>
        </w:rPr>
        <w:t>WHEREAS, in connection with Executive’s termination of employment with the Company or a subsidiary or affiliate of the Company effective [________], 20[__], the Parties wish to resolve any and all disputes, claims, complaints, grievances, charges, actions, petitions, and demands that</w:t>
      </w:r>
    </w:p>
    <w:p>
      <w:pPr>
        <w:spacing w:after="0" w:line="247" w:lineRule="auto"/>
        <w:rPr>
          <w:sz w:val="20"/>
          <w:szCs w:val="20"/>
          <w:color w:val="auto"/>
        </w:rPr>
      </w:pPr>
      <w:r>
        <w:rPr>
          <w:rFonts w:ascii="Times New Roman" w:cs="Times New Roman" w:eastAsia="Times New Roman" w:hAnsi="Times New Roman"/>
          <w:sz w:val="18"/>
          <w:szCs w:val="18"/>
          <w:color w:val="auto"/>
        </w:rPr>
        <w:t>Executive may have against the Company and any of the Releases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or liability insurance by the Company or any of its affiliates pursuant to contract or applicable law (collectively, the “</w:t>
      </w:r>
      <w:r>
        <w:rPr>
          <w:rFonts w:ascii="Times New Roman" w:cs="Times New Roman" w:eastAsia="Times New Roman" w:hAnsi="Times New Roman"/>
          <w:sz w:val="18"/>
          <w:szCs w:val="18"/>
          <w:u w:val="single" w:color="auto"/>
          <w:color w:val="auto"/>
        </w:rPr>
        <w:t>Retained Claims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20" w:firstLine="432"/>
        <w:spacing w:after="0" w:line="259" w:lineRule="auto"/>
        <w:rPr>
          <w:sz w:val="20"/>
          <w:szCs w:val="20"/>
          <w:color w:val="auto"/>
        </w:rPr>
      </w:pPr>
      <w:r>
        <w:rPr>
          <w:rFonts w:ascii="Times New Roman" w:cs="Times New Roman" w:eastAsia="Times New Roman" w:hAnsi="Times New Roman"/>
          <w:sz w:val="18"/>
          <w:szCs w:val="18"/>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72" w:lineRule="exact"/>
        <w:rPr>
          <w:sz w:val="20"/>
          <w:szCs w:val="20"/>
          <w:color w:val="auto"/>
        </w:rPr>
      </w:pPr>
    </w:p>
    <w:p>
      <w:pPr>
        <w:ind w:firstLine="430"/>
        <w:spacing w:after="0" w:line="252" w:lineRule="auto"/>
        <w:tabs>
          <w:tab w:leader="none" w:pos="609"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 and Benefits; Salary and Benefits</w:t>
      </w:r>
      <w:r>
        <w:rPr>
          <w:rFonts w:ascii="Times New Roman" w:cs="Times New Roman" w:eastAsia="Times New Roman" w:hAnsi="Times New Roman"/>
          <w:sz w:val="18"/>
          <w:szCs w:val="18"/>
          <w:color w:val="auto"/>
        </w:rPr>
        <w:t>. The Company agrees to provide Executive with the severance payments and benefits described in Section 4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the Accrued Obligations described in Section 3(c) of the Employment Agreement, subject to and in accordance with the terms thereof.</w:t>
      </w:r>
    </w:p>
    <w:p>
      <w:pPr>
        <w:spacing w:after="0" w:line="185" w:lineRule="exact"/>
        <w:rPr>
          <w:rFonts w:ascii="Times New Roman" w:cs="Times New Roman" w:eastAsia="Times New Roman" w:hAnsi="Times New Roman"/>
          <w:sz w:val="18"/>
          <w:szCs w:val="18"/>
          <w:color w:val="auto"/>
        </w:rPr>
      </w:pPr>
    </w:p>
    <w:p>
      <w:pPr>
        <w:ind w:right="40" w:firstLine="430"/>
        <w:spacing w:after="0" w:line="248" w:lineRule="auto"/>
        <w:tabs>
          <w:tab w:leader="none" w:pos="609"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Executive agrees that, other than with respect to the Retained Claims, the foregoing consideration represents settlement in full of all outstanding obligations owed to Executive by the Company, any of its direct or indirect subsidiaries, and any of its or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related to Executive’s employment with the Company or its subsidiaries or termination therefrom.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relating to Executive’s employment with the Company or its subsidiaries or termination therefrom, including, without limitation:</w:t>
      </w:r>
    </w:p>
    <w:p>
      <w:pPr>
        <w:spacing w:after="0" w:line="85" w:lineRule="exact"/>
        <w:rPr>
          <w:rFonts w:ascii="Times New Roman" w:cs="Times New Roman" w:eastAsia="Times New Roman" w:hAnsi="Times New Roman"/>
          <w:sz w:val="18"/>
          <w:szCs w:val="18"/>
          <w:color w:val="auto"/>
        </w:rPr>
      </w:pPr>
    </w:p>
    <w:p>
      <w:pPr>
        <w:ind w:right="120" w:firstLine="971"/>
        <w:spacing w:after="0" w:line="274" w:lineRule="auto"/>
        <w:tabs>
          <w:tab w:leader="none" w:pos="1213"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employment or service relationship with the Company or any of its direct or indirect subsidiaries and the termination of that relationship;</w:t>
      </w:r>
    </w:p>
    <w:p>
      <w:pPr>
        <w:sectPr>
          <w:pgSz w:w="11900" w:h="16838" w:orient="portrait"/>
          <w:cols w:equalWidth="0" w:num="1">
            <w:col w:w="10760"/>
          </w:cols>
          <w:pgMar w:left="540" w:top="265" w:right="599" w:bottom="1440" w:gutter="0" w:footer="0" w:header="0"/>
        </w:sectPr>
      </w:pPr>
    </w:p>
    <w:bookmarkStart w:id="580" w:name="page581"/>
    <w:bookmarkEnd w:id="580"/>
    <w:p>
      <w:pPr>
        <w:jc w:val="both"/>
        <w:ind w:left="-40" w:right="140" w:firstLine="971"/>
        <w:spacing w:after="0" w:line="259" w:lineRule="auto"/>
        <w:tabs>
          <w:tab w:leader="none" w:pos="1183"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77" w:lineRule="exact"/>
        <w:rPr>
          <w:rFonts w:ascii="Times New Roman" w:cs="Times New Roman" w:eastAsia="Times New Roman" w:hAnsi="Times New Roman"/>
          <w:sz w:val="18"/>
          <w:szCs w:val="18"/>
          <w:color w:val="auto"/>
        </w:rPr>
      </w:pPr>
    </w:p>
    <w:p>
      <w:pPr>
        <w:ind w:left="-40" w:right="120" w:firstLine="971"/>
        <w:spacing w:after="0" w:line="252" w:lineRule="auto"/>
        <w:tabs>
          <w:tab w:leader="none" w:pos="1173"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5" w:lineRule="exact"/>
        <w:rPr>
          <w:rFonts w:ascii="Times New Roman" w:cs="Times New Roman" w:eastAsia="Times New Roman" w:hAnsi="Times New Roman"/>
          <w:sz w:val="18"/>
          <w:szCs w:val="18"/>
          <w:color w:val="auto"/>
        </w:rPr>
      </w:pPr>
    </w:p>
    <w:p>
      <w:pPr>
        <w:ind w:left="-40" w:firstLine="971"/>
        <w:spacing w:after="0" w:line="249" w:lineRule="auto"/>
        <w:tabs>
          <w:tab w:leader="none" w:pos="1183"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 New Jersey’s Conscientious Employee Protection Act; the New Jersey Soldiers’ and Sailors’ Civil Relief Act; the Millville Dallas Airmotive Plant Job Loss Notification Act; the New Jersey Family Leave Act; the New Jersey Law Against Discrimination; the New Jersey Security and Financial Empowerment Act; the New Jersey State Wage and Hour Law; the New Jersey Paid Sick Leave Law; and the New Jersey State Wage Payment Law; or any similar state law;</w:t>
      </w:r>
    </w:p>
    <w:p>
      <w:pPr>
        <w:spacing w:after="0" w:line="190" w:lineRule="exact"/>
        <w:rPr>
          <w:rFonts w:ascii="Times New Roman" w:cs="Times New Roman" w:eastAsia="Times New Roman" w:hAnsi="Times New Roman"/>
          <w:sz w:val="18"/>
          <w:szCs w:val="18"/>
          <w:color w:val="auto"/>
        </w:rPr>
      </w:pPr>
    </w:p>
    <w:p>
      <w:pPr>
        <w:ind w:left="1180" w:hanging="249"/>
        <w:spacing w:after="0"/>
        <w:tabs>
          <w:tab w:leader="none" w:pos="11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the federal or any state constitution;</w:t>
      </w:r>
    </w:p>
    <w:p>
      <w:pPr>
        <w:spacing w:after="0" w:line="217" w:lineRule="exact"/>
        <w:rPr>
          <w:rFonts w:ascii="Times New Roman" w:cs="Times New Roman" w:eastAsia="Times New Roman" w:hAnsi="Times New Roman"/>
          <w:sz w:val="18"/>
          <w:szCs w:val="18"/>
          <w:color w:val="auto"/>
        </w:rPr>
      </w:pPr>
    </w:p>
    <w:p>
      <w:pPr>
        <w:ind w:left="1160" w:hanging="229"/>
        <w:spacing w:after="0"/>
        <w:tabs>
          <w:tab w:leader="none" w:pos="116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out of any other laws and regulations relating to employment or employment discrimination;</w:t>
      </w:r>
    </w:p>
    <w:p>
      <w:pPr>
        <w:spacing w:after="0" w:line="217" w:lineRule="exact"/>
        <w:rPr>
          <w:rFonts w:ascii="Times New Roman" w:cs="Times New Roman" w:eastAsia="Times New Roman" w:hAnsi="Times New Roman"/>
          <w:sz w:val="18"/>
          <w:szCs w:val="18"/>
          <w:color w:val="auto"/>
        </w:rPr>
      </w:pPr>
    </w:p>
    <w:p>
      <w:pPr>
        <w:ind w:left="-40" w:right="220" w:firstLine="971"/>
        <w:spacing w:after="0" w:line="274" w:lineRule="auto"/>
        <w:tabs>
          <w:tab w:leader="none" w:pos="1183"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any loss, cost, damage, or expense arising out of any dispute over the non-withholding or other tax treatment of any of the proceeds received by Executive as a result of this Agreement;</w:t>
      </w:r>
    </w:p>
    <w:p>
      <w:pPr>
        <w:spacing w:after="0" w:line="163" w:lineRule="exact"/>
        <w:rPr>
          <w:rFonts w:ascii="Times New Roman" w:cs="Times New Roman" w:eastAsia="Times New Roman" w:hAnsi="Times New Roman"/>
          <w:sz w:val="18"/>
          <w:szCs w:val="18"/>
          <w:color w:val="auto"/>
        </w:rPr>
      </w:pPr>
    </w:p>
    <w:p>
      <w:pPr>
        <w:ind w:left="-40" w:right="160" w:firstLine="971"/>
        <w:spacing w:after="0" w:line="274" w:lineRule="auto"/>
        <w:tabs>
          <w:tab w:leader="none" w:pos="1183"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out of the wage and hour and wage payments laws and regulations of the state or states in which Executive has provided service to the Company or any of its affiliates; and</w:t>
      </w:r>
    </w:p>
    <w:p>
      <w:pPr>
        <w:spacing w:after="0" w:line="163" w:lineRule="exact"/>
        <w:rPr>
          <w:rFonts w:ascii="Times New Roman" w:cs="Times New Roman" w:eastAsia="Times New Roman" w:hAnsi="Times New Roman"/>
          <w:sz w:val="18"/>
          <w:szCs w:val="18"/>
          <w:color w:val="auto"/>
        </w:rPr>
      </w:pPr>
    </w:p>
    <w:p>
      <w:pPr>
        <w:ind w:left="1140" w:hanging="209"/>
        <w:spacing w:after="0"/>
        <w:tabs>
          <w:tab w:leader="none" w:pos="11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attorneys’ fees and costs.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740"/>
          </w:cols>
          <w:pgMar w:left="580" w:top="267" w:right="579" w:bottom="1440" w:gutter="0" w:footer="0" w:header="0"/>
        </w:sectPr>
      </w:pPr>
    </w:p>
    <w:bookmarkStart w:id="581" w:name="page582"/>
    <w:bookmarkEnd w:id="581"/>
    <w:p>
      <w:pPr>
        <w:ind w:right="440" w:firstLine="432"/>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EXECUTIVE ACKNOWLEDGES THAT EXECUTIVE HAS BEEN ADVISED BY LEGAL COUNSEL AND IS FAMILIAR WITH THE PROVISIONS OF CALIFORNIA CIVIL CODE SECTION 1542, WHICH PROVIDES AS FOLLOWS:</w:t>
      </w:r>
    </w:p>
    <w:p>
      <w:pPr>
        <w:spacing w:after="0" w:line="57" w:lineRule="exact"/>
        <w:rPr>
          <w:sz w:val="20"/>
          <w:szCs w:val="20"/>
          <w:color w:val="auto"/>
        </w:rPr>
      </w:pPr>
    </w:p>
    <w:p>
      <w:pPr>
        <w:ind w:left="440"/>
        <w:spacing w:after="0" w:line="259"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ind w:right="440" w:firstLine="432"/>
        <w:spacing w:after="0" w:line="274" w:lineRule="auto"/>
        <w:rPr>
          <w:sz w:val="20"/>
          <w:szCs w:val="20"/>
          <w:color w:val="auto"/>
        </w:rPr>
      </w:pPr>
      <w:r>
        <w:rPr>
          <w:rFonts w:ascii="Times New Roman" w:cs="Times New Roman" w:eastAsia="Times New Roman" w:hAnsi="Times New Roman"/>
          <w:sz w:val="18"/>
          <w:szCs w:val="18"/>
          <w:color w:val="auto"/>
        </w:rPr>
        <w:t>EXECUTIVE, BEING AWARE OF SAID CODE SECTION, HEREBY EXPRESSLY WAIVES ANY RIGHTS EXECUTIVE MAY HAVE THEREUNDER, AS WELL AS UNDER ANY OTHER STATUTES OR COMMON LAW PRINCIPLES OF SIMILAR EFFECT.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Executive agrees that the release set forth in this section shall be and remain in effect in all respects as a complete general release as to the matters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released. This release does not release claims that cannot be released as a matter of law, including, but not limited to, Executive’s right to report possible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of federal law or regulation to any governmental agency or entity in accordance with the provisions of and rules promulgated under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21F of the Securities Exchange Act of 1934 or Section 806 of the Sarbanes-Oxley Act of 2002, or any other whistleblower protection provisions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state or federal law or regulation and any right to receive an award for information provided thereunder, Executive’s right to file a charge with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 in a charge by the Equal Employment Opportunity Commission, or any other local, state, or federal administrative body or government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that is authorized to enforce or administer laws related to employment, against the Company for discrimination (with the understanding that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release of claims herein bars Executive from recovering such monetary relief from the Company or any Releasee for any alleged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discriminatory treatment), claims for unemployment compensation or any state disability insurance benefits pursuant to the terms of applicable state law,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claims to continued participation in certain of the Company’s group benefit plans pursuant to the terms and conditions of COBRA, claims for indemnity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bylaws of the Company, as provided for by New Jersey or Delaware law or under any applicable insurance policy with respect to Executive’s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as an employee, director or officer of the Company, claims to any benefit entitlements vested as the date of separation of Executive’s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employment, pursuant to written terms of any employee benefit plan of the Company or its affiliates and Executive’s right under applicable law and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Retained Claims. This release further does not release claims for breach of Section 3(c) or Section 4 of the Employment Agreement. This release does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prevent Executive from cooperating with an investigation conducted by any such governmental agencies, including without limitation the National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Relations Board (the “NLRB”). Nothing herein will prevent Executive from participating in an activity permitted by Section 7 of the National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Relations Act or from filing an unfair labor practice charge with the NLRB.</w:t>
      </w:r>
    </w:p>
    <w:p>
      <w:pPr>
        <w:spacing w:after="0" w:line="198" w:lineRule="exact"/>
        <w:rPr>
          <w:sz w:val="20"/>
          <w:szCs w:val="20"/>
          <w:color w:val="auto"/>
        </w:rPr>
      </w:pPr>
    </w:p>
    <w:p>
      <w:pPr>
        <w:ind w:right="100" w:firstLine="430"/>
        <w:spacing w:after="0" w:line="250" w:lineRule="auto"/>
        <w:tabs>
          <w:tab w:leader="none" w:pos="609"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Waiver of Claims under ADEA</w:t>
      </w:r>
      <w:r>
        <w:rPr>
          <w:rFonts w:ascii="Times New Roman" w:cs="Times New Roman" w:eastAsia="Times New Roman" w:hAnsi="Times New Roman"/>
          <w:sz w:val="18"/>
          <w:szCs w:val="18"/>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[twenty-one (21)] days within which to consider this Agreement, and the Parties agree that such time period to review this Agreement shall not be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800"/>
          </w:cols>
          <w:pgMar w:left="540" w:top="267" w:right="559" w:bottom="1440" w:gutter="0" w:footer="0" w:header="0"/>
        </w:sectPr>
      </w:pPr>
    </w:p>
    <w:bookmarkStart w:id="582" w:name="page583"/>
    <w:bookmarkEnd w:id="582"/>
    <w:p>
      <w:pPr>
        <w:ind w:left="2" w:right="1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[twenty-one (21)] day period identified above, Executive hereby acknowledges that Executive has freely and voluntarily chosen to waive the time period allotted for considering this Agreement.</w:t>
      </w:r>
    </w:p>
    <w:p>
      <w:pPr>
        <w:spacing w:after="0" w:line="187" w:lineRule="exact"/>
        <w:rPr>
          <w:sz w:val="20"/>
          <w:szCs w:val="20"/>
          <w:color w:val="auto"/>
        </w:rPr>
      </w:pPr>
    </w:p>
    <w:p>
      <w:pPr>
        <w:ind w:left="2" w:right="200" w:firstLine="430"/>
        <w:spacing w:after="0" w:line="274" w:lineRule="auto"/>
        <w:tabs>
          <w:tab w:leader="none" w:pos="611"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Executive acknowledges his ongoing obligations under Section 5 of the Employment Agreement. Sections 5(e) and 5(f) of the Employment Agreement are hereby incorporated by reference and will apply to this Agreement as if set forth herein.</w:t>
      </w:r>
    </w:p>
    <w:p>
      <w:pPr>
        <w:spacing w:after="0" w:line="163" w:lineRule="exact"/>
        <w:rPr>
          <w:rFonts w:ascii="Times New Roman" w:cs="Times New Roman" w:eastAsia="Times New Roman" w:hAnsi="Times New Roman"/>
          <w:sz w:val="18"/>
          <w:szCs w:val="18"/>
          <w:color w:val="auto"/>
        </w:rPr>
      </w:pPr>
    </w:p>
    <w:p>
      <w:pPr>
        <w:ind w:left="2" w:firstLine="430"/>
        <w:spacing w:after="0" w:line="259" w:lineRule="auto"/>
        <w:tabs>
          <w:tab w:leader="none" w:pos="611"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7" w:lineRule="exact"/>
        <w:rPr>
          <w:rFonts w:ascii="Times New Roman" w:cs="Times New Roman" w:eastAsia="Times New Roman" w:hAnsi="Times New Roman"/>
          <w:sz w:val="18"/>
          <w:szCs w:val="18"/>
          <w:color w:val="auto"/>
        </w:rPr>
      </w:pPr>
    </w:p>
    <w:p>
      <w:pPr>
        <w:ind w:left="602" w:hanging="170"/>
        <w:spacing w:after="0"/>
        <w:tabs>
          <w:tab w:leader="none" w:pos="602" w:val="left"/>
        </w:tabs>
        <w:numPr>
          <w:ilvl w:val="1"/>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Oral Modification</w:t>
      </w:r>
      <w:r>
        <w:rPr>
          <w:rFonts w:ascii="Times New Roman" w:cs="Times New Roman" w:eastAsia="Times New Roman" w:hAnsi="Times New Roman"/>
          <w:sz w:val="17"/>
          <w:szCs w:val="17"/>
          <w:color w:val="auto"/>
        </w:rPr>
        <w:t>. This Agreement may only be amended in a writing signed by Executive and a duly authorized officer of the Company.</w:t>
      </w:r>
    </w:p>
    <w:p>
      <w:pPr>
        <w:spacing w:after="0" w:line="228" w:lineRule="exact"/>
        <w:rPr>
          <w:rFonts w:ascii="Times New Roman" w:cs="Times New Roman" w:eastAsia="Times New Roman" w:hAnsi="Times New Roman"/>
          <w:sz w:val="17"/>
          <w:szCs w:val="17"/>
          <w:color w:val="auto"/>
        </w:rPr>
      </w:pPr>
    </w:p>
    <w:p>
      <w:pPr>
        <w:ind w:left="2" w:right="420" w:firstLine="430"/>
        <w:spacing w:after="0" w:line="274" w:lineRule="auto"/>
        <w:tabs>
          <w:tab w:leader="none" w:pos="611"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 This Agreement shall be subject to the provisions of Sections 9(a), 9(c), and 9(h) of the Employment Agreement.</w:t>
      </w:r>
    </w:p>
    <w:p>
      <w:pPr>
        <w:spacing w:after="0" w:line="163" w:lineRule="exact"/>
        <w:rPr>
          <w:rFonts w:ascii="Times New Roman" w:cs="Times New Roman" w:eastAsia="Times New Roman" w:hAnsi="Times New Roman"/>
          <w:sz w:val="18"/>
          <w:szCs w:val="18"/>
          <w:color w:val="auto"/>
        </w:rPr>
      </w:pPr>
    </w:p>
    <w:p>
      <w:pPr>
        <w:ind w:left="2" w:right="140" w:firstLine="430"/>
        <w:spacing w:after="0" w:line="274" w:lineRule="auto"/>
        <w:tabs>
          <w:tab w:leader="none" w:pos="611"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Executive has seven business days after Executive signs this Agreement to revoke it and this Agreement will become effective on the day immediately following the seventh business day after Executive signed this Agreement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2" w:right="160" w:firstLine="430"/>
        <w:spacing w:after="0" w:line="265" w:lineRule="auto"/>
        <w:tabs>
          <w:tab w:leader="none" w:pos="611" w:val="left"/>
        </w:tabs>
        <w:numPr>
          <w:ilvl w:val="1"/>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Execution of Agreement</w:t>
      </w:r>
      <w:r>
        <w:rPr>
          <w:rFonts w:ascii="Times New Roman" w:cs="Times New Roman" w:eastAsia="Times New Roman" w:hAnsi="Times New Roman"/>
          <w:sz w:val="17"/>
          <w:szCs w:val="17"/>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w:t>
      </w:r>
    </w:p>
    <w:p>
      <w:pPr>
        <w:ind w:left="2" w:right="20" w:hanging="2"/>
        <w:spacing w:after="0" w:line="251" w:lineRule="auto"/>
        <w:tabs>
          <w:tab w:leader="none" w:pos="252"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the terms and consequences of this Agreement and of the releases it contains; and (e) Executive is fully aware of the legal and binding effect of this Agreement.</w:t>
      </w:r>
    </w:p>
    <w:p>
      <w:pPr>
        <w:spacing w:after="0" w:line="1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802"/>
          </w:cols>
          <w:pgMar w:left="538" w:top="267" w:right="559" w:bottom="1440" w:gutter="0" w:footer="0" w:header="0"/>
        </w:sectPr>
      </w:pPr>
    </w:p>
    <w:bookmarkStart w:id="583" w:name="page584"/>
    <w:bookmarkEnd w:id="5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Agreement on the respective dates set forth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0" w:type="dxa"/>
            <w:vAlign w:val="bottom"/>
          </w:tcPr>
          <w:p>
            <w:pPr>
              <w:spacing w:after="0"/>
              <w:rPr>
                <w:sz w:val="1"/>
                <w:szCs w:val="1"/>
                <w:color w:val="auto"/>
              </w:rPr>
            </w:pPr>
          </w:p>
        </w:tc>
      </w:tr>
      <w:tr>
        <w:trPr>
          <w:trHeight w:val="423"/>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84"/>
              </w:rPr>
              <w:t>Dated: </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3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060" w:type="dxa"/>
            <w:vAlign w:val="bottom"/>
            <w:gridSpan w:val="2"/>
            <w:vMerge w:val="continue"/>
          </w:tcPr>
          <w:p>
            <w:pPr>
              <w:spacing w:after="0"/>
              <w:rPr>
                <w:sz w:val="15"/>
                <w:szCs w:val="15"/>
                <w:color w:val="auto"/>
              </w:rPr>
            </w:pPr>
          </w:p>
        </w:tc>
        <w:tc>
          <w:tcPr>
            <w:tcW w:w="5580" w:type="dxa"/>
            <w:vAlign w:val="bottom"/>
            <w:gridSpan w:val="3"/>
          </w:tcPr>
          <w:p>
            <w:pPr>
              <w:spacing w:after="0" w:line="179" w:lineRule="exact"/>
              <w:rPr>
                <w:sz w:val="20"/>
                <w:szCs w:val="20"/>
                <w:color w:val="auto"/>
              </w:rPr>
            </w:pPr>
            <w:r>
              <w:rPr>
                <w:rFonts w:ascii="Times New Roman" w:cs="Times New Roman" w:eastAsia="Times New Roman" w:hAnsi="Times New Roman"/>
                <w:sz w:val="18"/>
                <w:szCs w:val="18"/>
                <w:color w:val="auto"/>
              </w:rPr>
              <w:t>Print Name: Ambaw Bellete</w:t>
            </w:r>
          </w:p>
        </w:tc>
        <w:tc>
          <w:tcPr>
            <w:tcW w:w="0" w:type="dxa"/>
            <w:vAlign w:val="bottom"/>
          </w:tcPr>
          <w:p>
            <w:pPr>
              <w:spacing w:after="0"/>
              <w:rPr>
                <w:sz w:val="1"/>
                <w:szCs w:val="1"/>
                <w:color w:val="auto"/>
              </w:rPr>
            </w:pPr>
          </w:p>
        </w:tc>
      </w:tr>
      <w:tr>
        <w:trPr>
          <w:trHeight w:val="445"/>
        </w:trPr>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0" w:type="dxa"/>
            <w:vAlign w:val="bottom"/>
          </w:tcPr>
          <w:p>
            <w:pPr>
              <w:spacing w:after="0"/>
              <w:rPr>
                <w:sz w:val="1"/>
                <w:szCs w:val="1"/>
                <w:color w:val="auto"/>
              </w:rPr>
            </w:pPr>
          </w:p>
        </w:tc>
      </w:tr>
      <w:tr>
        <w:trPr>
          <w:trHeight w:val="383"/>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4"/>
              </w:rPr>
              <w:t>Dated: 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6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bl>
    <w:p>
      <w:pPr>
        <w:sectPr>
          <w:pgSz w:w="11900" w:h="16838" w:orient="portrait"/>
          <w:cols w:equalWidth="0" w:num="1">
            <w:col w:w="10800"/>
          </w:cols>
          <w:pgMar w:left="540" w:top="266" w:right="559" w:bottom="1440" w:gutter="0" w:footer="0" w:header="0"/>
        </w:sectPr>
      </w:pPr>
    </w:p>
    <w:bookmarkStart w:id="584" w:name="page585"/>
    <w:bookmarkEnd w:id="58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B</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RESTRICTIVE COVENANT AGREEMENT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5" w:right="1440" w:bottom="1440" w:gutter="0" w:footer="0" w:header="0"/>
        </w:sectPr>
      </w:pPr>
    </w:p>
    <w:bookmarkStart w:id="585" w:name="page586"/>
    <w:bookmarkEnd w:id="58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1</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PERMITTED OUTSIDE ACTIVITIES</w:t>
      </w:r>
    </w:p>
    <w:p>
      <w:pPr>
        <w:sectPr>
          <w:pgSz w:w="11900" w:h="16838" w:orient="portrait"/>
          <w:cols w:equalWidth="0" w:num="1">
            <w:col w:w="9019"/>
          </w:cols>
          <w:pgMar w:left="1440" w:top="265" w:right="1440" w:bottom="1440" w:gutter="0" w:footer="0" w:header="0"/>
        </w:sectPr>
      </w:pPr>
    </w:p>
    <w:bookmarkStart w:id="586" w:name="page587"/>
    <w:bookmarkEnd w:id="586"/>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19"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CG Oncology,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Vijay Kasturi, M.D.</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individually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effective as of August 14, 2023 (the “</w:t>
      </w:r>
      <w:r>
        <w:rPr>
          <w:rFonts w:ascii="Times New Roman" w:cs="Times New Roman" w:eastAsia="Times New Roman" w:hAnsi="Times New Roman"/>
          <w:sz w:val="18"/>
          <w:szCs w:val="18"/>
          <w:u w:val="single" w:color="auto"/>
          <w:color w:val="auto"/>
        </w:rPr>
        <w:t>Effective</w:t>
      </w:r>
    </w:p>
    <w:p>
      <w:pPr>
        <w:spacing w:after="0" w:line="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9"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WHEREAS, the Company seeks to employ Executive as its Chief Medical Officer; and</w:t>
      </w:r>
    </w:p>
    <w:p>
      <w:pPr>
        <w:spacing w:after="0" w:line="217" w:lineRule="exact"/>
        <w:rPr>
          <w:sz w:val="20"/>
          <w:szCs w:val="20"/>
          <w:color w:val="auto"/>
        </w:rPr>
      </w:pPr>
    </w:p>
    <w:p>
      <w:pPr>
        <w:ind w:left="2" w:right="240" w:firstLine="432"/>
        <w:spacing w:after="0" w:line="259" w:lineRule="auto"/>
        <w:rPr>
          <w:sz w:val="20"/>
          <w:szCs w:val="20"/>
          <w:color w:val="auto"/>
        </w:rPr>
      </w:pPr>
      <w:r>
        <w:rPr>
          <w:rFonts w:ascii="Times New Roman" w:cs="Times New Roman" w:eastAsia="Times New Roman" w:hAnsi="Times New Roman"/>
          <w:sz w:val="18"/>
          <w:szCs w:val="18"/>
          <w:color w:val="auto"/>
        </w:rPr>
        <w:t>WHEREAS, the Parties desire to enter into an agreement setting forth the terms of such employment as of the Effective Date, which supersedes any and all prior understandings and agreements, whether written or oral, including any prior employment offer letters, between Executive and the Company or any of its affiliates, subject to the terms and conditions of this Agreement.</w:t>
      </w:r>
    </w:p>
    <w:p>
      <w:pPr>
        <w:spacing w:after="0" w:line="178" w:lineRule="exact"/>
        <w:rPr>
          <w:sz w:val="20"/>
          <w:szCs w:val="20"/>
          <w:color w:val="auto"/>
        </w:rPr>
      </w:pPr>
    </w:p>
    <w:p>
      <w:pPr>
        <w:ind w:left="2" w:right="40" w:firstLine="432"/>
        <w:spacing w:after="0" w:line="274"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respective covenants and agreements set forth below, the Parties hereto agree as follows:</w:t>
      </w:r>
    </w:p>
    <w:p>
      <w:pPr>
        <w:spacing w:after="0" w:line="37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17" w:lineRule="exact"/>
        <w:rPr>
          <w:sz w:val="20"/>
          <w:szCs w:val="20"/>
          <w:color w:val="auto"/>
        </w:rPr>
      </w:pPr>
    </w:p>
    <w:p>
      <w:pPr>
        <w:ind w:left="182" w:hanging="182"/>
        <w:spacing w:after="0"/>
        <w:tabs>
          <w:tab w:leader="none" w:pos="182"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Employment</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right="400" w:firstLine="430"/>
        <w:spacing w:after="0" w:line="274" w:lineRule="auto"/>
        <w:tabs>
          <w:tab w:leader="none" w:pos="674"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Effective on the Effective Date, the Company shall employ Executive, and Executive shall be employed by the Company, for the period and in the positions set forth in this Section 1, and subject to the other terms and conditions herein provided.</w:t>
      </w:r>
    </w:p>
    <w:p>
      <w:pPr>
        <w:spacing w:after="0" w:line="163" w:lineRule="exact"/>
        <w:rPr>
          <w:rFonts w:ascii="Times New Roman" w:cs="Times New Roman" w:eastAsia="Times New Roman" w:hAnsi="Times New Roman"/>
          <w:sz w:val="18"/>
          <w:szCs w:val="18"/>
          <w:color w:val="auto"/>
        </w:rPr>
      </w:pPr>
    </w:p>
    <w:p>
      <w:pPr>
        <w:ind w:left="2" w:right="40" w:firstLine="430"/>
        <w:spacing w:after="0" w:line="271" w:lineRule="auto"/>
        <w:tabs>
          <w:tab w:leader="none" w:pos="684"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At-Will Employment</w:t>
      </w:r>
      <w:r>
        <w:rPr>
          <w:rFonts w:ascii="Times New Roman" w:cs="Times New Roman" w:eastAsia="Times New Roman" w:hAnsi="Times New Roman"/>
          <w:sz w:val="17"/>
          <w:szCs w:val="17"/>
          <w:color w:val="auto"/>
        </w:rPr>
        <w:t>.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Section 3(b)). This “at-will” nature of Executive’s employment shall remain unchanged during Executive’s tenure as an employee and may not be changed, except in an express writing signed by Executive and a duly authorized officer of the Company. The term of this Agreement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shall commence on the Effective Date and end on the date this Agreement is terminated under Section 3.</w:t>
      </w:r>
    </w:p>
    <w:p>
      <w:pPr>
        <w:spacing w:after="0" w:line="168" w:lineRule="exact"/>
        <w:rPr>
          <w:rFonts w:ascii="Times New Roman" w:cs="Times New Roman" w:eastAsia="Times New Roman" w:hAnsi="Times New Roman"/>
          <w:sz w:val="17"/>
          <w:szCs w:val="17"/>
          <w:color w:val="auto"/>
        </w:rPr>
      </w:pPr>
    </w:p>
    <w:p>
      <w:pPr>
        <w:ind w:left="2" w:right="60" w:firstLine="430"/>
        <w:spacing w:after="0" w:line="264" w:lineRule="auto"/>
        <w:tabs>
          <w:tab w:leader="none" w:pos="674"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Positions and Duties</w:t>
      </w:r>
      <w:r>
        <w:rPr>
          <w:rFonts w:ascii="Times New Roman" w:cs="Times New Roman" w:eastAsia="Times New Roman" w:hAnsi="Times New Roman"/>
          <w:sz w:val="17"/>
          <w:szCs w:val="17"/>
          <w:color w:val="auto"/>
        </w:rPr>
        <w:t>. During the Term, Executive shall serve as Chief Medical Officer of the Company, with such responsibilities, duties and authority normally associated with such position and as may from time to time be reasonably assigned to Executive by the Chief Executive Officer of the Company (the “</w:t>
      </w:r>
      <w:r>
        <w:rPr>
          <w:rFonts w:ascii="Times New Roman" w:cs="Times New Roman" w:eastAsia="Times New Roman" w:hAnsi="Times New Roman"/>
          <w:sz w:val="17"/>
          <w:szCs w:val="17"/>
          <w:u w:val="single" w:color="auto"/>
          <w:color w:val="auto"/>
        </w:rPr>
        <w:t>CEO</w:t>
      </w:r>
      <w:r>
        <w:rPr>
          <w:rFonts w:ascii="Times New Roman" w:cs="Times New Roman" w:eastAsia="Times New Roman" w:hAnsi="Times New Roman"/>
          <w:sz w:val="17"/>
          <w:szCs w:val="17"/>
          <w:color w:val="auto"/>
        </w:rPr>
        <w:t>”). Executive shall report to the CEO.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or the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xml:space="preserve">”) of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Executive shall be permitted to (i) manage Executive’s personal, financial and legal affairs, (ii) participate in trade associations, and (iii) serve on the board of directors of not-for-profit or tax-exempt charitable organizations or, with the consent of the Board (not to be unreasonably withheld), the board of directors of non-competitive for-profit businesses, in each case, subject to compliance with this Agreement and provided that such activities do not materially interfere with Executive’s performance of Executive’s duties and responsibilities hereunder. Executive agrees to observe and comply with the reasonable rules and policies of the Company as adopted by the Company from time to time (to the extent they do not conflict with the terms of this Agreement), in each case, as amended from time to time, and as delivered or made available to Executive (each, a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w:t>
      </w:r>
    </w:p>
    <w:p>
      <w:pPr>
        <w:sectPr>
          <w:pgSz w:w="11900" w:h="16838" w:orient="portrait"/>
          <w:cols w:equalWidth="0" w:num="1">
            <w:col w:w="10822"/>
          </w:cols>
          <w:pgMar w:left="538" w:top="119" w:right="539" w:bottom="1440" w:gutter="0" w:footer="0" w:header="0"/>
        </w:sectPr>
      </w:pPr>
    </w:p>
    <w:bookmarkStart w:id="587" w:name="page588"/>
    <w:bookmarkEnd w:id="587"/>
    <w:p>
      <w:pPr>
        <w:ind w:left="2" w:right="60" w:firstLine="430"/>
        <w:spacing w:after="0" w:line="259" w:lineRule="auto"/>
        <w:tabs>
          <w:tab w:leader="none" w:pos="684"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Principal Location</w:t>
      </w:r>
      <w:r>
        <w:rPr>
          <w:rFonts w:ascii="Times New Roman" w:cs="Times New Roman" w:eastAsia="Times New Roman" w:hAnsi="Times New Roman"/>
          <w:sz w:val="18"/>
          <w:szCs w:val="18"/>
          <w:color w:val="auto"/>
        </w:rPr>
        <w:t xml:space="preserve">. During the Term, Executive shall perform the services required by this Agreement remotely from his residence in Worcester, Massachusetts,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Parties acknowledge and agree that Executive may be required to travel to other locations as may be necessary to fulfill Executive’s duties and responsibilities hereunder.</w:t>
      </w:r>
    </w:p>
    <w:p>
      <w:pPr>
        <w:spacing w:after="0" w:line="281"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and Related Matters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right="20" w:firstLine="430"/>
        <w:spacing w:after="0" w:line="255" w:lineRule="auto"/>
        <w:tabs>
          <w:tab w:leader="none" w:pos="67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During the Term, Executive shall receive a base salary at a rate initially of $415,000 per annum, which shall be paid in accordance with the customary payroll practices of the Company and shall be pro-rated for partial years of employment. Such annual base salary shall be reviewed (and may be adjusted for increase, but not decrease) from time to time (such annual base salary, as it may be adjusted from time to time, the “</w:t>
      </w: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by the Board or its compensation committee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2" w:firstLine="430"/>
        <w:spacing w:after="0" w:line="236" w:lineRule="auto"/>
        <w:tabs>
          <w:tab w:leader="none" w:pos="68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Cash Bonus Opportunity</w:t>
      </w:r>
      <w:r>
        <w:rPr>
          <w:rFonts w:ascii="Times New Roman" w:cs="Times New Roman" w:eastAsia="Times New Roman" w:hAnsi="Times New Roman"/>
          <w:sz w:val="18"/>
          <w:szCs w:val="18"/>
          <w:color w:val="auto"/>
        </w:rPr>
        <w:t>. During the Term, Executive will be eligible to participate in an annual incentive program established by the Board or Compensation Committee with target level annual incentive compensation opportunities as may be determined by the Board or Compensation Committee from time to time, but with an annual “target level” incentive bonus opportunity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of 40% of the Annual Base Salary. The annual bonus payable under the incentive program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shall be based on the achievement of performance goals or such other criteria as may be determined by the Board or Compensation Committee. The payment of any Annual Bonus pursuant to the incentive program shall be subject to Executive’s continued employment with the Company through the date of payment, except as otherwise provided in Section 4. The Annual Bonus shall be paid to Executive when paid generally to other senior executives of the Company, but in any event, to the extent determinable as of such time, not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year immediately following the applicable year for which such Annual Bonus is being paid. The Executive’s annual Bonus for 2023 shall be pro-rated to reflect the portion of such year following the Effective Date.</w:t>
      </w:r>
    </w:p>
    <w:p>
      <w:pPr>
        <w:spacing w:after="0" w:line="197" w:lineRule="exact"/>
        <w:rPr>
          <w:rFonts w:ascii="Times New Roman" w:cs="Times New Roman" w:eastAsia="Times New Roman" w:hAnsi="Times New Roman"/>
          <w:sz w:val="18"/>
          <w:szCs w:val="18"/>
          <w:color w:val="auto"/>
        </w:rPr>
      </w:pPr>
    </w:p>
    <w:p>
      <w:pPr>
        <w:ind w:left="682" w:hanging="250"/>
        <w:spacing w:after="0"/>
        <w:tabs>
          <w:tab w:leader="none" w:pos="682"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Sign-On Bonus</w:t>
      </w:r>
      <w:r>
        <w:rPr>
          <w:rFonts w:ascii="Times New Roman" w:cs="Times New Roman" w:eastAsia="Times New Roman" w:hAnsi="Times New Roman"/>
          <w:sz w:val="18"/>
          <w:szCs w:val="18"/>
          <w:color w:val="auto"/>
        </w:rPr>
        <w:t>. Executive shall be entitled to a one-time signing bonus equal to the amount of $50,000, less any taxable withholdings (the</w:t>
      </w:r>
    </w:p>
    <w:p>
      <w:pPr>
        <w:spacing w:after="0" w:line="24" w:lineRule="exact"/>
        <w:rPr>
          <w:sz w:val="20"/>
          <w:szCs w:val="20"/>
          <w:color w:val="auto"/>
        </w:rPr>
      </w:pPr>
    </w:p>
    <w:p>
      <w:pPr>
        <w:ind w:left="2" w:right="1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Sign-On Bonus</w:t>
      </w:r>
      <w:r>
        <w:rPr>
          <w:rFonts w:ascii="Times New Roman" w:cs="Times New Roman" w:eastAsia="Times New Roman" w:hAnsi="Times New Roman"/>
          <w:sz w:val="17"/>
          <w:szCs w:val="17"/>
          <w:color w:val="auto"/>
        </w:rPr>
        <w:t>”), which will be paid not later than thirty (30) days following the Effective Date. If Executive is terminated for Cause or voluntarily leaves the Company without Good Reason prior to completing twenty-four (24) months of service from the Effective Date, Executive shall be required to repay to the Company, within thirty (30) days following Executive’s last day of employment with the Company, 100% of the Sign-On Bonus.</w:t>
      </w:r>
    </w:p>
    <w:p>
      <w:pPr>
        <w:spacing w:after="0" w:line="169" w:lineRule="exact"/>
        <w:rPr>
          <w:sz w:val="20"/>
          <w:szCs w:val="20"/>
          <w:color w:val="auto"/>
        </w:rPr>
      </w:pPr>
    </w:p>
    <w:p>
      <w:pPr>
        <w:ind w:left="2" w:right="280" w:firstLine="430"/>
        <w:spacing w:after="0" w:line="274" w:lineRule="auto"/>
        <w:tabs>
          <w:tab w:leader="none" w:pos="68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During the Term, Executive will be eligible to participate and receive awards under the Company’s equity plans as in effect from time to time.</w:t>
      </w:r>
    </w:p>
    <w:p>
      <w:pPr>
        <w:spacing w:after="0" w:line="55" w:lineRule="exact"/>
        <w:rPr>
          <w:rFonts w:ascii="Times New Roman" w:cs="Times New Roman" w:eastAsia="Times New Roman" w:hAnsi="Times New Roman"/>
          <w:sz w:val="18"/>
          <w:szCs w:val="18"/>
          <w:color w:val="auto"/>
        </w:rPr>
      </w:pPr>
    </w:p>
    <w:p>
      <w:pPr>
        <w:ind w:left="442" w:firstLine="405"/>
        <w:spacing w:after="0" w:line="250" w:lineRule="auto"/>
        <w:tabs>
          <w:tab w:leader="none" w:pos="1068"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Option</w:t>
      </w:r>
      <w:r>
        <w:rPr>
          <w:rFonts w:ascii="Times New Roman" w:cs="Times New Roman" w:eastAsia="Times New Roman" w:hAnsi="Times New Roman"/>
          <w:sz w:val="18"/>
          <w:szCs w:val="18"/>
          <w:color w:val="auto"/>
        </w:rPr>
        <w:t>: As soon as practicable after the Effective Date, the Compensation Committee of the Board shall approve a grant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to purchase 4,230,000 shares of the Company’s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Initial Option</w:t>
      </w:r>
      <w:r>
        <w:rPr>
          <w:rFonts w:ascii="Times New Roman" w:cs="Times New Roman" w:eastAsia="Times New Roman" w:hAnsi="Times New Roman"/>
          <w:sz w:val="18"/>
          <w:szCs w:val="18"/>
          <w:color w:val="auto"/>
        </w:rPr>
        <w:t>”). The Initial Option shall be granted in accordance with the Company’s 2022 Incentive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related stock option documents. The Initial Option shall have an exercise price per share equal to the fair market value on the grant date, as determined by the Board. Subject to Executive’s continued employment with the Company, the Initial Option will vest over a four (4) year period starting on the Effective Date (the “</w:t>
      </w:r>
      <w:r>
        <w:rPr>
          <w:rFonts w:ascii="Times New Roman" w:cs="Times New Roman" w:eastAsia="Times New Roman" w:hAnsi="Times New Roman"/>
          <w:sz w:val="18"/>
          <w:szCs w:val="18"/>
          <w:u w:val="single" w:color="auto"/>
          <w:color w:val="auto"/>
        </w:rPr>
        <w:t>Vesting Commencement Date</w:t>
      </w:r>
      <w:r>
        <w:rPr>
          <w:rFonts w:ascii="Times New Roman" w:cs="Times New Roman" w:eastAsia="Times New Roman" w:hAnsi="Times New Roman"/>
          <w:sz w:val="18"/>
          <w:szCs w:val="18"/>
          <w:color w:val="auto"/>
        </w:rPr>
        <w:t>”), with 25% of the shares vesting on the date that is twelve (12) months after the Vesting Commencement Date and the remainder vesting in thirty-six (36) equal monthly installments over the subsequent three (3) year period.</w:t>
      </w:r>
    </w:p>
    <w:p>
      <w:pPr>
        <w:spacing w:after="0" w:line="12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2"/>
          </w:cols>
          <w:pgMar w:left="538" w:top="266" w:right="559" w:bottom="1440" w:gutter="0" w:footer="0" w:header="0"/>
        </w:sectPr>
      </w:pPr>
    </w:p>
    <w:bookmarkStart w:id="588" w:name="page589"/>
    <w:bookmarkEnd w:id="588"/>
    <w:p>
      <w:pPr>
        <w:ind w:left="440" w:firstLine="405"/>
        <w:spacing w:after="0" w:line="256" w:lineRule="auto"/>
        <w:tabs>
          <w:tab w:leader="none" w:pos="1115"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Milestone Option</w:t>
      </w:r>
      <w:r>
        <w:rPr>
          <w:rFonts w:ascii="Times New Roman" w:cs="Times New Roman" w:eastAsia="Times New Roman" w:hAnsi="Times New Roman"/>
          <w:sz w:val="18"/>
          <w:szCs w:val="18"/>
          <w:color w:val="auto"/>
        </w:rPr>
        <w:t>: As soon as practicable after the Effective Date, the Compensation Committee of the Board shall approve a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to purchase 470,000 Shares (the “</w:t>
      </w:r>
      <w:r>
        <w:rPr>
          <w:rFonts w:ascii="Times New Roman" w:cs="Times New Roman" w:eastAsia="Times New Roman" w:hAnsi="Times New Roman"/>
          <w:sz w:val="18"/>
          <w:szCs w:val="18"/>
          <w:u w:val="single" w:color="auto"/>
          <w:color w:val="auto"/>
        </w:rPr>
        <w:t>Milestone Option</w:t>
      </w:r>
      <w:r>
        <w:rPr>
          <w:rFonts w:ascii="Times New Roman" w:cs="Times New Roman" w:eastAsia="Times New Roman" w:hAnsi="Times New Roman"/>
          <w:sz w:val="18"/>
          <w:szCs w:val="18"/>
          <w:color w:val="auto"/>
        </w:rPr>
        <w:t>”). The Milestone Option shall be granted in accordance with the Plan and related stock option documents. The Milestone Option shall have an exercise price per share equal to the fair market value on the grant date, as determined by the Board. The Milestone Option will vest as follows:</w:t>
      </w:r>
    </w:p>
    <w:p>
      <w:pPr>
        <w:spacing w:after="0" w:line="72" w:lineRule="exact"/>
        <w:rPr>
          <w:rFonts w:ascii="Times New Roman" w:cs="Times New Roman" w:eastAsia="Times New Roman" w:hAnsi="Times New Roman"/>
          <w:sz w:val="18"/>
          <w:szCs w:val="18"/>
          <w:color w:val="auto"/>
        </w:rPr>
      </w:pPr>
    </w:p>
    <w:p>
      <w:pPr>
        <w:ind w:left="980" w:right="160" w:firstLine="384"/>
        <w:spacing w:after="0" w:line="255" w:lineRule="auto"/>
        <w:tabs>
          <w:tab w:leader="none" w:pos="1663" w:val="left"/>
        </w:tabs>
        <w:numPr>
          <w:ilvl w:val="2"/>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235,000 Shares subject to the Milestone Option (the “</w:t>
      </w:r>
      <w:r>
        <w:rPr>
          <w:rFonts w:ascii="Times New Roman" w:cs="Times New Roman" w:eastAsia="Times New Roman" w:hAnsi="Times New Roman"/>
          <w:sz w:val="18"/>
          <w:szCs w:val="18"/>
          <w:u w:val="single" w:color="auto"/>
          <w:color w:val="auto"/>
        </w:rPr>
        <w:t>First Milestone Option</w:t>
      </w:r>
      <w:r>
        <w:rPr>
          <w:rFonts w:ascii="Times New Roman" w:cs="Times New Roman" w:eastAsia="Times New Roman" w:hAnsi="Times New Roman"/>
          <w:sz w:val="18"/>
          <w:szCs w:val="18"/>
          <w:color w:val="auto"/>
        </w:rPr>
        <w:t>”) will be eligible to vest upon the filing with the Federal Drug Administration of the Company’s Biologics License Application (“</w:t>
      </w:r>
      <w:r>
        <w:rPr>
          <w:rFonts w:ascii="Times New Roman" w:cs="Times New Roman" w:eastAsia="Times New Roman" w:hAnsi="Times New Roman"/>
          <w:sz w:val="18"/>
          <w:szCs w:val="18"/>
          <w:u w:val="single" w:color="auto"/>
          <w:color w:val="auto"/>
        </w:rPr>
        <w:t>BLA</w:t>
      </w:r>
      <w:r>
        <w:rPr>
          <w:rFonts w:ascii="Times New Roman" w:cs="Times New Roman" w:eastAsia="Times New Roman" w:hAnsi="Times New Roman"/>
          <w:sz w:val="18"/>
          <w:szCs w:val="18"/>
          <w:color w:val="auto"/>
        </w:rPr>
        <w:t>”) with respect to cretostimogene grenadenorepvec (CG0070), provided such BLA filing occurs on or before December 31, 2025, subject to Executive’s continued employment with the Company through such date; and</w:t>
      </w:r>
    </w:p>
    <w:p>
      <w:pPr>
        <w:spacing w:after="0" w:line="74" w:lineRule="exact"/>
        <w:rPr>
          <w:rFonts w:ascii="Times New Roman" w:cs="Times New Roman" w:eastAsia="Times New Roman" w:hAnsi="Times New Roman"/>
          <w:sz w:val="18"/>
          <w:szCs w:val="18"/>
          <w:color w:val="auto"/>
        </w:rPr>
      </w:pPr>
    </w:p>
    <w:p>
      <w:pPr>
        <w:ind w:left="980" w:firstLine="384"/>
        <w:spacing w:after="0" w:line="255" w:lineRule="auto"/>
        <w:tabs>
          <w:tab w:leader="none" w:pos="1653" w:val="left"/>
        </w:tabs>
        <w:numPr>
          <w:ilvl w:val="2"/>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235,000 Shares subject to the Milestone Option (the “</w:t>
      </w:r>
      <w:r>
        <w:rPr>
          <w:rFonts w:ascii="Times New Roman" w:cs="Times New Roman" w:eastAsia="Times New Roman" w:hAnsi="Times New Roman"/>
          <w:sz w:val="18"/>
          <w:szCs w:val="18"/>
          <w:u w:val="single" w:color="auto"/>
          <w:color w:val="auto"/>
        </w:rPr>
        <w:t>Second Milestone Option</w:t>
      </w:r>
      <w:r>
        <w:rPr>
          <w:rFonts w:ascii="Times New Roman" w:cs="Times New Roman" w:eastAsia="Times New Roman" w:hAnsi="Times New Roman"/>
          <w:sz w:val="18"/>
          <w:szCs w:val="18"/>
          <w:color w:val="auto"/>
        </w:rPr>
        <w:t>”) will be eligible to vest upon the approval by the Federal Drug Administration of the Company’s BLA with respect to cretostimogene grenadenorepvec (CG0070) (“</w:t>
      </w:r>
      <w:r>
        <w:rPr>
          <w:rFonts w:ascii="Times New Roman" w:cs="Times New Roman" w:eastAsia="Times New Roman" w:hAnsi="Times New Roman"/>
          <w:sz w:val="18"/>
          <w:szCs w:val="18"/>
          <w:u w:val="single" w:color="auto"/>
          <w:color w:val="auto"/>
        </w:rPr>
        <w:t>BLA Approval</w:t>
      </w:r>
      <w:r>
        <w:rPr>
          <w:rFonts w:ascii="Times New Roman" w:cs="Times New Roman" w:eastAsia="Times New Roman" w:hAnsi="Times New Roman"/>
          <w:sz w:val="18"/>
          <w:szCs w:val="18"/>
          <w:color w:val="auto"/>
        </w:rPr>
        <w:t>”), provided such BLA Approval occurs on or before December 31, 2026, subject to Executive’s continued employment with the Company through such date.</w:t>
      </w:r>
    </w:p>
    <w:p>
      <w:pPr>
        <w:spacing w:after="0" w:line="180" w:lineRule="exact"/>
        <w:rPr>
          <w:rFonts w:ascii="Times New Roman" w:cs="Times New Roman" w:eastAsia="Times New Roman" w:hAnsi="Times New Roman"/>
          <w:sz w:val="18"/>
          <w:szCs w:val="18"/>
          <w:color w:val="auto"/>
        </w:rPr>
      </w:pPr>
    </w:p>
    <w:p>
      <w:pPr>
        <w:ind w:right="20" w:firstLine="430"/>
        <w:spacing w:after="0" w:line="266" w:lineRule="auto"/>
        <w:tabs>
          <w:tab w:leader="none" w:pos="672" w:val="left"/>
        </w:tabs>
        <w:numPr>
          <w:ilvl w:val="0"/>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Benefits</w:t>
      </w:r>
      <w:r>
        <w:rPr>
          <w:rFonts w:ascii="Times New Roman" w:cs="Times New Roman" w:eastAsia="Times New Roman" w:hAnsi="Times New Roman"/>
          <w:sz w:val="17"/>
          <w:szCs w:val="17"/>
          <w:color w:val="auto"/>
        </w:rPr>
        <w:t>. During the Term, Executive (and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on the same terms and conditions as those applicable to similarly situated senior executives. In addition, during the Term, Executive shall be eligible to participate in any retirement, savings and other employee benefit plans and programs maintained from time to time by the Company for the benefit of its senior executive officers. Nothing contained in this Section 2(d)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spacing w:after="0" w:line="174" w:lineRule="exact"/>
        <w:rPr>
          <w:rFonts w:ascii="Times New Roman" w:cs="Times New Roman" w:eastAsia="Times New Roman" w:hAnsi="Times New Roman"/>
          <w:sz w:val="17"/>
          <w:szCs w:val="17"/>
          <w:color w:val="auto"/>
        </w:rPr>
      </w:pPr>
    </w:p>
    <w:p>
      <w:pPr>
        <w:ind w:right="380" w:firstLine="430"/>
        <w:spacing w:after="0" w:line="259" w:lineRule="auto"/>
        <w:tabs>
          <w:tab w:leader="none" w:pos="653"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or Paid Time Off</w:t>
      </w:r>
      <w:r>
        <w:rPr>
          <w:rFonts w:ascii="Times New Roman" w:cs="Times New Roman" w:eastAsia="Times New Roman" w:hAnsi="Times New Roman"/>
          <w:sz w:val="18"/>
          <w:szCs w:val="18"/>
          <w:color w:val="auto"/>
        </w:rPr>
        <w:t>. During the Term, Executive shall be entitled to paid personal leave in accordance with the Company’s Policies applicable to similarly situated executives. Any vacation or paid time off shall be taken in the reasonable convenience of Executive. Through the Company’s paid time-off policies Executive will receive paid sick leave as required by state and any applicable local laws.</w:t>
      </w:r>
    </w:p>
    <w:p>
      <w:pPr>
        <w:spacing w:after="0" w:line="177" w:lineRule="exact"/>
        <w:rPr>
          <w:rFonts w:ascii="Times New Roman" w:cs="Times New Roman" w:eastAsia="Times New Roman" w:hAnsi="Times New Roman"/>
          <w:sz w:val="18"/>
          <w:szCs w:val="18"/>
          <w:color w:val="auto"/>
        </w:rPr>
      </w:pPr>
    </w:p>
    <w:p>
      <w:pPr>
        <w:ind w:firstLine="430"/>
        <w:spacing w:after="0" w:line="304" w:lineRule="auto"/>
        <w:tabs>
          <w:tab w:leader="none" w:pos="682" w:val="left"/>
        </w:tabs>
        <w:numPr>
          <w:ilvl w:val="0"/>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Business Expenses</w:t>
      </w:r>
      <w:r>
        <w:rPr>
          <w:rFonts w:ascii="Times New Roman" w:cs="Times New Roman" w:eastAsia="Times New Roman" w:hAnsi="Times New Roman"/>
          <w:sz w:val="17"/>
          <w:szCs w:val="17"/>
          <w:color w:val="auto"/>
        </w:rPr>
        <w:t>. During the Term, the Company shall reimburse Executive for all reasonable travel and other business expenses incurred by Executive in the performance of Executive’s duties to the Company in accordance with the Company’s Travel and Expense Reimbursement Policy.</w:t>
      </w:r>
    </w:p>
    <w:p>
      <w:pPr>
        <w:spacing w:after="0" w:line="140" w:lineRule="exact"/>
        <w:rPr>
          <w:rFonts w:ascii="Times New Roman" w:cs="Times New Roman" w:eastAsia="Times New Roman" w:hAnsi="Times New Roman"/>
          <w:sz w:val="17"/>
          <w:szCs w:val="17"/>
          <w:color w:val="auto"/>
        </w:rPr>
      </w:pPr>
    </w:p>
    <w:p>
      <w:pPr>
        <w:ind w:right="60" w:firstLine="430"/>
        <w:spacing w:after="0" w:line="259" w:lineRule="auto"/>
        <w:tabs>
          <w:tab w:leader="none" w:pos="682"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D&amp;O Insurance</w:t>
      </w:r>
      <w:r>
        <w:rPr>
          <w:rFonts w:ascii="Times New Roman" w:cs="Times New Roman" w:eastAsia="Times New Roman" w:hAnsi="Times New Roman"/>
          <w:sz w:val="18"/>
          <w:szCs w:val="18"/>
          <w:color w:val="auto"/>
        </w:rPr>
        <w:t>. The Company shall indemnify Executive (and advance expenses to Executive) to the greatest extent permitted by applicable state law and shall provide Executive with coverage under a directors’ and officers’ liability insurance policy to the same extent provided to other senior executives and directors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540" w:top="265" w:right="559" w:bottom="1440" w:gutter="0" w:footer="0" w:header="0"/>
        </w:sectPr>
      </w:pPr>
    </w:p>
    <w:bookmarkStart w:id="589" w:name="page590"/>
    <w:bookmarkEnd w:id="589"/>
    <w:p>
      <w:pPr>
        <w:ind w:left="182" w:hanging="182"/>
        <w:spacing w:after="0"/>
        <w:tabs>
          <w:tab w:leader="none" w:pos="182"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Termination of Employment</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auto"/>
        </w:rPr>
        <w:t>Executive’s employment hereunder and the Term may be terminated by the Company or Executive, as applicable, without any breach of this</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Agreement under the following circumstances and the Term will end on the Date of Termination:</w:t>
      </w:r>
    </w:p>
    <w:p>
      <w:pPr>
        <w:spacing w:after="0" w:line="92" w:lineRule="exact"/>
        <w:rPr>
          <w:sz w:val="20"/>
          <w:szCs w:val="20"/>
          <w:color w:val="auto"/>
        </w:rPr>
      </w:pPr>
    </w:p>
    <w:p>
      <w:pPr>
        <w:ind w:left="682" w:hanging="250"/>
        <w:spacing w:after="0"/>
        <w:tabs>
          <w:tab w:leader="none" w:pos="682"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Circumstances</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1062" w:hanging="215"/>
        <w:spacing w:after="0"/>
        <w:tabs>
          <w:tab w:leader="none" w:pos="1062"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w:t>
      </w:r>
      <w:r>
        <w:rPr>
          <w:rFonts w:ascii="Times New Roman" w:cs="Times New Roman" w:eastAsia="Times New Roman" w:hAnsi="Times New Roman"/>
          <w:sz w:val="18"/>
          <w:szCs w:val="18"/>
          <w:color w:val="auto"/>
        </w:rPr>
        <w:t>. Executive’s employment hereunder shall terminate upon Executive’s death.</w:t>
      </w:r>
    </w:p>
    <w:p>
      <w:pPr>
        <w:spacing w:after="0" w:line="111" w:lineRule="exact"/>
        <w:rPr>
          <w:rFonts w:ascii="Times New Roman" w:cs="Times New Roman" w:eastAsia="Times New Roman" w:hAnsi="Times New Roman"/>
          <w:sz w:val="18"/>
          <w:szCs w:val="18"/>
          <w:color w:val="auto"/>
        </w:rPr>
      </w:pPr>
    </w:p>
    <w:p>
      <w:pPr>
        <w:ind w:left="1102" w:hanging="255"/>
        <w:spacing w:after="0"/>
        <w:tabs>
          <w:tab w:leader="none" w:pos="1102"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If Executive has incurred a Disability (as defined below), the Company may terminate Executive’s employment.</w:t>
      </w:r>
    </w:p>
    <w:p>
      <w:pPr>
        <w:spacing w:after="0" w:line="111" w:lineRule="exact"/>
        <w:rPr>
          <w:rFonts w:ascii="Times New Roman" w:cs="Times New Roman" w:eastAsia="Times New Roman" w:hAnsi="Times New Roman"/>
          <w:sz w:val="18"/>
          <w:szCs w:val="18"/>
          <w:color w:val="auto"/>
        </w:rPr>
      </w:pPr>
    </w:p>
    <w:p>
      <w:pPr>
        <w:ind w:left="1162" w:hanging="315"/>
        <w:spacing w:after="0"/>
        <w:tabs>
          <w:tab w:leader="none" w:pos="1162"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for Cause</w:t>
      </w:r>
      <w:r>
        <w:rPr>
          <w:rFonts w:ascii="Times New Roman" w:cs="Times New Roman" w:eastAsia="Times New Roman" w:hAnsi="Times New Roman"/>
          <w:sz w:val="18"/>
          <w:szCs w:val="18"/>
          <w:color w:val="auto"/>
        </w:rPr>
        <w:t>. The Company may terminate Executive’s employment for Cause (as defined below).</w:t>
      </w:r>
    </w:p>
    <w:p>
      <w:pPr>
        <w:spacing w:after="0" w:line="111" w:lineRule="exact"/>
        <w:rPr>
          <w:rFonts w:ascii="Times New Roman" w:cs="Times New Roman" w:eastAsia="Times New Roman" w:hAnsi="Times New Roman"/>
          <w:sz w:val="18"/>
          <w:szCs w:val="18"/>
          <w:color w:val="auto"/>
        </w:rPr>
      </w:pPr>
    </w:p>
    <w:p>
      <w:pPr>
        <w:ind w:left="1142" w:hanging="295"/>
        <w:spacing w:after="0"/>
        <w:tabs>
          <w:tab w:leader="none" w:pos="1142"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without Cause</w:t>
      </w:r>
      <w:r>
        <w:rPr>
          <w:rFonts w:ascii="Times New Roman" w:cs="Times New Roman" w:eastAsia="Times New Roman" w:hAnsi="Times New Roman"/>
          <w:sz w:val="18"/>
          <w:szCs w:val="18"/>
          <w:color w:val="auto"/>
        </w:rPr>
        <w:t>. The Company may terminate Executive’s employment without Cause.</w:t>
      </w:r>
    </w:p>
    <w:p>
      <w:pPr>
        <w:spacing w:after="0" w:line="111" w:lineRule="exact"/>
        <w:rPr>
          <w:rFonts w:ascii="Times New Roman" w:cs="Times New Roman" w:eastAsia="Times New Roman" w:hAnsi="Times New Roman"/>
          <w:sz w:val="18"/>
          <w:szCs w:val="18"/>
          <w:color w:val="auto"/>
        </w:rPr>
      </w:pPr>
    </w:p>
    <w:p>
      <w:pPr>
        <w:ind w:left="442" w:firstLine="405"/>
        <w:spacing w:after="0" w:line="276" w:lineRule="auto"/>
        <w:tabs>
          <w:tab w:leader="none" w:pos="110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Resignation from the Company with Good Reason. </w:t>
      </w:r>
      <w:r>
        <w:rPr>
          <w:rFonts w:ascii="Times New Roman" w:cs="Times New Roman" w:eastAsia="Times New Roman" w:hAnsi="Times New Roman"/>
          <w:sz w:val="18"/>
          <w:szCs w:val="18"/>
          <w:color w:val="auto"/>
        </w:rPr>
        <w:t>Executive may resign Executive’s employment with the Company with 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below).</w:t>
      </w:r>
    </w:p>
    <w:p>
      <w:pPr>
        <w:spacing w:after="0" w:line="53" w:lineRule="exact"/>
        <w:rPr>
          <w:rFonts w:ascii="Times New Roman" w:cs="Times New Roman" w:eastAsia="Times New Roman" w:hAnsi="Times New Roman"/>
          <w:sz w:val="18"/>
          <w:szCs w:val="18"/>
          <w:color w:val="auto"/>
        </w:rPr>
      </w:pPr>
    </w:p>
    <w:p>
      <w:pPr>
        <w:ind w:left="442" w:right="20" w:firstLine="405"/>
        <w:spacing w:after="0" w:line="276" w:lineRule="auto"/>
        <w:tabs>
          <w:tab w:leader="none" w:pos="115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 from the Company without Good Reason</w:t>
      </w:r>
      <w:r>
        <w:rPr>
          <w:rFonts w:ascii="Times New Roman" w:cs="Times New Roman" w:eastAsia="Times New Roman" w:hAnsi="Times New Roman"/>
          <w:sz w:val="18"/>
          <w:szCs w:val="18"/>
          <w:color w:val="auto"/>
        </w:rPr>
        <w:t>. Executive may resign Executive’s employment with the Company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Good Reason or for no reason.</w:t>
      </w:r>
    </w:p>
    <w:p>
      <w:pPr>
        <w:spacing w:after="0" w:line="161" w:lineRule="exact"/>
        <w:rPr>
          <w:rFonts w:ascii="Times New Roman" w:cs="Times New Roman" w:eastAsia="Times New Roman" w:hAnsi="Times New Roman"/>
          <w:sz w:val="18"/>
          <w:szCs w:val="18"/>
          <w:color w:val="auto"/>
        </w:rPr>
      </w:pPr>
    </w:p>
    <w:p>
      <w:pPr>
        <w:ind w:left="2" w:right="120" w:firstLine="430"/>
        <w:spacing w:after="0" w:line="264" w:lineRule="auto"/>
        <w:tabs>
          <w:tab w:leader="none" w:pos="684"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xml:space="preserve">. Any termination of Executive’s employment by the Company or by Executive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78" w:lineRule="exact"/>
        <w:rPr>
          <w:rFonts w:ascii="Times New Roman" w:cs="Times New Roman" w:eastAsia="Times New Roman" w:hAnsi="Times New Roman"/>
          <w:sz w:val="17"/>
          <w:szCs w:val="17"/>
          <w:color w:val="auto"/>
        </w:rPr>
      </w:pPr>
    </w:p>
    <w:p>
      <w:pPr>
        <w:ind w:left="2" w:right="120" w:firstLine="430"/>
        <w:spacing w:after="0" w:line="252" w:lineRule="auto"/>
        <w:tabs>
          <w:tab w:leader="none" w:pos="67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Obligations upon Termination</w:t>
      </w:r>
      <w:r>
        <w:rPr>
          <w:rFonts w:ascii="Times New Roman" w:cs="Times New Roman" w:eastAsia="Times New Roman" w:hAnsi="Times New Roman"/>
          <w:sz w:val="18"/>
          <w:szCs w:val="18"/>
          <w:color w:val="auto"/>
        </w:rPr>
        <w:t xml:space="preserve">. Upon termination of Executive’s employment pursuant to any of the circumstances listed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Executive (or Executive’s estate, if applicable) shall be entitled to receive the following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 the portion of Executive’s Annual Base Salary earned through the Date of Termination, but not yet paid to Executive (payable on the Company’s next payroll date or such earlier date as required by applicable law); (ii) any expense reimbursements owed to Executive pursuant to Section 2(f), payable pursuant to the applicable policy; and (iii) any amount accrued and arising from Executive’s participation in, or benefits accrued under any</w:t>
      </w:r>
    </w:p>
    <w:p>
      <w:pPr>
        <w:spacing w:after="0" w:line="119"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62"/>
          </w:cols>
          <w:pgMar w:left="538" w:top="265" w:right="599" w:bottom="1440" w:gutter="0" w:footer="0" w:header="0"/>
        </w:sectPr>
      </w:pPr>
    </w:p>
    <w:bookmarkStart w:id="590" w:name="page591"/>
    <w:bookmarkEnd w:id="590"/>
    <w:p>
      <w:pPr>
        <w:ind w:left="2"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18"/>
          <w:szCs w:val="18"/>
          <w:u w:val="single" w:color="auto"/>
          <w:color w:val="auto"/>
        </w:rPr>
        <w:t>Company Arrangements</w:t>
      </w:r>
      <w:r>
        <w:rPr>
          <w:rFonts w:ascii="Times New Roman" w:cs="Times New Roman" w:eastAsia="Times New Roman" w:hAnsi="Times New Roman"/>
          <w:sz w:val="18"/>
          <w:szCs w:val="18"/>
          <w:color w:val="auto"/>
        </w:rPr>
        <w:t>”). Except as otherwise expressly required by law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COBRA) or applicable Company Arrangement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for severance benefits shall be to receive the payments and benefits described in this Section 3(c) or Section 4, as applicable.</w:t>
      </w:r>
    </w:p>
    <w:p>
      <w:pPr>
        <w:spacing w:after="0" w:line="185" w:lineRule="exact"/>
        <w:rPr>
          <w:sz w:val="20"/>
          <w:szCs w:val="20"/>
          <w:color w:val="auto"/>
        </w:rPr>
      </w:pPr>
    </w:p>
    <w:p>
      <w:pPr>
        <w:ind w:left="2" w:right="460" w:firstLine="430"/>
        <w:spacing w:after="0" w:line="274" w:lineRule="auto"/>
        <w:tabs>
          <w:tab w:leader="none" w:pos="684"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Resignation</w:t>
      </w:r>
      <w:r>
        <w:rPr>
          <w:rFonts w:ascii="Times New Roman" w:cs="Times New Roman" w:eastAsia="Times New Roman" w:hAnsi="Times New Roman"/>
          <w:sz w:val="18"/>
          <w:szCs w:val="18"/>
          <w:color w:val="auto"/>
        </w:rPr>
        <w:t>. Upon termination of Executive’s employment for any reason, Executive shall be deemed to have resigned from all offices and directorships, if any, then held with the Company or any of its subsidiaries.</w:t>
      </w:r>
    </w:p>
    <w:p>
      <w:pPr>
        <w:spacing w:after="0" w:line="163" w:lineRule="exact"/>
        <w:rPr>
          <w:rFonts w:ascii="Times New Roman" w:cs="Times New Roman" w:eastAsia="Times New Roman" w:hAnsi="Times New Roman"/>
          <w:sz w:val="18"/>
          <w:szCs w:val="18"/>
          <w:color w:val="auto"/>
        </w:rPr>
      </w:pPr>
    </w:p>
    <w:p>
      <w:pPr>
        <w:ind w:left="2" w:right="120" w:firstLine="430"/>
        <w:spacing w:after="0" w:line="268" w:lineRule="auto"/>
        <w:tabs>
          <w:tab w:leader="none" w:pos="674" w:val="left"/>
        </w:tabs>
        <w:numPr>
          <w:ilvl w:val="1"/>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Property</w:t>
      </w:r>
      <w:r>
        <w:rPr>
          <w:rFonts w:ascii="Times New Roman" w:cs="Times New Roman" w:eastAsia="Times New Roman" w:hAnsi="Times New Roman"/>
          <w:sz w:val="17"/>
          <w:szCs w:val="17"/>
          <w:color w:val="auto"/>
        </w:rPr>
        <w:t>. Upon termination of Executive’s employment for any reason, unless otherwise specified in a written agreement between Executive and the Company, Executive agrees to return to the Company all documents of the Company and its affiliates (and all copies thereof) and all other Company or Company affiliate property that Executive has in his possession, custody, or control. Such property includes, without limitation:</w:t>
      </w:r>
    </w:p>
    <w:p>
      <w:pPr>
        <w:ind w:left="2" w:right="20" w:hanging="2"/>
        <w:spacing w:after="0" w:line="246" w:lineRule="auto"/>
        <w:tabs>
          <w:tab w:leader="none" w:pos="213"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materials of any kind that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w:t>
      </w:r>
    </w:p>
    <w:p>
      <w:pPr>
        <w:spacing w:after="0" w:line="296" w:lineRule="exact"/>
        <w:rPr>
          <w:sz w:val="20"/>
          <w:szCs w:val="20"/>
          <w:color w:val="auto"/>
        </w:rPr>
      </w:pPr>
    </w:p>
    <w:p>
      <w:pPr>
        <w:ind w:left="182" w:hanging="182"/>
        <w:spacing w:after="0"/>
        <w:tabs>
          <w:tab w:leader="none" w:pos="182"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 Payments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firstLine="430"/>
        <w:spacing w:after="0" w:line="250" w:lineRule="auto"/>
        <w:tabs>
          <w:tab w:leader="none" w:pos="674"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 or Termination Upon Death, Disability, Resignation from the Company Without Good Reason or Resignation from the Company for Good Reason Prior to a Change in Control or More Than Eighteen (18) Months Following a Change in Control</w:t>
      </w:r>
      <w:r>
        <w:rPr>
          <w:rFonts w:ascii="Times New Roman" w:cs="Times New Roman" w:eastAsia="Times New Roman" w:hAnsi="Times New Roman"/>
          <w:sz w:val="18"/>
          <w:szCs w:val="18"/>
          <w:color w:val="auto"/>
        </w:rPr>
        <w:t>. If Executive’s employment shall terminate as a result of Executive’s death pursuant to Section 3(a)(i) or Disability pursuant to Section 3(a)(ii), pursuant to Section 3(a) (iii) for Cause, pursuant to Section 3(a)(vi) for Executive’s resignation from the Company without Good Reason, or pursuant to Section 3(a)(v) for Executive’s resignation from the Company with Good Reason (if such resignation for Good Reason occurs prior to a Change in Control or more than eighteen (18) months following a Change in Control), then Executive shall not be entitled to any severance payments or benefits, except for the Accrued Obligations as provided in Section 3(c).</w:t>
      </w:r>
    </w:p>
    <w:p>
      <w:pPr>
        <w:spacing w:after="0" w:line="186" w:lineRule="exact"/>
        <w:rPr>
          <w:rFonts w:ascii="Times New Roman" w:cs="Times New Roman" w:eastAsia="Times New Roman" w:hAnsi="Times New Roman"/>
          <w:sz w:val="18"/>
          <w:szCs w:val="18"/>
          <w:color w:val="auto"/>
        </w:rPr>
      </w:pPr>
    </w:p>
    <w:p>
      <w:pPr>
        <w:ind w:left="2" w:right="120" w:firstLine="430"/>
        <w:spacing w:after="0" w:line="252" w:lineRule="auto"/>
        <w:tabs>
          <w:tab w:leader="none" w:pos="684"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Prior to a Change in Control or More Than Eighteen (18) Months Following a Change in Control</w:t>
      </w:r>
      <w:r>
        <w:rPr>
          <w:rFonts w:ascii="Times New Roman" w:cs="Times New Roman" w:eastAsia="Times New Roman" w:hAnsi="Times New Roman"/>
          <w:sz w:val="18"/>
          <w:szCs w:val="18"/>
          <w:color w:val="auto"/>
        </w:rPr>
        <w:t>. If Executive’s employment terminates without Cause pursuant to Section 3(a)(iv), and such termination without Cause occurs prior to a Change in Control or more than eighteen (18) months following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79" w:lineRule="exact"/>
        <w:rPr>
          <w:rFonts w:ascii="Times New Roman" w:cs="Times New Roman" w:eastAsia="Times New Roman" w:hAnsi="Times New Roman"/>
          <w:sz w:val="18"/>
          <w:szCs w:val="18"/>
          <w:color w:val="auto"/>
        </w:rPr>
      </w:pPr>
    </w:p>
    <w:p>
      <w:pPr>
        <w:ind w:left="442" w:right="60" w:firstLine="405"/>
        <w:spacing w:after="0" w:line="274" w:lineRule="auto"/>
        <w:tabs>
          <w:tab w:leader="none" w:pos="1068" w:val="left"/>
        </w:tabs>
        <w:numPr>
          <w:ilvl w:val="2"/>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0.75 times Executive’s Annual Base Salary as in effect immediately prior to the Date of Termination, payable in a lump sum on the first regular payroll date following the effective date of Executive’s Release (as defined below);</w:t>
      </w:r>
    </w:p>
    <w:p>
      <w:pPr>
        <w:spacing w:after="0" w:line="97"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82"/>
          </w:cols>
          <w:pgMar w:left="538" w:top="267" w:right="579" w:bottom="1440" w:gutter="0" w:footer="0" w:header="0"/>
        </w:sectPr>
      </w:pPr>
    </w:p>
    <w:bookmarkStart w:id="591" w:name="page592"/>
    <w:bookmarkEnd w:id="591"/>
    <w:p>
      <w:pPr>
        <w:ind w:left="442" w:right="220" w:firstLine="405"/>
        <w:spacing w:after="0" w:line="255" w:lineRule="auto"/>
        <w:tabs>
          <w:tab w:leader="none" w:pos="111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 amount in cash equal to the Target Bonus (and without regard to any reduction in the Target Bonus that resulted in Executive’s resignation with Good Reason), prorated to reflect the portion of the year in which the Date of Termination occurs that has elapsed prior to the Date of Termination, payable in a lump sum on the first regular payroll date following the effective date of Executive’s Release (but in no event later than March 15 of the calendar year following the year in which Executive’s Date of Termination occurs);</w:t>
      </w:r>
    </w:p>
    <w:p>
      <w:pPr>
        <w:spacing w:after="0" w:line="74" w:lineRule="exact"/>
        <w:rPr>
          <w:rFonts w:ascii="Times New Roman" w:cs="Times New Roman" w:eastAsia="Times New Roman" w:hAnsi="Times New Roman"/>
          <w:sz w:val="18"/>
          <w:szCs w:val="18"/>
          <w:color w:val="auto"/>
        </w:rPr>
      </w:pPr>
    </w:p>
    <w:p>
      <w:pPr>
        <w:ind w:left="442" w:right="140" w:firstLine="405"/>
        <w:spacing w:after="0" w:line="265" w:lineRule="auto"/>
        <w:tabs>
          <w:tab w:leader="none" w:pos="1166" w:val="left"/>
        </w:tabs>
        <w:numPr>
          <w:ilvl w:val="1"/>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then the Company shall directly pay, or reimburse Executive for, the COBRA premiums for Executive and Executive’s covered dependents under such plans during the period commencing on Executive’s Separation from Service and ending upon the earliest of (A) the last day of the nine (9) month period following the Date of Termination, (B) the date that Executive and/or Executive’s covered dependents become no longer eligible for COBRA or</w:t>
      </w:r>
    </w:p>
    <w:p>
      <w:pPr>
        <w:ind w:left="442" w:right="100" w:hanging="10"/>
        <w:spacing w:after="0" w:line="246" w:lineRule="auto"/>
        <w:tabs>
          <w:tab w:leader="none" w:pos="722"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18"/>
          <w:szCs w:val="18"/>
          <w:u w:val="single" w:color="auto"/>
          <w:color w:val="auto"/>
        </w:rPr>
        <w:t>COBRA Continuation Period</w:t>
      </w:r>
      <w:r>
        <w:rPr>
          <w:rFonts w:ascii="Times New Roman" w:cs="Times New Roman" w:eastAsia="Times New Roman" w:hAnsi="Times New Roman"/>
          <w:sz w:val="18"/>
          <w:szCs w:val="18"/>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COBRA Continuation Period; and</w:t>
      </w:r>
    </w:p>
    <w:p>
      <w:pPr>
        <w:spacing w:after="0" w:line="85" w:lineRule="exact"/>
        <w:rPr>
          <w:rFonts w:ascii="Times New Roman" w:cs="Times New Roman" w:eastAsia="Times New Roman" w:hAnsi="Times New Roman"/>
          <w:sz w:val="18"/>
          <w:szCs w:val="18"/>
          <w:color w:val="auto"/>
        </w:rPr>
      </w:pPr>
    </w:p>
    <w:p>
      <w:pPr>
        <w:ind w:left="442" w:firstLine="405"/>
        <w:spacing w:after="0" w:line="250" w:lineRule="auto"/>
        <w:tabs>
          <w:tab w:leader="none" w:pos="1156"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number of the outstanding, unvested Company equity awards held by Executive under any Company equity compensation plans as would have vested during the nine (9) months following the date of Executive’s Separation from Service had Executive continued in employment or service with the Company during such period shall immediately become vested on the effectiveness of the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performance-based equity award will remain subject to attainment of the relevant performance goals during such nine (9) months following the date of Executive’s Separation from Service unless a more favorable or alternative provision is contained in an applicable award agreement, and to the extent such performance goals are not attained prior to such deadline, such performance-based equity awards shall not vest pursuant to this clause (iv) and shall be forfeited.</w:t>
      </w:r>
    </w:p>
    <w:p>
      <w:pPr>
        <w:spacing w:after="0" w:line="187" w:lineRule="exact"/>
        <w:rPr>
          <w:sz w:val="20"/>
          <w:szCs w:val="20"/>
          <w:color w:val="auto"/>
        </w:rPr>
      </w:pPr>
    </w:p>
    <w:p>
      <w:pPr>
        <w:ind w:left="2" w:right="60" w:firstLine="430"/>
        <w:spacing w:after="0" w:line="272" w:lineRule="auto"/>
        <w:tabs>
          <w:tab w:leader="none" w:pos="674" w:val="left"/>
        </w:tabs>
        <w:numPr>
          <w:ilvl w:val="1"/>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In lieu of the payments and benefits set forth in Section 4(b), in the event Executive’s employment terminates without Cause pursuant to Section 3(a)(iv), or pursuant to Section 3(a)(v) due to Executive’s resignation with Good Reason, in either case, on or within eighteen</w:t>
      </w:r>
    </w:p>
    <w:p>
      <w:pPr>
        <w:ind w:left="342" w:hanging="342"/>
        <w:spacing w:after="0"/>
        <w:tabs>
          <w:tab w:leader="none" w:pos="342"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date of a Change in Control, then subject to Sections 3(e), 4(d) and 9(k), and Executive’s continued compliance with the</w:t>
      </w:r>
    </w:p>
    <w:p>
      <w:pPr>
        <w:spacing w:after="0" w:line="5" w:lineRule="exact"/>
        <w:rPr>
          <w:rFonts w:ascii="Times New Roman" w:cs="Times New Roman" w:eastAsia="Times New Roman" w:hAnsi="Times New Roman"/>
          <w:sz w:val="18"/>
          <w:szCs w:val="18"/>
          <w:color w:val="auto"/>
        </w:rPr>
      </w:pPr>
    </w:p>
    <w:p>
      <w:pPr>
        <w:ind w:left="2"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this Agreement (including, without limitation, Section 5), the Company shall pay Executive, in addition to the Accrued Obligations set forth in Section 3(c), the following:</w:t>
      </w:r>
    </w:p>
    <w:p>
      <w:pPr>
        <w:spacing w:after="0" w:line="77" w:lineRule="exact"/>
        <w:rPr>
          <w:rFonts w:ascii="Times New Roman" w:cs="Times New Roman" w:eastAsia="Times New Roman" w:hAnsi="Times New Roman"/>
          <w:sz w:val="18"/>
          <w:szCs w:val="18"/>
          <w:color w:val="auto"/>
        </w:rPr>
      </w:pPr>
    </w:p>
    <w:p>
      <w:pPr>
        <w:ind w:left="442" w:right="140" w:firstLine="405"/>
        <w:spacing w:after="0" w:line="259" w:lineRule="auto"/>
        <w:tabs>
          <w:tab w:leader="none" w:pos="1068" w:val="left"/>
        </w:tabs>
        <w:numPr>
          <w:ilvl w:val="2"/>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0.75 times Executive’s Annual Base Salary as in effect immediately prior to the Date of Termination (and without regard to any reduction in Annual Base Salary that resulted in Executive’s resignation with Good Reason), payable in a lump sum on the first regular payroll date following the effective date of Executive’s Release;</w:t>
      </w:r>
    </w:p>
    <w:p>
      <w:pPr>
        <w:spacing w:after="0" w:line="11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2"/>
          </w:cols>
          <w:pgMar w:left="538" w:top="267" w:right="559" w:bottom="1440" w:gutter="0" w:footer="0" w:header="0"/>
        </w:sectPr>
      </w:pPr>
    </w:p>
    <w:bookmarkStart w:id="592" w:name="page593"/>
    <w:bookmarkEnd w:id="592"/>
    <w:p>
      <w:pPr>
        <w:ind w:left="440" w:right="100" w:firstLine="405"/>
        <w:spacing w:after="0" w:line="259" w:lineRule="auto"/>
        <w:tabs>
          <w:tab w:leader="none" w:pos="1115"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 amount in cash equal to the Target Bonus (and without regard to any reduction in the Target Bonus that resulted in Executive’s resignation with Good Reason), payable in a lump sum on the first regular payroll date following the effective date of Executive’s Release (but in no event later than March 15 of the calendar year following the year in which Executive’s Date of Termination occurs);</w:t>
      </w:r>
    </w:p>
    <w:p>
      <w:pPr>
        <w:spacing w:after="0" w:line="71" w:lineRule="exact"/>
        <w:rPr>
          <w:rFonts w:ascii="Times New Roman" w:cs="Times New Roman" w:eastAsia="Times New Roman" w:hAnsi="Times New Roman"/>
          <w:sz w:val="18"/>
          <w:szCs w:val="18"/>
          <w:color w:val="auto"/>
        </w:rPr>
      </w:pPr>
    </w:p>
    <w:p>
      <w:pPr>
        <w:ind w:left="440" w:firstLine="405"/>
        <w:spacing w:after="0" w:line="248" w:lineRule="auto"/>
        <w:tabs>
          <w:tab w:leader="none" w:pos="1164"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during the period commencing on Executive’s Separation from Service and ending upon the earliest of (A) the last day of the nine (9)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18"/>
          <w:szCs w:val="18"/>
          <w:u w:val="single" w:color="auto"/>
          <w:color w:val="auto"/>
        </w:rPr>
        <w:t>CIC COBRA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CIC COBRA Continuation Period; and</w:t>
      </w:r>
    </w:p>
    <w:p>
      <w:pPr>
        <w:spacing w:after="0" w:line="81" w:lineRule="exact"/>
        <w:rPr>
          <w:rFonts w:ascii="Times New Roman" w:cs="Times New Roman" w:eastAsia="Times New Roman" w:hAnsi="Times New Roman"/>
          <w:sz w:val="18"/>
          <w:szCs w:val="18"/>
          <w:color w:val="auto"/>
        </w:rPr>
      </w:pPr>
    </w:p>
    <w:p>
      <w:pPr>
        <w:ind w:left="440" w:right="20" w:firstLine="405"/>
        <w:spacing w:after="0" w:line="271" w:lineRule="auto"/>
        <w:tabs>
          <w:tab w:leader="none" w:pos="1154" w:val="left"/>
        </w:tabs>
        <w:numPr>
          <w:ilvl w:val="1"/>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outstanding, unvested Company equity awards held by Executive under any Company equity compensation plans shall immediately become 100% vested on the effectiveness of the Release,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performance-based equity award will remain subject to attainment of the relevant performance goals on or prior to the deadline for attainment of such goals as set forth in the applicable award agreement unless a more favorable or alternative provision is contained in an applicable award agreement, and to the extent such performance goals are not attained prior to such deadline, such performance-based equity awards shall not vest pursuant to this clause (iv) and shall be forfeited.</w:t>
      </w:r>
    </w:p>
    <w:p>
      <w:pPr>
        <w:spacing w:after="0" w:line="168" w:lineRule="exact"/>
        <w:rPr>
          <w:rFonts w:ascii="Times New Roman" w:cs="Times New Roman" w:eastAsia="Times New Roman" w:hAnsi="Times New Roman"/>
          <w:sz w:val="17"/>
          <w:szCs w:val="17"/>
          <w:color w:val="auto"/>
        </w:rPr>
      </w:pPr>
    </w:p>
    <w:p>
      <w:pPr>
        <w:ind w:firstLine="430"/>
        <w:spacing w:after="0" w:line="251" w:lineRule="auto"/>
        <w:tabs>
          <w:tab w:leader="none" w:pos="682"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Notwithstanding the foregoing, it shall be a condition to the Executive’s right to receive the amounts provided for in Sections 4(b) and 4(c) hereof that the Executive execute and deliver to the Company an effective release of claims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within twenty-one (21) days (or, to the extent required by law, forty-five (45) days) following the Date of Termination and that the Executive not revoke such Release during any applicable revocation period. For the avoidance of doubt, all equity awards eligible for accelerated vesting pursuant to this Section 4 shall remain outstanding and eligible to vest following the Date of Termination and shall actually vest and become exercisable (if applicable) and non-forfeitable upon the effectiveness of the Release.</w:t>
      </w:r>
    </w:p>
    <w:p>
      <w:pPr>
        <w:spacing w:after="0" w:line="185" w:lineRule="exact"/>
        <w:rPr>
          <w:rFonts w:ascii="Times New Roman" w:cs="Times New Roman" w:eastAsia="Times New Roman" w:hAnsi="Times New Roman"/>
          <w:sz w:val="18"/>
          <w:szCs w:val="18"/>
          <w:color w:val="auto"/>
        </w:rPr>
      </w:pPr>
    </w:p>
    <w:p>
      <w:pPr>
        <w:ind w:right="60" w:firstLine="430"/>
        <w:spacing w:after="0" w:line="251" w:lineRule="auto"/>
        <w:tabs>
          <w:tab w:leader="none" w:pos="672"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In the event of a termination of Executive’s employment with the Company, Executive’s sole remedy shall be to receive the payments and benefits described in this Section 4. In addition, Executive acknowledges and agrees that he is not entitled to any reimbursement by the Company for any taxes payable by Executive as a result of the payments and benefits received by Executive pursuant to this Section 4, including, without limitation, any excise tax imposed by Section 4999 of the Code. Any payments made to Executive under this Section 4 shall be inclusive of any amounts or benefits to which Executive may be entitled pursuant to the Worker Adjustment and Retraining Notification Act, 29 U.S.C. Sections 2101 et seq., and the Department of Labor regulations thereunder, or any similar state statute.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0"/>
          </w:cols>
          <w:pgMar w:left="540" w:top="266" w:right="559" w:bottom="1440" w:gutter="0" w:footer="0" w:header="0"/>
        </w:sectPr>
      </w:pPr>
    </w:p>
    <w:bookmarkStart w:id="593" w:name="page594"/>
    <w:bookmarkEnd w:id="593"/>
    <w:p>
      <w:pPr>
        <w:ind w:left="182" w:hanging="182"/>
        <w:spacing w:after="0"/>
        <w:tabs>
          <w:tab w:leader="none" w:pos="182"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Covenants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right="40" w:firstLine="430"/>
        <w:spacing w:after="0" w:line="255" w:lineRule="auto"/>
        <w:tabs>
          <w:tab w:leader="none" w:pos="674"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his commencement of employment, Executive shall enter into the Company’s standard form of agreement containing confidentiality, intellectual property assignment and other protective covenants (the “</w:t>
      </w: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xml:space="preserve">”), which is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Executive shall be bound by the terms and conditions of the Restrictive Covenant Agreement, and hereby agrees that such agreement shall be additional to, and not in limitation of, the covenants contained in this Section 5.</w:t>
      </w:r>
    </w:p>
    <w:p>
      <w:pPr>
        <w:spacing w:after="0" w:line="180" w:lineRule="exact"/>
        <w:rPr>
          <w:rFonts w:ascii="Times New Roman" w:cs="Times New Roman" w:eastAsia="Times New Roman" w:hAnsi="Times New Roman"/>
          <w:sz w:val="18"/>
          <w:szCs w:val="18"/>
          <w:color w:val="auto"/>
        </w:rPr>
      </w:pPr>
    </w:p>
    <w:p>
      <w:pPr>
        <w:ind w:left="2" w:right="40" w:firstLine="430"/>
        <w:spacing w:after="0" w:line="250" w:lineRule="auto"/>
        <w:tabs>
          <w:tab w:leader="none" w:pos="684"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shall hold in a fiduciary capacity for the benefit of the Company all secret or confidential information, knowledge or data relating to the Company and its subsidiaries and affiliates, which shall have been obtained by Executive in connection with Executive’s employment by the Company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Executive receives actual notice that Executive is or may be required by law or legal process to communicate or divulge any such information, knowledge or data, Executive shall promptly so notify the Company.</w:t>
      </w:r>
    </w:p>
    <w:p>
      <w:pPr>
        <w:spacing w:after="0" w:line="186" w:lineRule="exact"/>
        <w:rPr>
          <w:rFonts w:ascii="Times New Roman" w:cs="Times New Roman" w:eastAsia="Times New Roman" w:hAnsi="Times New Roman"/>
          <w:sz w:val="18"/>
          <w:szCs w:val="18"/>
          <w:color w:val="auto"/>
        </w:rPr>
      </w:pPr>
    </w:p>
    <w:p>
      <w:pPr>
        <w:ind w:left="2" w:firstLine="430"/>
        <w:spacing w:after="0" w:line="250" w:lineRule="auto"/>
        <w:tabs>
          <w:tab w:leader="none" w:pos="674"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the Company, Executive shall not be engaged in any other business activity that would be competitive with the business of the Company and its subsidiaries or affiliates. In addition, while employed by the Company and for a period of twelve (12) months after the Date of Termination, Executive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Executive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w:t>
      </w:r>
    </w:p>
    <w:p>
      <w:pPr>
        <w:spacing w:after="0" w:line="186" w:lineRule="exact"/>
        <w:rPr>
          <w:rFonts w:ascii="Times New Roman" w:cs="Times New Roman" w:eastAsia="Times New Roman" w:hAnsi="Times New Roman"/>
          <w:sz w:val="18"/>
          <w:szCs w:val="18"/>
          <w:color w:val="auto"/>
        </w:rPr>
      </w:pPr>
    </w:p>
    <w:p>
      <w:pPr>
        <w:ind w:left="2" w:right="20" w:firstLine="430"/>
        <w:spacing w:after="0" w:line="269" w:lineRule="auto"/>
        <w:tabs>
          <w:tab w:leader="none" w:pos="684" w:val="left"/>
        </w:tabs>
        <w:numPr>
          <w:ilvl w:val="1"/>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5(f), during Executive’s service with the Company and thereafter, excepting any litigation between the Parties, (i) Executive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 and (ii) the Company agrees to instruct its directors and executive officers not to publish or disseminate, directly or indirectly, any statements, whether written or oral, that are or could be harmful to or reflect negatively on Executive’s personal or business reputation or business.</w:t>
      </w:r>
    </w:p>
    <w:p>
      <w:pPr>
        <w:spacing w:after="0" w:line="169" w:lineRule="exact"/>
        <w:rPr>
          <w:rFonts w:ascii="Times New Roman" w:cs="Times New Roman" w:eastAsia="Times New Roman" w:hAnsi="Times New Roman"/>
          <w:sz w:val="17"/>
          <w:szCs w:val="17"/>
          <w:color w:val="auto"/>
        </w:rPr>
      </w:pPr>
    </w:p>
    <w:p>
      <w:pPr>
        <w:ind w:left="2" w:right="20" w:firstLine="430"/>
        <w:spacing w:after="0" w:line="251" w:lineRule="auto"/>
        <w:tabs>
          <w:tab w:leader="none" w:pos="674"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of the fact that irreparable injury will result to the Company in the event of a breach by Executive of his obligations under Sections 5(a)-(d) hereof, that monetary damages for such breach would not be readily calculable, and that the Company would not have an adequate remedy at law therefor,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Executive and to cease the payment of any benefits under Section 4(b) or (c) above.</w:t>
      </w:r>
    </w:p>
    <w:p>
      <w:pPr>
        <w:spacing w:after="0" w:line="1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2"/>
          </w:cols>
          <w:pgMar w:left="538" w:top="265" w:right="559" w:bottom="1440" w:gutter="0" w:footer="0" w:header="0"/>
        </w:sectPr>
      </w:pPr>
    </w:p>
    <w:bookmarkStart w:id="594" w:name="page595"/>
    <w:bookmarkEnd w:id="594"/>
    <w:p>
      <w:pPr>
        <w:ind w:left="2" w:right="60" w:firstLine="430"/>
        <w:spacing w:after="0" w:line="263" w:lineRule="auto"/>
        <w:tabs>
          <w:tab w:leader="none" w:pos="655" w:val="left"/>
        </w:tabs>
        <w:numPr>
          <w:ilvl w:val="1"/>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Notwithstanding anything in this Agreement or the Restrictive Covenant Agreement or, if applicable, the Arbitration Agreement (as defined below) to the contrary, nothing contained in this Agreement shall prohibit either party (or either party’s attorney(s)) from (i) communicating directly with,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cs="Times New Roman" w:eastAsia="Times New Roman" w:hAnsi="Times New Roman"/>
          <w:sz w:val="17"/>
          <w:szCs w:val="17"/>
          <w:u w:val="single" w:color="auto"/>
          <w:color w:val="auto"/>
        </w:rPr>
        <w:t>NLRB</w:t>
      </w:r>
      <w:r>
        <w:rPr>
          <w:rFonts w:ascii="Times New Roman" w:cs="Times New Roman" w:eastAsia="Times New Roman" w:hAnsi="Times New Roman"/>
          <w:sz w:val="17"/>
          <w:szCs w:val="17"/>
          <w:color w:val="auto"/>
        </w:rPr>
        <w:t>”),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17"/>
          <w:szCs w:val="17"/>
          <w:u w:val="single" w:color="auto"/>
          <w:color w:val="auto"/>
        </w:rPr>
        <w:t>Government Agencies</w:t>
      </w:r>
      <w:r>
        <w:rPr>
          <w:rFonts w:ascii="Times New Roman" w:cs="Times New Roman" w:eastAsia="Times New Roman" w:hAnsi="Times New Roman"/>
          <w:sz w:val="17"/>
          <w:szCs w:val="17"/>
          <w:color w:val="auto"/>
        </w:rPr>
        <w:t>”), or making other disclosures that are protected under the whistleblower provisions of applicable law or regulation,</w:t>
      </w:r>
    </w:p>
    <w:p>
      <w:pPr>
        <w:spacing w:after="0" w:line="3" w:lineRule="exact"/>
        <w:rPr>
          <w:rFonts w:ascii="Times New Roman" w:cs="Times New Roman" w:eastAsia="Times New Roman" w:hAnsi="Times New Roman"/>
          <w:sz w:val="17"/>
          <w:szCs w:val="17"/>
          <w:color w:val="auto"/>
        </w:rPr>
      </w:pPr>
    </w:p>
    <w:p>
      <w:pPr>
        <w:ind w:left="2" w:hanging="2"/>
        <w:spacing w:after="0" w:line="261" w:lineRule="auto"/>
        <w:tabs>
          <w:tab w:leader="none" w:pos="262"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Further, nothing herein will prevent Executive from participating in activity permitted by Section 7 of the National Labor Relations Act or from filing an unfair labor practice charge with the NLRB.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 request of the anticipated testimony. Further, nothing in this Agreement prevents Executive from discussing or disclosing information about unlawful acts in the workplace, such as harassment or discrimination or any other conduct that Executive has reason to believe is unlawful.</w:t>
      </w:r>
    </w:p>
    <w:p>
      <w:pPr>
        <w:spacing w:after="0" w:line="289" w:lineRule="exact"/>
        <w:rPr>
          <w:sz w:val="20"/>
          <w:szCs w:val="20"/>
          <w:color w:val="auto"/>
        </w:rPr>
      </w:pPr>
    </w:p>
    <w:p>
      <w:pPr>
        <w:ind w:left="182" w:hanging="182"/>
        <w:spacing w:after="0"/>
        <w:tabs>
          <w:tab w:leader="none" w:pos="182"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 and Successors</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ind w:left="2" w:right="20" w:firstLine="432"/>
        <w:spacing w:after="0" w:line="250" w:lineRule="auto"/>
        <w:rPr>
          <w:sz w:val="20"/>
          <w:szCs w:val="20"/>
          <w:color w:val="auto"/>
        </w:rPr>
      </w:pPr>
      <w:r>
        <w:rPr>
          <w:rFonts w:ascii="Times New Roman" w:cs="Times New Roman" w:eastAsia="Times New Roman" w:hAnsi="Times New Roman"/>
          <w:sz w:val="18"/>
          <w:szCs w:val="18"/>
          <w:color w:val="auto"/>
        </w:rPr>
        <w:t>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02"/>
          </w:cols>
          <w:pgMar w:left="538" w:top="267" w:right="559" w:bottom="1440" w:gutter="0" w:footer="0" w:header="0"/>
        </w:sectPr>
      </w:pPr>
    </w:p>
    <w:bookmarkStart w:id="595" w:name="page596"/>
    <w:bookmarkEnd w:id="595"/>
    <w:p>
      <w:pPr>
        <w:ind w:left="182" w:hanging="182"/>
        <w:spacing w:after="0"/>
        <w:tabs>
          <w:tab w:leader="none" w:pos="182"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Certain Definitions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682" w:hanging="250"/>
        <w:spacing w:after="0"/>
        <w:tabs>
          <w:tab w:leader="none" w:pos="682"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Company shall have “Cause” to terminate Executive’s employment hereunder upon:</w:t>
      </w:r>
    </w:p>
    <w:p>
      <w:pPr>
        <w:spacing w:after="0" w:line="111" w:lineRule="exact"/>
        <w:rPr>
          <w:rFonts w:ascii="Times New Roman" w:cs="Times New Roman" w:eastAsia="Times New Roman" w:hAnsi="Times New Roman"/>
          <w:sz w:val="18"/>
          <w:szCs w:val="18"/>
          <w:color w:val="auto"/>
        </w:rPr>
      </w:pPr>
    </w:p>
    <w:p>
      <w:pPr>
        <w:ind w:left="2" w:right="120" w:firstLine="971"/>
        <w:spacing w:after="0" w:line="255" w:lineRule="auto"/>
        <w:tabs>
          <w:tab w:leader="none" w:pos="1186" w:val="left"/>
        </w:tabs>
        <w:numPr>
          <w:ilvl w:val="2"/>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failure by Executive to substantially perform Executive’s duties with the Company (other than any such failure resulting from incapacity due to physical or mental illness), after a written demand for substantial performance is delivered to Executive by the Company or an affiliate that specifically identifies the alleged manner in which Executive has not substantially performed Executive’s duties and after Executive has been provided with a thirty (30) day cure period, or Executive’s deliberate violation of a Company policy;</w:t>
      </w:r>
    </w:p>
    <w:p>
      <w:pPr>
        <w:spacing w:after="0" w:line="180" w:lineRule="exact"/>
        <w:rPr>
          <w:rFonts w:ascii="Times New Roman" w:cs="Times New Roman" w:eastAsia="Times New Roman" w:hAnsi="Times New Roman"/>
          <w:sz w:val="18"/>
          <w:szCs w:val="18"/>
          <w:color w:val="auto"/>
        </w:rPr>
      </w:pPr>
    </w:p>
    <w:p>
      <w:pPr>
        <w:ind w:left="2" w:firstLine="971"/>
        <w:spacing w:after="0" w:line="274" w:lineRule="auto"/>
        <w:tabs>
          <w:tab w:leader="none" w:pos="1235" w:val="left"/>
        </w:tabs>
        <w:numPr>
          <w:ilvl w:val="2"/>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engaging by Executive in illegal conduct or misconduct (including fraud, embezzlement, theft or dishonesty or material violation of any Company policy), or gross negligence, in any case that has caused or is reasonably expected to result in injury to the Company or any affiliate;</w:t>
      </w:r>
    </w:p>
    <w:p>
      <w:pPr>
        <w:spacing w:after="0" w:line="163" w:lineRule="exact"/>
        <w:rPr>
          <w:rFonts w:ascii="Times New Roman" w:cs="Times New Roman" w:eastAsia="Times New Roman" w:hAnsi="Times New Roman"/>
          <w:sz w:val="18"/>
          <w:szCs w:val="18"/>
          <w:color w:val="auto"/>
        </w:rPr>
      </w:pPr>
    </w:p>
    <w:p>
      <w:pPr>
        <w:ind w:left="1282" w:hanging="309"/>
        <w:spacing w:after="0"/>
        <w:tabs>
          <w:tab w:leader="none" w:pos="1282" w:val="left"/>
        </w:tabs>
        <w:numPr>
          <w:ilvl w:val="2"/>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or plea of no contest to, a felony or any misdemeanor crime involving fraud, moral turpitude or</w:t>
      </w:r>
    </w:p>
    <w:p>
      <w:pPr>
        <w:spacing w:after="0" w:line="24"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dishonesty;</w:t>
      </w:r>
    </w:p>
    <w:p>
      <w:pPr>
        <w:spacing w:after="0" w:line="197" w:lineRule="exact"/>
        <w:rPr>
          <w:rFonts w:ascii="Times New Roman" w:cs="Times New Roman" w:eastAsia="Times New Roman" w:hAnsi="Times New Roman"/>
          <w:sz w:val="18"/>
          <w:szCs w:val="18"/>
          <w:color w:val="auto"/>
        </w:rPr>
      </w:pPr>
    </w:p>
    <w:p>
      <w:pPr>
        <w:ind w:left="1282" w:hanging="309"/>
        <w:spacing w:after="0"/>
        <w:tabs>
          <w:tab w:leader="none" w:pos="1282" w:val="left"/>
        </w:tabs>
        <w:numPr>
          <w:ilvl w:val="2"/>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breach of any written agreement or restrictive covenants with the Company; or</w:t>
      </w:r>
    </w:p>
    <w:p>
      <w:pPr>
        <w:spacing w:after="0" w:line="217" w:lineRule="exact"/>
        <w:rPr>
          <w:rFonts w:ascii="Times New Roman" w:cs="Times New Roman" w:eastAsia="Times New Roman" w:hAnsi="Times New Roman"/>
          <w:sz w:val="18"/>
          <w:szCs w:val="18"/>
          <w:color w:val="auto"/>
        </w:rPr>
      </w:pPr>
    </w:p>
    <w:p>
      <w:pPr>
        <w:ind w:left="2" w:right="140" w:firstLine="971"/>
        <w:spacing w:after="0" w:line="274" w:lineRule="auto"/>
        <w:tabs>
          <w:tab w:leader="none" w:pos="1225" w:val="left"/>
        </w:tabs>
        <w:numPr>
          <w:ilvl w:val="2"/>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violation of any law, rule or regulation relating in any way to the business or activities of the Company or any affiliate, or other law, rule or regulation that is violated, during the course of Executive’s performance of services hereunder that results in Executive’s regulatory suspension or disqualification, including, without limitation, the Generic Drug Enforcement Act of 1992, 21 U.S.C. § 335(a), or any similar legislation applicable in the United States or in any other country where the Company or any affiliate intends to develop its activities.</w:t>
      </w:r>
    </w:p>
    <w:p>
      <w:pPr>
        <w:spacing w:after="0" w:line="167" w:lineRule="exact"/>
        <w:rPr>
          <w:sz w:val="20"/>
          <w:szCs w:val="20"/>
          <w:color w:val="auto"/>
        </w:rPr>
      </w:pPr>
    </w:p>
    <w:p>
      <w:pPr>
        <w:jc w:val="both"/>
        <w:ind w:left="2" w:right="160" w:firstLine="432"/>
        <w:spacing w:after="0" w:line="259" w:lineRule="auto"/>
        <w:rPr>
          <w:sz w:val="20"/>
          <w:szCs w:val="20"/>
          <w:color w:val="auto"/>
        </w:rPr>
      </w:pPr>
      <w:r>
        <w:rPr>
          <w:rFonts w:ascii="Times New Roman" w:cs="Times New Roman" w:eastAsia="Times New Roman" w:hAnsi="Times New Roman"/>
          <w:sz w:val="18"/>
          <w:szCs w:val="18"/>
          <w:color w:val="auto"/>
        </w:rPr>
        <w:t>No action or inaction based upon direction of the Board or advice of counsel to the Company shall constitute Cause. Poor performance shall not, in and of itself, constitute Cause. No termination of Executive’s employment for Cause shall occur absent a resolution of the Board and the reasonable opportunity for Executive (with Executive’s counsel) to be heard before the Board.</w:t>
      </w:r>
    </w:p>
    <w:p>
      <w:pPr>
        <w:spacing w:after="0" w:line="178" w:lineRule="exact"/>
        <w:rPr>
          <w:sz w:val="20"/>
          <w:szCs w:val="20"/>
          <w:color w:val="auto"/>
        </w:rPr>
      </w:pPr>
    </w:p>
    <w:p>
      <w:pPr>
        <w:ind w:left="682" w:hanging="250"/>
        <w:spacing w:after="0"/>
        <w:tabs>
          <w:tab w:leader="none" w:pos="682"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Plan, as in effect on the Effective Date.</w:t>
      </w:r>
    </w:p>
    <w:p>
      <w:pPr>
        <w:spacing w:after="0" w:line="217" w:lineRule="exact"/>
        <w:rPr>
          <w:rFonts w:ascii="Times New Roman" w:cs="Times New Roman" w:eastAsia="Times New Roman" w:hAnsi="Times New Roman"/>
          <w:sz w:val="18"/>
          <w:szCs w:val="18"/>
          <w:color w:val="auto"/>
        </w:rPr>
      </w:pPr>
    </w:p>
    <w:p>
      <w:pPr>
        <w:ind w:left="682" w:hanging="250"/>
        <w:spacing w:after="0"/>
        <w:tabs>
          <w:tab w:leader="none" w:pos="682"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and the regulations and guidance promulgated thereunder.</w:t>
      </w:r>
    </w:p>
    <w:p>
      <w:pPr>
        <w:spacing w:after="0" w:line="217" w:lineRule="exact"/>
        <w:rPr>
          <w:rFonts w:ascii="Times New Roman" w:cs="Times New Roman" w:eastAsia="Times New Roman" w:hAnsi="Times New Roman"/>
          <w:sz w:val="18"/>
          <w:szCs w:val="18"/>
          <w:color w:val="auto"/>
        </w:rPr>
      </w:pPr>
    </w:p>
    <w:p>
      <w:pPr>
        <w:ind w:left="2" w:right="20" w:firstLine="430"/>
        <w:spacing w:after="0" w:line="259" w:lineRule="auto"/>
        <w:tabs>
          <w:tab w:leader="none" w:pos="68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shall mean (i) if Executive’s employment is terminated by Executive’s death, the date of Executive’s death; or (ii) if Executive’s employment is terminated pursuant to Sections 3(a)(ii)-(vi) either the date indicated in the Notice of Termination or the date specified by the Company pursuant to Section 3(b), whichever is earlier.</w:t>
      </w:r>
    </w:p>
    <w:p>
      <w:pPr>
        <w:spacing w:after="0" w:line="177" w:lineRule="exact"/>
        <w:rPr>
          <w:rFonts w:ascii="Times New Roman" w:cs="Times New Roman" w:eastAsia="Times New Roman" w:hAnsi="Times New Roman"/>
          <w:sz w:val="18"/>
          <w:szCs w:val="18"/>
          <w:color w:val="auto"/>
        </w:rPr>
      </w:pPr>
    </w:p>
    <w:p>
      <w:pPr>
        <w:ind w:left="2" w:firstLine="430"/>
        <w:spacing w:after="0" w:line="249" w:lineRule="auto"/>
        <w:tabs>
          <w:tab w:leader="none" w:pos="67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shall mean, at any time the Company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reasonable accommodation, the essential functions of Executive’s positions hereunder for a total of one hundred eighty (180) days within a twelve (12) month period as a result of incapacity due to mental or physical illness as determined by a physician selected by the Company</w:t>
      </w:r>
    </w:p>
    <w:p>
      <w:pPr>
        <w:spacing w:after="0" w:line="12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02"/>
          </w:cols>
          <w:pgMar w:left="538" w:top="265" w:right="559" w:bottom="1440" w:gutter="0" w:footer="0" w:header="0"/>
        </w:sectPr>
      </w:pPr>
    </w:p>
    <w:bookmarkStart w:id="596" w:name="page597"/>
    <w:bookmarkEnd w:id="596"/>
    <w:p>
      <w:pPr>
        <w:ind w:left="2" w:right="16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78" w:lineRule="exact"/>
        <w:rPr>
          <w:sz w:val="20"/>
          <w:szCs w:val="20"/>
          <w:color w:val="auto"/>
        </w:rPr>
      </w:pPr>
    </w:p>
    <w:p>
      <w:pPr>
        <w:ind w:left="2" w:right="160" w:firstLine="430"/>
        <w:spacing w:after="0" w:line="264" w:lineRule="auto"/>
        <w:tabs>
          <w:tab w:leader="none" w:pos="655" w:val="left"/>
        </w:tabs>
        <w:numPr>
          <w:ilvl w:val="1"/>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For the sole purpose of determining Executive’s right to severance payments and benefits as described above, Executive’s resignation will be with “</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if Executive resigns within one hundred twenty (120) days after any of the following events, unless Executive expressly consents in writing to the applicable event: (i) a reduction in Executive’s Annual Base Salary or Target Bonus, other than a reduction of less than ten percent (10%) (aggregating all prior reductions) that is implemented in connection with a contemporaneous reduction in annual base salaries affecting other senior executives of the Company; (ii) a material decrease in Executive’s authority or areas of responsibility as are commensurate with Executive’s title or position with the Company; (iii) the relocation of Executive’s primary working location to a location that is more than fifty</w:t>
      </w:r>
    </w:p>
    <w:p>
      <w:pPr>
        <w:spacing w:after="0" w:line="1" w:lineRule="exact"/>
        <w:rPr>
          <w:rFonts w:ascii="Times New Roman" w:cs="Times New Roman" w:eastAsia="Times New Roman" w:hAnsi="Times New Roman"/>
          <w:sz w:val="17"/>
          <w:szCs w:val="17"/>
          <w:color w:val="auto"/>
        </w:rPr>
      </w:pPr>
    </w:p>
    <w:p>
      <w:pPr>
        <w:ind w:left="2" w:hanging="2"/>
        <w:spacing w:after="0" w:line="247" w:lineRule="auto"/>
        <w:tabs>
          <w:tab w:leader="none" w:pos="34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 from Executive’s home office in Worcester, Massachusetts as of the Effective Date; or (iv)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w:t>
      </w:r>
    </w:p>
    <w:p>
      <w:pPr>
        <w:spacing w:after="0" w:line="292" w:lineRule="exact"/>
        <w:rPr>
          <w:sz w:val="20"/>
          <w:szCs w:val="20"/>
          <w:color w:val="auto"/>
        </w:rPr>
      </w:pPr>
    </w:p>
    <w:p>
      <w:pPr>
        <w:ind w:left="182" w:hanging="182"/>
        <w:spacing w:after="0"/>
        <w:tabs>
          <w:tab w:leader="none" w:pos="182"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Parachute Payments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right="20" w:firstLine="430"/>
        <w:spacing w:after="0" w:line="261" w:lineRule="auto"/>
        <w:tabs>
          <w:tab w:leader="none" w:pos="674" w:val="left"/>
        </w:tabs>
        <w:numPr>
          <w:ilvl w:val="1"/>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Best Pay Provision</w:t>
      </w:r>
      <w:r>
        <w:rPr>
          <w:rFonts w:ascii="Times New Roman" w:cs="Times New Roman" w:eastAsia="Times New Roman" w:hAnsi="Times New Roman"/>
          <w:sz w:val="17"/>
          <w:szCs w:val="17"/>
          <w:color w:val="auto"/>
        </w:rPr>
        <w:t>. In the event that any payment or benefit received or to be received by Executive pursuant to the terms of any plan, arrangement or agreement (including any payment or benefit received in connection with a change in ownership or control or the termination of Executive’s employment) (all such payments and benefits being hereinafter referred to as the “</w:t>
      </w:r>
      <w:r>
        <w:rPr>
          <w:rFonts w:ascii="Times New Roman" w:cs="Times New Roman" w:eastAsia="Times New Roman" w:hAnsi="Times New Roman"/>
          <w:sz w:val="17"/>
          <w:szCs w:val="17"/>
          <w:u w:val="single" w:color="auto"/>
          <w:color w:val="auto"/>
        </w:rPr>
        <w:t>Total Payments</w:t>
      </w:r>
      <w:r>
        <w:rPr>
          <w:rFonts w:ascii="Times New Roman" w:cs="Times New Roman" w:eastAsia="Times New Roman" w:hAnsi="Times New Roman"/>
          <w:sz w:val="17"/>
          <w:szCs w:val="17"/>
          <w:color w:val="auto"/>
        </w:rPr>
        <w:t>”) would be subject (in whole or part) to the excise tax (the “</w:t>
      </w:r>
      <w:r>
        <w:rPr>
          <w:rFonts w:ascii="Times New Roman" w:cs="Times New Roman" w:eastAsia="Times New Roman" w:hAnsi="Times New Roman"/>
          <w:sz w:val="17"/>
          <w:szCs w:val="17"/>
          <w:u w:val="single" w:color="auto"/>
          <w:color w:val="auto"/>
        </w:rPr>
        <w:t>Excise Tax</w:t>
      </w:r>
      <w:r>
        <w:rPr>
          <w:rFonts w:ascii="Times New Roman" w:cs="Times New Roman" w:eastAsia="Times New Roman" w:hAnsi="Times New Roman"/>
          <w:sz w:val="17"/>
          <w:szCs w:val="17"/>
          <w:color w:val="auto"/>
        </w:rPr>
        <w:t xml:space="preserve">”) imposed under Section 4999 of the Code, then the Total Payments shall be reduced to the extent necessary so that no portion of the Total Payments is subject to the Excise Tax but only if (i)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sentence shall not apply if, immediately before the change in ownership or control on which such Total Payments are contingent or otherwise relate, no stock in the Company is readily tradeable on an established securities market or otherwise (as determined in accordance with Treasury Reg. Section 1.280G-1 Q&amp;A 6). Except to the extent that an alternative reduction order would result in a greater economic benefit to Executive on an after-tax basis, the Parties intend that the Total Payments shall be reduced in the following order: (w) reduction of any cash severance payments otherwise payable to Executive that are exempt from Section 409A of the Code,</w:t>
      </w:r>
    </w:p>
    <w:p>
      <w:pPr>
        <w:spacing w:after="0" w:line="11" w:lineRule="exact"/>
        <w:rPr>
          <w:rFonts w:ascii="Times New Roman" w:cs="Times New Roman" w:eastAsia="Times New Roman" w:hAnsi="Times New Roman"/>
          <w:sz w:val="17"/>
          <w:szCs w:val="17"/>
          <w:color w:val="auto"/>
        </w:rPr>
      </w:pPr>
    </w:p>
    <w:p>
      <w:pPr>
        <w:ind w:left="2" w:right="100"/>
        <w:spacing w:after="0" w:line="24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reduction of any other cash payments or benefits otherwise payable to Executive that are exempt from Section 409A of the Code, but excluding any payment attributable to the acceleration of vesting or payment with respect to any equity award that is exempt from Section 409A of the Code,</w:t>
      </w:r>
    </w:p>
    <w:p>
      <w:pPr>
        <w:spacing w:after="0" w:line="1" w:lineRule="exact"/>
        <w:rPr>
          <w:rFonts w:ascii="Times New Roman" w:cs="Times New Roman" w:eastAsia="Times New Roman" w:hAnsi="Times New Roman"/>
          <w:sz w:val="17"/>
          <w:szCs w:val="17"/>
          <w:color w:val="auto"/>
        </w:rPr>
      </w:pPr>
    </w:p>
    <w:p>
      <w:pPr>
        <w:ind w:left="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reduction of any other payments or benefits otherwise payable to Executive on a pro-rata basis or such other manner that complies with</w:t>
      </w:r>
    </w:p>
    <w:p>
      <w:pPr>
        <w:spacing w:after="0" w:line="5" w:lineRule="exact"/>
        <w:rPr>
          <w:rFonts w:ascii="Times New Roman" w:cs="Times New Roman" w:eastAsia="Times New Roman" w:hAnsi="Times New Roman"/>
          <w:sz w:val="17"/>
          <w:szCs w:val="17"/>
          <w:color w:val="auto"/>
        </w:rPr>
      </w:pPr>
    </w:p>
    <w:p>
      <w:pPr>
        <w:ind w:left="2" w:right="2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409A of the Code, but excluding any payment attributable to the acceleration of vesting and payment with respect to any equity award that is exempt from Section 409A of the Code, and (z) reduction of any payments attributable to the acceleration of vesting or payment with</w:t>
      </w:r>
    </w:p>
    <w:p>
      <w:pPr>
        <w:spacing w:after="0" w:line="1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2"/>
          </w:cols>
          <w:pgMar w:left="538" w:top="267" w:right="559" w:bottom="1440" w:gutter="0" w:footer="0" w:header="0"/>
        </w:sectPr>
      </w:pPr>
    </w:p>
    <w:bookmarkStart w:id="597" w:name="page598"/>
    <w:bookmarkEnd w:id="597"/>
    <w:p>
      <w:pPr>
        <w:ind w:left="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respect to any equity award that is exempt from Section 409A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case of clauses (x), (y) and (z), that reduction of any payments or benefits attributable to the acceleration of vesting of Company equity awards shall be first applied to equity awards with later vesting dates;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notwithstanding the foregoing, any such reduction shall be undertaken in a manner that complies with and does not result in the imposition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additional taxes on Executive under Section 409A of the Code. The foregoing reductions shall be made in a manner that results in the maximum economic benefit to Executive on an after-tax basis and, to the extent economically equivalent payments or benefits are subject to reduction, in a pro rata manner.</w:t>
      </w:r>
    </w:p>
    <w:p>
      <w:pPr>
        <w:spacing w:after="0" w:line="187" w:lineRule="exact"/>
        <w:rPr>
          <w:sz w:val="20"/>
          <w:szCs w:val="20"/>
          <w:color w:val="auto"/>
        </w:rPr>
      </w:pPr>
    </w:p>
    <w:p>
      <w:pPr>
        <w:ind w:left="2" w:right="120" w:firstLine="430"/>
        <w:spacing w:after="0" w:line="272" w:lineRule="auto"/>
        <w:tabs>
          <w:tab w:leader="none" w:pos="684" w:val="left"/>
        </w:tabs>
        <w:numPr>
          <w:ilvl w:val="1"/>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Determinations</w:t>
      </w:r>
      <w:r>
        <w:rPr>
          <w:rFonts w:ascii="Times New Roman" w:cs="Times New Roman" w:eastAsia="Times New Roman" w:hAnsi="Times New Roman"/>
          <w:sz w:val="17"/>
          <w:szCs w:val="17"/>
          <w:color w:val="auto"/>
        </w:rPr>
        <w:t>. All determinations regarding the application of this Section 8 shall be made by an independent accounting firm or consulting group with nationally recognized standing and substantial expertise and experience in performing calculations regarding the applicability of</w:t>
      </w:r>
    </w:p>
    <w:p>
      <w:pPr>
        <w:ind w:left="2"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280G of the Code and the Excise Tax retained by the Company prior to the date of the applicable change in ownership or control (the “</w:t>
      </w:r>
      <w:r>
        <w:rPr>
          <w:rFonts w:ascii="Times New Roman" w:cs="Times New Roman" w:eastAsia="Times New Roman" w:hAnsi="Times New Roman"/>
          <w:sz w:val="17"/>
          <w:szCs w:val="17"/>
          <w:u w:val="single" w:color="auto"/>
          <w:color w:val="auto"/>
        </w:rPr>
        <w:t>280G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Firm</w:t>
      </w:r>
      <w:r>
        <w:rPr>
          <w:rFonts w:ascii="Times New Roman" w:cs="Times New Roman" w:eastAsia="Times New Roman" w:hAnsi="Times New Roman"/>
          <w:sz w:val="17"/>
          <w:szCs w:val="17"/>
          <w:color w:val="auto"/>
        </w:rPr>
        <w:t>”). For purposes of determining whether and the extent to which the Total Payments will be subject to the Excise Tax, (i)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 compensation, (ii) no portion of the Total Payments the receipt or enjoyment of which Executive shall have waived at such time and in such manner as not to constitute a “payment” within the meaning of Section 280G(b) of the Code shall be taken into account, and</w:t>
      </w:r>
    </w:p>
    <w:p>
      <w:pPr>
        <w:spacing w:after="0" w:line="1" w:lineRule="exact"/>
        <w:rPr>
          <w:rFonts w:ascii="Times New Roman" w:cs="Times New Roman" w:eastAsia="Times New Roman" w:hAnsi="Times New Roman"/>
          <w:sz w:val="17"/>
          <w:szCs w:val="17"/>
          <w:color w:val="auto"/>
        </w:rPr>
      </w:pPr>
    </w:p>
    <w:p>
      <w:pPr>
        <w:ind w:left="2" w:right="20" w:hanging="2"/>
        <w:spacing w:after="0" w:line="263" w:lineRule="auto"/>
        <w:tabs>
          <w:tab w:leader="none" w:pos="311"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“Section 280G Treatment” section shall be done by the 280G Firm. The 280G Firm will be directed to submit its determination and detailed supporting calculations to both Executive and the Company within fifteen (15) days after notification from either the Company or Executive that Executive may receive payments which may be “parachute payments.” Executive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174" w:lineRule="exact"/>
        <w:rPr>
          <w:rFonts w:ascii="Times New Roman" w:cs="Times New Roman" w:eastAsia="Times New Roman" w:hAnsi="Times New Roman"/>
          <w:sz w:val="17"/>
          <w:szCs w:val="17"/>
          <w:color w:val="auto"/>
        </w:rPr>
      </w:pPr>
    </w:p>
    <w:p>
      <w:pPr>
        <w:ind w:left="2" w:right="60" w:firstLine="430"/>
        <w:spacing w:after="0" w:line="248" w:lineRule="auto"/>
        <w:tabs>
          <w:tab w:leader="none" w:pos="674"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w:t>
      </w:r>
      <w:r>
        <w:rPr>
          <w:rFonts w:ascii="Times New Roman" w:cs="Times New Roman" w:eastAsia="Times New Roman" w:hAnsi="Times New Roman"/>
          <w:sz w:val="18"/>
          <w:szCs w:val="18"/>
          <w:color w:val="auto"/>
        </w:rPr>
        <w:t>. Notwithstanding the foregoing, if any portion of the Total Payments would not be subject to the Excise Tax if the stockholder approval requirements of Section 280G(b)(5) of the Code are satisfied, subject to Executive’s waiver of the rights to such portion of the Total Payments above the safe harbor threshold in accordance with 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Executive under this Agreement or otherwise to the Company’s stockholders for approval in accordance with Treasury Reg. Section 1.280G-1 Q&amp;A 7, the foregoing provisions under this Section 8 shall not apply following such submission and such payments and benefits will be treated in accordance with the results of such vote, except that any reduction in, or waiver above the safe harbor threshold of, such payments or benefits required by such vote will be applied without any application of discretion by Executive and in the order prescribed in Section 8(a).</w:t>
      </w:r>
    </w:p>
    <w:p>
      <w:pPr>
        <w:spacing w:after="0" w:line="12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02"/>
          </w:cols>
          <w:pgMar w:left="538" w:top="265" w:right="559" w:bottom="1440" w:gutter="0" w:footer="0" w:header="0"/>
        </w:sectPr>
      </w:pPr>
    </w:p>
    <w:bookmarkStart w:id="598" w:name="page599"/>
    <w:bookmarkEnd w:id="598"/>
    <w:p>
      <w:pPr>
        <w:ind w:left="182" w:hanging="182"/>
        <w:spacing w:after="0"/>
        <w:tabs>
          <w:tab w:leader="none" w:pos="182" w:val="left"/>
        </w:tabs>
        <w:numPr>
          <w:ilvl w:val="0"/>
          <w:numId w:val="4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Miscellaneous Provisions</w:t>
      </w:r>
      <w:r>
        <w:rPr>
          <w:rFonts w:ascii="Times New Roman" w:cs="Times New Roman" w:eastAsia="Times New Roman" w:hAnsi="Times New Roman"/>
          <w:sz w:val="18"/>
          <w:szCs w:val="18"/>
          <w:b w:val="1"/>
          <w:bCs w:val="1"/>
          <w:color w:val="auto"/>
        </w:rPr>
        <w:t>.</w:t>
      </w:r>
    </w:p>
    <w:p>
      <w:pPr>
        <w:spacing w:after="0" w:line="113" w:lineRule="exact"/>
        <w:rPr>
          <w:rFonts w:ascii="Times New Roman" w:cs="Times New Roman" w:eastAsia="Times New Roman" w:hAnsi="Times New Roman"/>
          <w:sz w:val="18"/>
          <w:szCs w:val="18"/>
          <w:b w:val="1"/>
          <w:bCs w:val="1"/>
          <w:color w:val="auto"/>
        </w:rPr>
      </w:pPr>
    </w:p>
    <w:p>
      <w:pPr>
        <w:ind w:left="2" w:firstLine="430"/>
        <w:spacing w:after="0" w:line="250" w:lineRule="auto"/>
        <w:tabs>
          <w:tab w:leader="none" w:pos="674"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 Any suit brought hereon shall be brought in the state or federal courts sitting in the Commonwealth of Massachusetts, the parties hereto hereby waiving any claim or defense that such forum is not convenient or proper. Each party hereby agrees that any such court shall have in personam jurisdiction over it and consents to service of process in any manner authorized by Massachusetts law.</w:t>
      </w:r>
    </w:p>
    <w:p>
      <w:pPr>
        <w:spacing w:after="0" w:line="186" w:lineRule="exact"/>
        <w:rPr>
          <w:rFonts w:ascii="Times New Roman" w:cs="Times New Roman" w:eastAsia="Times New Roman" w:hAnsi="Times New Roman"/>
          <w:sz w:val="18"/>
          <w:szCs w:val="18"/>
          <w:color w:val="auto"/>
        </w:rPr>
      </w:pPr>
    </w:p>
    <w:p>
      <w:pPr>
        <w:ind w:left="2" w:right="260" w:firstLine="430"/>
        <w:spacing w:after="0" w:line="274" w:lineRule="auto"/>
        <w:tabs>
          <w:tab w:leader="none" w:pos="684"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63" w:lineRule="exact"/>
        <w:rPr>
          <w:rFonts w:ascii="Times New Roman" w:cs="Times New Roman" w:eastAsia="Times New Roman" w:hAnsi="Times New Roman"/>
          <w:sz w:val="18"/>
          <w:szCs w:val="18"/>
          <w:color w:val="auto"/>
        </w:rPr>
      </w:pPr>
    </w:p>
    <w:p>
      <w:pPr>
        <w:ind w:left="2" w:right="60" w:firstLine="430"/>
        <w:spacing w:after="0" w:line="304" w:lineRule="auto"/>
        <w:tabs>
          <w:tab w:leader="none" w:pos="674" w:val="left"/>
        </w:tabs>
        <w:numPr>
          <w:ilvl w:val="1"/>
          <w:numId w:val="4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claim, demand, document, and other communication hereunder to any Party shall be effective upon receipt (or refusal of receipt) and shall be in writing and delivered personally or sent by facsimile, email or certified or registered mail, postage prepaid, as follows:</w:t>
      </w:r>
    </w:p>
    <w:p>
      <w:pPr>
        <w:spacing w:after="0" w:line="34" w:lineRule="exact"/>
        <w:rPr>
          <w:rFonts w:ascii="Times New Roman" w:cs="Times New Roman" w:eastAsia="Times New Roman" w:hAnsi="Times New Roman"/>
          <w:sz w:val="17"/>
          <w:szCs w:val="17"/>
          <w:color w:val="auto"/>
        </w:rPr>
      </w:pPr>
    </w:p>
    <w:p>
      <w:pPr>
        <w:ind w:left="1062" w:hanging="215"/>
        <w:spacing w:after="0"/>
        <w:tabs>
          <w:tab w:leader="none" w:pos="1062"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CEO of the Company at the Company’s headquarters,</w:t>
      </w:r>
    </w:p>
    <w:p>
      <w:pPr>
        <w:spacing w:after="0" w:line="111" w:lineRule="exact"/>
        <w:rPr>
          <w:rFonts w:ascii="Times New Roman" w:cs="Times New Roman" w:eastAsia="Times New Roman" w:hAnsi="Times New Roman"/>
          <w:sz w:val="18"/>
          <w:szCs w:val="18"/>
          <w:color w:val="auto"/>
        </w:rPr>
      </w:pPr>
    </w:p>
    <w:p>
      <w:pPr>
        <w:ind w:left="1102" w:hanging="255"/>
        <w:spacing w:after="0"/>
        <w:tabs>
          <w:tab w:leader="none" w:pos="1102"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Executive, to the last address that the Company has in its personnel records for Executive, or</w:t>
      </w:r>
    </w:p>
    <w:p>
      <w:pPr>
        <w:spacing w:after="0" w:line="111" w:lineRule="exact"/>
        <w:rPr>
          <w:rFonts w:ascii="Times New Roman" w:cs="Times New Roman" w:eastAsia="Times New Roman" w:hAnsi="Times New Roman"/>
          <w:sz w:val="18"/>
          <w:szCs w:val="18"/>
          <w:color w:val="auto"/>
        </w:rPr>
      </w:pPr>
    </w:p>
    <w:p>
      <w:pPr>
        <w:ind w:left="1162" w:hanging="315"/>
        <w:spacing w:after="0"/>
        <w:tabs>
          <w:tab w:leader="none" w:pos="1162"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other address as any Party shall have specified by notice in writing to the other Party.</w:t>
      </w:r>
    </w:p>
    <w:p>
      <w:pPr>
        <w:spacing w:after="0" w:line="217" w:lineRule="exact"/>
        <w:rPr>
          <w:rFonts w:ascii="Times New Roman" w:cs="Times New Roman" w:eastAsia="Times New Roman" w:hAnsi="Times New Roman"/>
          <w:sz w:val="18"/>
          <w:szCs w:val="18"/>
          <w:color w:val="auto"/>
        </w:rPr>
      </w:pPr>
    </w:p>
    <w:p>
      <w:pPr>
        <w:ind w:left="2" w:right="440" w:firstLine="430"/>
        <w:spacing w:after="0" w:line="304" w:lineRule="auto"/>
        <w:tabs>
          <w:tab w:leader="none" w:pos="684" w:val="left"/>
        </w:tabs>
        <w:numPr>
          <w:ilvl w:val="1"/>
          <w:numId w:val="4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40" w:lineRule="exact"/>
        <w:rPr>
          <w:rFonts w:ascii="Times New Roman" w:cs="Times New Roman" w:eastAsia="Times New Roman" w:hAnsi="Times New Roman"/>
          <w:sz w:val="17"/>
          <w:szCs w:val="17"/>
          <w:color w:val="auto"/>
        </w:rPr>
      </w:pPr>
    </w:p>
    <w:p>
      <w:pPr>
        <w:ind w:left="2" w:firstLine="430"/>
        <w:spacing w:after="0" w:line="251" w:lineRule="auto"/>
        <w:tabs>
          <w:tab w:leader="none" w:pos="674"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of this Agreement, the Restrictive Covenant Agreement incorporated herein by reference as set forth in Section 5, and any Release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the Restrictive Covenant Agreement incorporated herein by reference as set forth in Section 5, and any Release shall constitute the complete and exclusive statement of their terms and that no extrinsic evidence whatsoever may be introduced in any judicial, administrative, or other legal proceeding to vary the terms of such agreements.</w:t>
      </w:r>
    </w:p>
    <w:p>
      <w:pPr>
        <w:spacing w:after="0" w:line="185" w:lineRule="exact"/>
        <w:rPr>
          <w:rFonts w:ascii="Times New Roman" w:cs="Times New Roman" w:eastAsia="Times New Roman" w:hAnsi="Times New Roman"/>
          <w:sz w:val="18"/>
          <w:szCs w:val="18"/>
          <w:color w:val="auto"/>
        </w:rPr>
      </w:pPr>
    </w:p>
    <w:p>
      <w:pPr>
        <w:ind w:left="2" w:right="40" w:firstLine="430"/>
        <w:spacing w:after="0" w:line="251" w:lineRule="auto"/>
        <w:tabs>
          <w:tab w:leader="none" w:pos="655"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02"/>
          </w:cols>
          <w:pgMar w:left="538" w:top="265" w:right="559" w:bottom="1440" w:gutter="0" w:footer="0" w:header="0"/>
        </w:sectPr>
      </w:pPr>
    </w:p>
    <w:bookmarkStart w:id="599" w:name="page600"/>
    <w:bookmarkEnd w:id="599"/>
    <w:p>
      <w:pPr>
        <w:ind w:left="-20" w:right="40" w:firstLine="430"/>
        <w:spacing w:after="0" w:line="249" w:lineRule="auto"/>
        <w:tabs>
          <w:tab w:leader="none" w:pos="662"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Construction</w:t>
      </w:r>
      <w:r>
        <w:rPr>
          <w:rFonts w:ascii="Times New Roman" w:cs="Times New Roman" w:eastAsia="Times New Roman" w:hAnsi="Times New Roman"/>
          <w:sz w:val="18"/>
          <w:szCs w:val="18"/>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7" w:lineRule="exact"/>
        <w:rPr>
          <w:rFonts w:ascii="Times New Roman" w:cs="Times New Roman" w:eastAsia="Times New Roman" w:hAnsi="Times New Roman"/>
          <w:sz w:val="18"/>
          <w:szCs w:val="18"/>
          <w:color w:val="auto"/>
        </w:rPr>
      </w:pPr>
    </w:p>
    <w:p>
      <w:pPr>
        <w:ind w:left="-20" w:firstLine="430"/>
        <w:spacing w:after="0" w:line="248" w:lineRule="auto"/>
        <w:tabs>
          <w:tab w:leader="none" w:pos="662"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the event of any dispute or claim relating to, or arising out of Executive’s employment relationship with the Company or its affiliates, including, but not limited, claims of wrongful termination, age, race, gender, disability or other discrimination—but not including claims for sexual harassment or sexual assault—Executive and the Company agree that all such disputes shall be fully and finally resolved by binding arbitration conducted before a single neutral arbitrator pursuant to the rules for arbitration of employment disputes by the American Arbitration Association (available at www.adr.org) in the Commonwealth of Massachusetts.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of law on which the award is based. By executing this Agreement, the Parties are both waiving the right to a jury trial with respect to any such disputes. The Company shall bear the costs of the arbitrator, forum and filing fees. Each Party shall bear its own respective attorney fees and all other costs, unless provided by law and awarded by the arbitrator.</w:t>
      </w:r>
    </w:p>
    <w:p>
      <w:pPr>
        <w:spacing w:after="0" w:line="193" w:lineRule="exact"/>
        <w:rPr>
          <w:rFonts w:ascii="Times New Roman" w:cs="Times New Roman" w:eastAsia="Times New Roman" w:hAnsi="Times New Roman"/>
          <w:sz w:val="18"/>
          <w:szCs w:val="18"/>
          <w:color w:val="auto"/>
        </w:rPr>
      </w:pPr>
    </w:p>
    <w:p>
      <w:pPr>
        <w:ind w:left="-20" w:right="60" w:firstLine="430"/>
        <w:spacing w:after="0" w:line="251" w:lineRule="auto"/>
        <w:tabs>
          <w:tab w:leader="none" w:pos="623"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5" w:lineRule="exact"/>
        <w:rPr>
          <w:rFonts w:ascii="Times New Roman" w:cs="Times New Roman" w:eastAsia="Times New Roman" w:hAnsi="Times New Roman"/>
          <w:sz w:val="18"/>
          <w:szCs w:val="18"/>
          <w:color w:val="auto"/>
        </w:rPr>
      </w:pPr>
    </w:p>
    <w:p>
      <w:pPr>
        <w:ind w:left="-20" w:right="80" w:firstLine="430"/>
        <w:spacing w:after="0" w:line="259" w:lineRule="auto"/>
        <w:tabs>
          <w:tab w:leader="none" w:pos="623"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7" w:lineRule="exact"/>
        <w:rPr>
          <w:rFonts w:ascii="Times New Roman" w:cs="Times New Roman" w:eastAsia="Times New Roman" w:hAnsi="Times New Roman"/>
          <w:sz w:val="18"/>
          <w:szCs w:val="18"/>
          <w:color w:val="auto"/>
        </w:rPr>
      </w:pPr>
    </w:p>
    <w:p>
      <w:pPr>
        <w:ind w:left="660" w:hanging="250"/>
        <w:spacing w:after="0"/>
        <w:tabs>
          <w:tab w:leader="none" w:pos="6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420" w:right="140" w:firstLine="405"/>
        <w:spacing w:after="0" w:line="253" w:lineRule="auto"/>
        <w:tabs>
          <w:tab w:leader="none" w:pos="1046"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intent of the Parties is that the payments and benefits under this Agreement comply with or be exempt from Section 409A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accordingly, to the maximum extent permitted, this Agreement shall be interpreted to be in compliance therewith. If the Company and Executive agree in good faith that the payments and benefits under this Agreement would not comply with Section 409A, the Parties hereto shall reasonably and in good faith attempt to modify this Agreement to comply with Section 409A while endeavoring to maintain the intended economic benefits hereunder.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80"/>
          </w:cols>
          <w:pgMar w:left="560" w:top="266" w:right="559" w:bottom="1440" w:gutter="0" w:footer="0" w:header="0"/>
        </w:sectPr>
      </w:pPr>
    </w:p>
    <w:bookmarkStart w:id="600" w:name="page601"/>
    <w:bookmarkEnd w:id="600"/>
    <w:p>
      <w:pPr>
        <w:ind w:left="442" w:right="40" w:firstLine="405"/>
        <w:spacing w:after="0" w:line="250" w:lineRule="auto"/>
        <w:tabs>
          <w:tab w:leader="none" w:pos="1117"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Separation from Service. </w:t>
      </w:r>
      <w:r>
        <w:rPr>
          <w:rFonts w:ascii="Times New Roman" w:cs="Times New Roman" w:eastAsia="Times New Roman" w:hAnsi="Times New Roman"/>
          <w:sz w:val="18"/>
          <w:szCs w:val="18"/>
          <w:color w:val="auto"/>
        </w:rPr>
        <w:t>Notwithstanding anything in this Agreement to the contrary, (A) any compensation or benefits payable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and (B) in the event that, with respect to the amounts payable under Sections 4(b) or 4(c), the timing of the delivery of Executive’s Release could cause such amounts to begin in one or another taxable year, to the extent such amounts are subject to Section 409A, then notwithstanding the payment timing set forth in such Sections, such amounts shall not be payable until the later of (1) the payment date specified in such Section or (2) the first business day of the taxable year following Executive’s Separation from Service.</w:t>
      </w:r>
    </w:p>
    <w:p>
      <w:pPr>
        <w:spacing w:after="0" w:line="80" w:lineRule="exact"/>
        <w:rPr>
          <w:rFonts w:ascii="Times New Roman" w:cs="Times New Roman" w:eastAsia="Times New Roman" w:hAnsi="Times New Roman"/>
          <w:sz w:val="18"/>
          <w:szCs w:val="18"/>
          <w:color w:val="auto"/>
        </w:rPr>
      </w:pPr>
    </w:p>
    <w:p>
      <w:pPr>
        <w:ind w:left="442" w:right="40" w:firstLine="405"/>
        <w:spacing w:after="0" w:line="254" w:lineRule="auto"/>
        <w:tabs>
          <w:tab w:leader="none" w:pos="1166"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Specified Employee. </w:t>
      </w:r>
      <w:r>
        <w:rPr>
          <w:rFonts w:ascii="Times New Roman" w:cs="Times New Roman" w:eastAsia="Times New Roman" w:hAnsi="Times New Roman"/>
          <w:sz w:val="18"/>
          <w:szCs w:val="18"/>
          <w:color w:val="auto"/>
        </w:rPr>
        <w:t>Notwithstanding anything in this Agreement to the contrary, if Executive is deemed by the Company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Separation from Service to be a “specified employee” for purposes of Section 409A, to the extent delayed commencement of any portion of the benefits to which Executive is entitled under this Agreement is required in order to avoid a prohibited distribution under</w:t>
      </w:r>
    </w:p>
    <w:p>
      <w:pPr>
        <w:ind w:left="442"/>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such portion of Executive’s benefits shall not be provided to Executive prior to the earlier of (x) the expiration of the six-month period measured from the date of Executive’s Separation from Service with the Company or (y)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79" w:lineRule="exact"/>
        <w:rPr>
          <w:rFonts w:ascii="Times New Roman" w:cs="Times New Roman" w:eastAsia="Times New Roman" w:hAnsi="Times New Roman"/>
          <w:sz w:val="18"/>
          <w:szCs w:val="18"/>
          <w:color w:val="auto"/>
        </w:rPr>
      </w:pPr>
    </w:p>
    <w:p>
      <w:pPr>
        <w:ind w:left="442" w:right="100" w:firstLine="405"/>
        <w:spacing w:after="0" w:line="251" w:lineRule="auto"/>
        <w:tabs>
          <w:tab w:leader="none" w:pos="1156"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Expense Reimbursements. </w:t>
      </w:r>
      <w:r>
        <w:rPr>
          <w:rFonts w:ascii="Times New Roman" w:cs="Times New Roman" w:eastAsia="Times New Roman" w:hAnsi="Times New Roman"/>
          <w:sz w:val="18"/>
          <w:szCs w:val="18"/>
          <w:color w:val="auto"/>
        </w:rPr>
        <w:t>To the extent that any reimbursements under this Agreement are subject to Section 409A, (A)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79" w:lineRule="exact"/>
        <w:rPr>
          <w:rFonts w:ascii="Times New Roman" w:cs="Times New Roman" w:eastAsia="Times New Roman" w:hAnsi="Times New Roman"/>
          <w:sz w:val="18"/>
          <w:szCs w:val="18"/>
          <w:color w:val="auto"/>
        </w:rPr>
      </w:pPr>
    </w:p>
    <w:p>
      <w:pPr>
        <w:ind w:left="442" w:right="80" w:firstLine="405"/>
        <w:spacing w:after="0" w:line="253" w:lineRule="auto"/>
        <w:tabs>
          <w:tab w:leader="none" w:pos="1107"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Installments. </w:t>
      </w:r>
      <w:r>
        <w:rPr>
          <w:rFonts w:ascii="Times New Roman" w:cs="Times New Roman" w:eastAsia="Times New Roman" w:hAnsi="Times New Roman"/>
          <w:sz w:val="18"/>
          <w:szCs w:val="18"/>
          <w:color w:val="auto"/>
        </w:rPr>
        <w:t>Executive’s right to receive any installment payments under this Agreement, including without limitation any continuation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83" w:lineRule="exact"/>
        <w:rPr>
          <w:rFonts w:ascii="Times New Roman" w:cs="Times New Roman" w:eastAsia="Times New Roman" w:hAnsi="Times New Roman"/>
          <w:sz w:val="18"/>
          <w:szCs w:val="18"/>
          <w:color w:val="auto"/>
        </w:rPr>
      </w:pPr>
    </w:p>
    <w:p>
      <w:pPr>
        <w:ind w:left="2" w:right="260" w:firstLine="430"/>
        <w:spacing w:after="0" w:line="274" w:lineRule="auto"/>
        <w:tabs>
          <w:tab w:leader="none" w:pos="64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Notwithstanding anything to the contrary in this Agreement, the provisions of Sections 5 through 9 will survive the termination of Executive’s employment and the termination of the Term.</w:t>
      </w:r>
    </w:p>
    <w:p>
      <w:pPr>
        <w:spacing w:after="0" w:line="267" w:lineRule="exact"/>
        <w:rPr>
          <w:sz w:val="20"/>
          <w:szCs w:val="20"/>
          <w:color w:val="auto"/>
        </w:rPr>
      </w:pPr>
    </w:p>
    <w:p>
      <w:pPr>
        <w:ind w:left="262" w:hanging="262"/>
        <w:spacing w:after="0"/>
        <w:tabs>
          <w:tab w:leader="none" w:pos="262" w:val="left"/>
        </w:tabs>
        <w:numPr>
          <w:ilvl w:val="0"/>
          <w:numId w:val="4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Executive Acknowledgement</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ind w:left="2" w:right="20" w:firstLine="432"/>
        <w:spacing w:after="0" w:line="259" w:lineRule="auto"/>
        <w:rPr>
          <w:sz w:val="20"/>
          <w:szCs w:val="20"/>
          <w:color w:val="auto"/>
        </w:rPr>
      </w:pPr>
      <w:r>
        <w:rPr>
          <w:rFonts w:ascii="Times New Roman" w:cs="Times New Roman" w:eastAsia="Times New Roman" w:hAnsi="Times New Roman"/>
          <w:sz w:val="18"/>
          <w:szCs w:val="18"/>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82"/>
          </w:cols>
          <w:pgMar w:left="538" w:top="265" w:right="579" w:bottom="1440" w:gutter="0" w:footer="0" w:header="0"/>
        </w:sectPr>
      </w:pPr>
    </w:p>
    <w:bookmarkStart w:id="601" w:name="page602"/>
    <w:bookmarkEnd w:id="6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Agreement on the date and year first above written.</w:t>
      </w:r>
    </w:p>
    <w:p>
      <w:pPr>
        <w:spacing w:after="0" w:line="24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254952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Arthur Kuan</w:t>
      </w:r>
    </w:p>
    <w:p>
      <w:pPr>
        <w:spacing w:after="0" w:line="1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/s/Vijay Kasturi,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14605</wp:posOffset>
            </wp:positionV>
            <wp:extent cx="274256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Print Name: Vijay Kasturi, M.D.</w:t>
      </w:r>
    </w:p>
    <w:p>
      <w:pPr>
        <w:spacing w:after="0" w:line="3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ectPr>
          <w:pgSz w:w="11900" w:h="16838" w:orient="portrait"/>
          <w:cols w:equalWidth="0" w:num="1">
            <w:col w:w="9479"/>
          </w:cols>
          <w:pgMar w:left="980" w:top="267" w:right="1440" w:bottom="1440" w:gutter="0" w:footer="0" w:header="0"/>
        </w:sectPr>
      </w:pPr>
    </w:p>
    <w:bookmarkStart w:id="602" w:name="page603"/>
    <w:bookmarkEnd w:id="60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A</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SEPARATION AGREEMENT AND RELEASE</w:t>
      </w:r>
    </w:p>
    <w:p>
      <w:pPr>
        <w:spacing w:after="0" w:line="219"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color w:val="auto"/>
        </w:rPr>
        <w:t>This Separation Agreement and Release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Vijay Kasturi, M.D.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CG Oncology,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(collectively referred to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individually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but not defined in this Agreement shall have the meanings set forth in the Employment Agreement (as defined below).</w:t>
      </w:r>
    </w:p>
    <w:p>
      <w:pPr>
        <w:spacing w:after="0" w:line="178" w:lineRule="exact"/>
        <w:rPr>
          <w:sz w:val="20"/>
          <w:szCs w:val="20"/>
          <w:color w:val="auto"/>
        </w:rPr>
      </w:pPr>
    </w:p>
    <w:p>
      <w:pPr>
        <w:ind w:right="560" w:firstLine="432"/>
        <w:spacing w:after="0" w:line="274" w:lineRule="auto"/>
        <w:rPr>
          <w:sz w:val="20"/>
          <w:szCs w:val="20"/>
          <w:color w:val="auto"/>
        </w:rPr>
      </w:pPr>
      <w:r>
        <w:rPr>
          <w:rFonts w:ascii="Times New Roman" w:cs="Times New Roman" w:eastAsia="Times New Roman" w:hAnsi="Times New Roman"/>
          <w:sz w:val="18"/>
          <w:szCs w:val="18"/>
          <w:color w:val="auto"/>
        </w:rPr>
        <w:t>WHEREAS, the Parties have previously entered into that certain Employment Agreement, dated as of August 14, 2023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that certain Restrictive Covenant Agreement (as defined in the Employment Agreement); and</w:t>
      </w:r>
    </w:p>
    <w:p>
      <w:pPr>
        <w:spacing w:after="0" w:line="163" w:lineRule="exact"/>
        <w:rPr>
          <w:sz w:val="20"/>
          <w:szCs w:val="20"/>
          <w:color w:val="auto"/>
        </w:rPr>
      </w:pPr>
    </w:p>
    <w:p>
      <w:pPr>
        <w:ind w:right="180" w:firstLine="432"/>
        <w:spacing w:after="0" w:line="272" w:lineRule="auto"/>
        <w:rPr>
          <w:sz w:val="20"/>
          <w:szCs w:val="20"/>
          <w:color w:val="auto"/>
        </w:rPr>
      </w:pPr>
      <w:r>
        <w:rPr>
          <w:rFonts w:ascii="Times New Roman" w:cs="Times New Roman" w:eastAsia="Times New Roman" w:hAnsi="Times New Roman"/>
          <w:sz w:val="17"/>
          <w:szCs w:val="17"/>
          <w:color w:val="auto"/>
        </w:rPr>
        <w:t>WHEREAS, in connection with Executive’s termination of employment with the Company or a subsidiary or affiliate of the Company effective [________], 20[__], the Parties wish to resolve any and all disputes, claims, complaints, grievances, charges, actions, petitions, and demands that</w:t>
      </w:r>
    </w:p>
    <w:p>
      <w:pPr>
        <w:spacing w:after="0" w:line="247" w:lineRule="auto"/>
        <w:rPr>
          <w:sz w:val="20"/>
          <w:szCs w:val="20"/>
          <w:color w:val="auto"/>
        </w:rPr>
      </w:pPr>
      <w:r>
        <w:rPr>
          <w:rFonts w:ascii="Times New Roman" w:cs="Times New Roman" w:eastAsia="Times New Roman" w:hAnsi="Times New Roman"/>
          <w:sz w:val="18"/>
          <w:szCs w:val="18"/>
          <w:color w:val="auto"/>
        </w:rPr>
        <w:t>Executive may have against the Company and any of the Releases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or liability insurance by the Company or any of its affiliates pursuant to contract or applicable law (collectively, the “</w:t>
      </w:r>
      <w:r>
        <w:rPr>
          <w:rFonts w:ascii="Times New Roman" w:cs="Times New Roman" w:eastAsia="Times New Roman" w:hAnsi="Times New Roman"/>
          <w:sz w:val="18"/>
          <w:szCs w:val="18"/>
          <w:u w:val="single" w:color="auto"/>
          <w:color w:val="auto"/>
        </w:rPr>
        <w:t>Retained Claims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20" w:firstLine="432"/>
        <w:spacing w:after="0" w:line="259" w:lineRule="auto"/>
        <w:rPr>
          <w:sz w:val="20"/>
          <w:szCs w:val="20"/>
          <w:color w:val="auto"/>
        </w:rPr>
      </w:pPr>
      <w:r>
        <w:rPr>
          <w:rFonts w:ascii="Times New Roman" w:cs="Times New Roman" w:eastAsia="Times New Roman" w:hAnsi="Times New Roman"/>
          <w:sz w:val="18"/>
          <w:szCs w:val="18"/>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72" w:lineRule="exact"/>
        <w:rPr>
          <w:sz w:val="20"/>
          <w:szCs w:val="20"/>
          <w:color w:val="auto"/>
        </w:rPr>
      </w:pPr>
    </w:p>
    <w:p>
      <w:pPr>
        <w:ind w:firstLine="430"/>
        <w:spacing w:after="0" w:line="252" w:lineRule="auto"/>
        <w:tabs>
          <w:tab w:leader="none" w:pos="609"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 and Benefits; Salary and Benefits</w:t>
      </w:r>
      <w:r>
        <w:rPr>
          <w:rFonts w:ascii="Times New Roman" w:cs="Times New Roman" w:eastAsia="Times New Roman" w:hAnsi="Times New Roman"/>
          <w:sz w:val="18"/>
          <w:szCs w:val="18"/>
          <w:color w:val="auto"/>
        </w:rPr>
        <w:t>. The Company agrees to provide Executive with the severance payments and benefits described in Section 4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the Accrued Obligations described in Section 3(c) of the Employment Agreement, subject to and in accordance with the terms thereof.</w:t>
      </w:r>
    </w:p>
    <w:p>
      <w:pPr>
        <w:spacing w:after="0" w:line="185" w:lineRule="exact"/>
        <w:rPr>
          <w:rFonts w:ascii="Times New Roman" w:cs="Times New Roman" w:eastAsia="Times New Roman" w:hAnsi="Times New Roman"/>
          <w:sz w:val="18"/>
          <w:szCs w:val="18"/>
          <w:color w:val="auto"/>
        </w:rPr>
      </w:pPr>
    </w:p>
    <w:p>
      <w:pPr>
        <w:ind w:right="40" w:firstLine="430"/>
        <w:spacing w:after="0" w:line="248" w:lineRule="auto"/>
        <w:tabs>
          <w:tab w:leader="none" w:pos="609"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Executive agrees that, other than with respect to the Retained Claims, the foregoing consideration represents settlement in full of all outstanding obligations owed to Executive by the Company, any of its direct or indirect subsidiaries, and any of its or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related to Executive’s employment with the Company or its subsidiaries or termination therefrom.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relating to Executive’s employment with the Company or its subsidiaries or termination therefrom, including, without limitation:</w:t>
      </w:r>
    </w:p>
    <w:p>
      <w:pPr>
        <w:sectPr>
          <w:pgSz w:w="11900" w:h="16838" w:orient="portrait"/>
          <w:cols w:equalWidth="0" w:num="1">
            <w:col w:w="10760"/>
          </w:cols>
          <w:pgMar w:left="540" w:top="265" w:right="599" w:bottom="1440" w:gutter="0" w:footer="0" w:header="0"/>
        </w:sectPr>
      </w:pPr>
    </w:p>
    <w:bookmarkStart w:id="603" w:name="page604"/>
    <w:bookmarkEnd w:id="603"/>
    <w:p>
      <w:pPr>
        <w:ind w:right="160" w:firstLine="971"/>
        <w:spacing w:after="0" w:line="274" w:lineRule="auto"/>
        <w:tabs>
          <w:tab w:leader="none" w:pos="1213"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any and all claims relating to or arising from Executive’s employment or service relationship with the Company or any of its direct or indirect subsidiaries and the termination of that relationship;</w:t>
      </w:r>
    </w:p>
    <w:p>
      <w:pPr>
        <w:spacing w:after="0" w:line="163" w:lineRule="exact"/>
        <w:rPr>
          <w:rFonts w:ascii="Times New Roman" w:cs="Times New Roman" w:eastAsia="Times New Roman" w:hAnsi="Times New Roman"/>
          <w:sz w:val="18"/>
          <w:szCs w:val="18"/>
          <w:color w:val="auto"/>
        </w:rPr>
      </w:pPr>
    </w:p>
    <w:p>
      <w:pPr>
        <w:jc w:val="both"/>
        <w:ind w:right="160" w:firstLine="971"/>
        <w:spacing w:after="0" w:line="259" w:lineRule="auto"/>
        <w:tabs>
          <w:tab w:leader="none" w:pos="1223"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77" w:lineRule="exact"/>
        <w:rPr>
          <w:rFonts w:ascii="Times New Roman" w:cs="Times New Roman" w:eastAsia="Times New Roman" w:hAnsi="Times New Roman"/>
          <w:sz w:val="18"/>
          <w:szCs w:val="18"/>
          <w:color w:val="auto"/>
        </w:rPr>
      </w:pPr>
    </w:p>
    <w:p>
      <w:pPr>
        <w:ind w:right="140" w:firstLine="971"/>
        <w:spacing w:after="0" w:line="252" w:lineRule="auto"/>
        <w:tabs>
          <w:tab w:leader="none" w:pos="1213"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5" w:lineRule="exact"/>
        <w:rPr>
          <w:rFonts w:ascii="Times New Roman" w:cs="Times New Roman" w:eastAsia="Times New Roman" w:hAnsi="Times New Roman"/>
          <w:sz w:val="18"/>
          <w:szCs w:val="18"/>
          <w:color w:val="auto"/>
        </w:rPr>
      </w:pPr>
    </w:p>
    <w:p>
      <w:pPr>
        <w:ind w:right="20" w:firstLine="971"/>
        <w:spacing w:after="0" w:line="266" w:lineRule="auto"/>
        <w:tabs>
          <w:tab w:leader="none" w:pos="1223" w:val="left"/>
        </w:tabs>
        <w:numPr>
          <w:ilvl w:val="1"/>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Massachusetts Fair Employment Practices Act; the Massachusetts Equal Rights Act; the Massachusetts Labor and Industry Code (Mass. Gen. Laws c. 149) (including without limitation the Massachusetts Payment of Wages Law (Mass. Gen. Laws c. 149, § 148) and the Massachusetts Non-Competition Agreement Act (Mass. Gen. Laws c. 149, § 24L)); the Massachusetts Minimum Fair Wages Law (Mass. Gen. Laws c. 151); and the Massachusetts Family and Medical Leave Act, each as amended, or any other federal, state or local statute or ordinance;</w:t>
      </w:r>
    </w:p>
    <w:p>
      <w:pPr>
        <w:spacing w:after="0" w:line="174" w:lineRule="exact"/>
        <w:rPr>
          <w:rFonts w:ascii="Times New Roman" w:cs="Times New Roman" w:eastAsia="Times New Roman" w:hAnsi="Times New Roman"/>
          <w:sz w:val="17"/>
          <w:szCs w:val="17"/>
          <w:color w:val="auto"/>
        </w:rPr>
      </w:pPr>
    </w:p>
    <w:p>
      <w:pPr>
        <w:ind w:left="1220" w:hanging="249"/>
        <w:spacing w:after="0"/>
        <w:tabs>
          <w:tab w:leader="none" w:pos="122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the federal or any state constitution;</w:t>
      </w:r>
    </w:p>
    <w:p>
      <w:pPr>
        <w:spacing w:after="0" w:line="217" w:lineRule="exact"/>
        <w:rPr>
          <w:rFonts w:ascii="Times New Roman" w:cs="Times New Roman" w:eastAsia="Times New Roman" w:hAnsi="Times New Roman"/>
          <w:sz w:val="18"/>
          <w:szCs w:val="18"/>
          <w:color w:val="auto"/>
        </w:rPr>
      </w:pPr>
    </w:p>
    <w:p>
      <w:pPr>
        <w:ind w:left="1200" w:hanging="229"/>
        <w:spacing w:after="0"/>
        <w:tabs>
          <w:tab w:leader="none" w:pos="120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out of any other laws and regulations relating to employment or employment discrimination;</w:t>
      </w:r>
    </w:p>
    <w:p>
      <w:pPr>
        <w:spacing w:after="0" w:line="217" w:lineRule="exact"/>
        <w:rPr>
          <w:rFonts w:ascii="Times New Roman" w:cs="Times New Roman" w:eastAsia="Times New Roman" w:hAnsi="Times New Roman"/>
          <w:sz w:val="18"/>
          <w:szCs w:val="18"/>
          <w:color w:val="auto"/>
        </w:rPr>
      </w:pPr>
    </w:p>
    <w:p>
      <w:pPr>
        <w:ind w:right="240" w:firstLine="971"/>
        <w:spacing w:after="0" w:line="274" w:lineRule="auto"/>
        <w:tabs>
          <w:tab w:leader="none" w:pos="1223"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any loss, cost, damage, or expense arising out of any dispute over the non-withholding or other tax treatment of any of the proceeds received by Executive as a result of this Agreement;</w:t>
      </w:r>
    </w:p>
    <w:p>
      <w:pPr>
        <w:spacing w:after="0" w:line="163" w:lineRule="exact"/>
        <w:rPr>
          <w:rFonts w:ascii="Times New Roman" w:cs="Times New Roman" w:eastAsia="Times New Roman" w:hAnsi="Times New Roman"/>
          <w:sz w:val="18"/>
          <w:szCs w:val="18"/>
          <w:color w:val="auto"/>
        </w:rPr>
      </w:pPr>
    </w:p>
    <w:p>
      <w:pPr>
        <w:ind w:right="180" w:firstLine="971"/>
        <w:spacing w:after="0" w:line="274" w:lineRule="auto"/>
        <w:tabs>
          <w:tab w:leader="none" w:pos="1223"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out of the wage and hour and wage payments laws and regulations of the state or states in which Executive has provided service to the Company or any of its affiliates; and</w:t>
      </w:r>
    </w:p>
    <w:p>
      <w:pPr>
        <w:spacing w:after="0" w:line="163" w:lineRule="exact"/>
        <w:rPr>
          <w:rFonts w:ascii="Times New Roman" w:cs="Times New Roman" w:eastAsia="Times New Roman" w:hAnsi="Times New Roman"/>
          <w:sz w:val="18"/>
          <w:szCs w:val="18"/>
          <w:color w:val="auto"/>
        </w:rPr>
      </w:pPr>
    </w:p>
    <w:p>
      <w:pPr>
        <w:ind w:left="1180" w:hanging="209"/>
        <w:spacing w:after="0"/>
        <w:tabs>
          <w:tab w:leader="none" w:pos="118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attorneys’ fees and costs.</w:t>
      </w:r>
    </w:p>
    <w:p>
      <w:pPr>
        <w:spacing w:after="0" w:line="217" w:lineRule="exact"/>
        <w:rPr>
          <w:sz w:val="20"/>
          <w:szCs w:val="20"/>
          <w:color w:val="auto"/>
        </w:rPr>
      </w:pPr>
    </w:p>
    <w:p>
      <w:pPr>
        <w:ind w:right="440" w:firstLine="432"/>
        <w:spacing w:after="0" w:line="274" w:lineRule="auto"/>
        <w:rPr>
          <w:sz w:val="20"/>
          <w:szCs w:val="20"/>
          <w:color w:val="auto"/>
        </w:rPr>
      </w:pPr>
      <w:r>
        <w:rPr>
          <w:rFonts w:ascii="Times New Roman" w:cs="Times New Roman" w:eastAsia="Times New Roman" w:hAnsi="Times New Roman"/>
          <w:sz w:val="18"/>
          <w:szCs w:val="18"/>
          <w:color w:val="auto"/>
        </w:rPr>
        <w:t>EXECUTIVE ACKNOWLEDGES THAT EXECUTIVE HAS BEEN ADVISED BY LEGAL COUNSEL AND IS FAMILIAR WITH THE PROVISIONS OF CALIFORNIA CIVIL CODE SECTION 1542, WHICH PROVIDES AS FOLLOWS:</w:t>
      </w:r>
    </w:p>
    <w:p>
      <w:pPr>
        <w:spacing w:after="0" w:line="57" w:lineRule="exact"/>
        <w:rPr>
          <w:sz w:val="20"/>
          <w:szCs w:val="20"/>
          <w:color w:val="auto"/>
        </w:rPr>
      </w:pPr>
    </w:p>
    <w:p>
      <w:pPr>
        <w:ind w:left="440"/>
        <w:spacing w:after="0" w:line="259"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540" w:top="266" w:right="559" w:bottom="1440" w:gutter="0" w:footer="0" w:header="0"/>
        </w:sectPr>
      </w:pPr>
    </w:p>
    <w:bookmarkStart w:id="604" w:name="page605"/>
    <w:bookmarkEnd w:id="604"/>
    <w:p>
      <w:pPr>
        <w:ind w:right="440" w:firstLine="432"/>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EXECUTIVE, BEING AWARE OF SAID CODE SECTION, HEREBY EXPRESSLY WAIVES ANY RIGHTS EXECUTIVE MAY HAVE THEREUNDER, AS WELL AS UNDER ANY OTHER STATUTES OR COMMON LAW PRINCIPLES OF SIMILAR EFFECT.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Executive agrees that the release set forth in this section shall be and remain in effect in all respects as a complete general release as to the matters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released. This release does not release claims that cannot be released as a matter of law, including, but not limited to, Executive’s right to report possible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of federal law or regulation to any governmental agency or entity in accordance with the provisions of and rules promulgated under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21F of the Securities Exchange Act of 1934 or Section 806 of the Sarbanes-Oxley Act of 2002, or any other whistleblower protection provisions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state or federal law or regulation and any right to receive an award for information provided thereunder, Executive’s right to file a charge with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 in a charge by the Equal Employment Opportunity Commission, or any other local, state, or federal administrative body or government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that is authorized to enforce or administer laws related to employment, against the Company for discrimination (with the understanding that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release of claims herein bars Executive from recovering such monetary relief from the Company or any Releasee for any alleged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discriminatory treatment), claims for unemployment compensation or any state disability insurance benefits pursuant to the terms of applicable state law,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claims to continued participation in certain of the Company’s group benefit plans pursuant to the terms and conditions of COBRA, claims for indemnity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bylaws of the Company, as provided for by Massachusetts or Delaware law or under any applicable insurance policy with respect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liability as an employee, director or officer of the Company, claims to any benefit entitlements vested as the date of separation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Executive’s employment, pursuant to written terms of any employee benefit plan of the Company or its affiliates and Executive’s right under applicable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 and any Retained Claims. This release further does not release claims for breach of Section 3(c) or Section 4 of the Employment Agreement. This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release does not prevent Executive from cooperating with an investigation conducted by any such governmental agencies, including without limitation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National Labor Relations Board (the “NLRB”). Nothing herein will prevent Executive from participating in an activity permitted by Section 7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Labor Relations Act or from filing an unfair labor practice charge with the NLRB.</w:t>
      </w:r>
    </w:p>
    <w:p>
      <w:pPr>
        <w:spacing w:after="0" w:line="198" w:lineRule="exact"/>
        <w:rPr>
          <w:sz w:val="20"/>
          <w:szCs w:val="20"/>
          <w:color w:val="auto"/>
        </w:rPr>
      </w:pPr>
    </w:p>
    <w:p>
      <w:pPr>
        <w:ind w:right="100" w:firstLine="430"/>
        <w:spacing w:after="0" w:line="248" w:lineRule="auto"/>
        <w:tabs>
          <w:tab w:leader="none" w:pos="609"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Waiver of Claims under ADEA</w:t>
      </w:r>
      <w:r>
        <w:rPr>
          <w:rFonts w:ascii="Times New Roman" w:cs="Times New Roman" w:eastAsia="Times New Roman" w:hAnsi="Times New Roman"/>
          <w:sz w:val="18"/>
          <w:szCs w:val="18"/>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has the right to and should consult with an attorney prior to executing this Agreement; (b) Executive has [twenty-one (21)] days within which to consider this Agreement, and the Parties agree that such time period to review this Agreement shall not be extended upon any material or immaterial changes to this Agreement; (c) Executive has seven (7) business days following Executive’s execution of this Agreement to revoke this Agreement pursuant to written notice to the General Counsel of the Company; (d) this Agreement shall not be effective until after the revocation period has expired without revocation;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[twenty-one (21)] day period identified above, Executive hereby acknowledges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540" w:top="267" w:right="559" w:bottom="1440" w:gutter="0" w:footer="0" w:header="0"/>
        </w:sectPr>
      </w:pPr>
    </w:p>
    <w:bookmarkStart w:id="605" w:name="page606"/>
    <w:bookmarkEnd w:id="605"/>
    <w:p>
      <w:pPr>
        <w:jc w:val="both"/>
        <w:ind w:right="80"/>
        <w:spacing w:after="0" w:line="27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that Executive has freely and voluntarily chosen to waive the time period allotted for considering this Agreement. To revoke this Agreement, Executive must notify the Company in writing sent to the Chief Executive Officer of the Company, and such revocation must be received no later than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Executive signs this Agreement.</w:t>
      </w:r>
    </w:p>
    <w:p>
      <w:pPr>
        <w:spacing w:after="0" w:line="43" w:lineRule="exact"/>
        <w:rPr>
          <w:sz w:val="20"/>
          <w:szCs w:val="20"/>
          <w:color w:val="auto"/>
        </w:rPr>
      </w:pPr>
    </w:p>
    <w:p>
      <w:pPr>
        <w:ind w:left="600" w:hanging="170"/>
        <w:spacing w:after="0"/>
        <w:tabs>
          <w:tab w:leader="none" w:pos="60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ind w:right="260" w:firstLine="971"/>
        <w:spacing w:after="0" w:line="259" w:lineRule="auto"/>
        <w:tabs>
          <w:tab w:leader="none" w:pos="1213"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his ongoing obligations under Section 5 of the Employment Agreement. Sections 5(e) and 5(f) of the Employment Agreement are hereby incorporated by reference and will apply to this Agreement as if set forth herein. The enforcement terms set forth therein shall apply to this Section 4.</w:t>
      </w:r>
    </w:p>
    <w:p>
      <w:pPr>
        <w:spacing w:after="0" w:line="177" w:lineRule="exact"/>
        <w:rPr>
          <w:rFonts w:ascii="Times New Roman" w:cs="Times New Roman" w:eastAsia="Times New Roman" w:hAnsi="Times New Roman"/>
          <w:sz w:val="18"/>
          <w:szCs w:val="18"/>
          <w:color w:val="auto"/>
        </w:rPr>
      </w:pPr>
    </w:p>
    <w:p>
      <w:pPr>
        <w:ind w:right="40" w:firstLine="971"/>
        <w:spacing w:after="0" w:line="247" w:lineRule="auto"/>
        <w:tabs>
          <w:tab w:leader="none" w:pos="1223"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during the course of his employment with the Company, he became become familiar with the trade secrets of the Company and with other Confidential Information (as defined in the Restrictive Covenant Agreement) concerning the Company and its predecessors and that Executive’s services were of special, unique and extraordinary value to the Company. Therefore, Executive agrees that, during the period of one year immediately following the termination of Executive’s employment (the “</w:t>
      </w:r>
      <w:r>
        <w:rPr>
          <w:rFonts w:ascii="Times New Roman" w:cs="Times New Roman" w:eastAsia="Times New Roman" w:hAnsi="Times New Roman"/>
          <w:sz w:val="18"/>
          <w:szCs w:val="18"/>
          <w:u w:val="single" w:color="auto"/>
          <w:color w:val="auto"/>
        </w:rPr>
        <w:t>Non-Competition Restricted Period</w:t>
      </w:r>
      <w:r>
        <w:rPr>
          <w:rFonts w:ascii="Times New Roman" w:cs="Times New Roman" w:eastAsia="Times New Roman" w:hAnsi="Times New Roman"/>
          <w:sz w:val="18"/>
          <w:szCs w:val="18"/>
          <w:color w:val="auto"/>
        </w:rPr>
        <w:t>”), Executive shall not directly or indirectly own any interest in, manage, control, participate in, consult with, render services for, be employed in an executive, managerial, administrative or other capacity by, or in any manner engage in, any business or entity competing with the Business (as defined in the Restrictive Covenant Agreement) in any country in which Executive had a material presence or the Company conducts business during the last two years of Executive’s employment or in which the Company has material plans to conduct business as of the termination of Executive’s employment. Nothing herein shall prohibit Executive from being a passive owner of not more than 2% of the outstanding stock of any class of a corporation which is publicly traded, so long as Executive has no active participation in the business of such corporation. In the event Executive breaches his fiduciary duty to the Company or unlawfully takes, physically or electronically, property belonging to the Company as reasonably determined by the Company, the Non-Competition Restricted Period as defined above shall be extended for one additional year, for a maximum period of two years immediately following his termination of employment from the Company. Further, in the event Executive breaches this Section 4(b), the Non-Competition Restricted Period shall extend for each day of Executive’s non-compliance, so as to give the Company the bargained for benefit of Executive’s non-competition covenants.</w:t>
      </w:r>
    </w:p>
    <w:p>
      <w:pPr>
        <w:spacing w:after="0" w:line="196" w:lineRule="exact"/>
        <w:rPr>
          <w:rFonts w:ascii="Times New Roman" w:cs="Times New Roman" w:eastAsia="Times New Roman" w:hAnsi="Times New Roman"/>
          <w:sz w:val="18"/>
          <w:szCs w:val="18"/>
          <w:color w:val="auto"/>
        </w:rPr>
      </w:pPr>
    </w:p>
    <w:p>
      <w:pPr>
        <w:ind w:right="160" w:firstLine="971"/>
        <w:spacing w:after="0" w:line="255" w:lineRule="auto"/>
        <w:tabs>
          <w:tab w:leader="none" w:pos="1213"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enforcement of this Section 4,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180" w:lineRule="exact"/>
        <w:rPr>
          <w:rFonts w:ascii="Times New Roman" w:cs="Times New Roman" w:eastAsia="Times New Roman" w:hAnsi="Times New Roman"/>
          <w:sz w:val="18"/>
          <w:szCs w:val="18"/>
          <w:color w:val="auto"/>
        </w:rPr>
      </w:pPr>
    </w:p>
    <w:p>
      <w:pPr>
        <w:ind w:right="560" w:firstLine="971"/>
        <w:spacing w:after="0" w:line="274" w:lineRule="auto"/>
        <w:tabs>
          <w:tab w:leader="none" w:pos="1223"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the restrictions contained in this Section 4 are reasonable and that Executive has been provided an opportunity to review the provisions of this Agreement with his legal counsel.</w:t>
      </w:r>
    </w:p>
    <w:p>
      <w:pPr>
        <w:spacing w:after="0" w:line="163" w:lineRule="exact"/>
        <w:rPr>
          <w:rFonts w:ascii="Times New Roman" w:cs="Times New Roman" w:eastAsia="Times New Roman" w:hAnsi="Times New Roman"/>
          <w:sz w:val="18"/>
          <w:szCs w:val="18"/>
          <w:color w:val="auto"/>
        </w:rPr>
      </w:pPr>
    </w:p>
    <w:p>
      <w:pPr>
        <w:ind w:firstLine="430"/>
        <w:spacing w:after="0" w:line="259" w:lineRule="auto"/>
        <w:tabs>
          <w:tab w:leader="none" w:pos="609"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7" w:lineRule="exact"/>
        <w:rPr>
          <w:rFonts w:ascii="Times New Roman" w:cs="Times New Roman" w:eastAsia="Times New Roman" w:hAnsi="Times New Roman"/>
          <w:sz w:val="18"/>
          <w:szCs w:val="18"/>
          <w:color w:val="auto"/>
        </w:rPr>
      </w:pPr>
    </w:p>
    <w:p>
      <w:pPr>
        <w:ind w:left="600" w:hanging="170"/>
        <w:spacing w:after="0"/>
        <w:tabs>
          <w:tab w:leader="none" w:pos="600"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Oral Modification</w:t>
      </w:r>
      <w:r>
        <w:rPr>
          <w:rFonts w:ascii="Times New Roman" w:cs="Times New Roman" w:eastAsia="Times New Roman" w:hAnsi="Times New Roman"/>
          <w:sz w:val="17"/>
          <w:szCs w:val="17"/>
          <w:color w:val="auto"/>
        </w:rPr>
        <w:t>. This Agreement may only be amended in a writing signed by Executive and a duly authorized officer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540" w:top="267" w:right="559" w:bottom="1440" w:gutter="0" w:footer="0" w:header="0"/>
        </w:sectPr>
      </w:pPr>
    </w:p>
    <w:bookmarkStart w:id="606" w:name="page607"/>
    <w:bookmarkEnd w:id="606"/>
    <w:p>
      <w:pPr>
        <w:ind w:left="2" w:right="420" w:firstLine="430"/>
        <w:spacing w:after="0" w:line="274" w:lineRule="auto"/>
        <w:tabs>
          <w:tab w:leader="none" w:pos="611"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Governing Law; Dispute Resolution</w:t>
      </w:r>
      <w:r>
        <w:rPr>
          <w:rFonts w:ascii="Times New Roman" w:cs="Times New Roman" w:eastAsia="Times New Roman" w:hAnsi="Times New Roman"/>
          <w:sz w:val="18"/>
          <w:szCs w:val="18"/>
          <w:color w:val="auto"/>
        </w:rPr>
        <w:t>. This Agreement shall be subject to the provisions of Sections 9(a), 9(c), and 9(h) of the Employment Agreement.</w:t>
      </w:r>
    </w:p>
    <w:p>
      <w:pPr>
        <w:spacing w:after="0" w:line="163" w:lineRule="exact"/>
        <w:rPr>
          <w:rFonts w:ascii="Times New Roman" w:cs="Times New Roman" w:eastAsia="Times New Roman" w:hAnsi="Times New Roman"/>
          <w:sz w:val="18"/>
          <w:szCs w:val="18"/>
          <w:color w:val="auto"/>
        </w:rPr>
      </w:pPr>
    </w:p>
    <w:p>
      <w:pPr>
        <w:ind w:left="2" w:right="560" w:firstLine="430"/>
        <w:spacing w:after="0" w:line="274" w:lineRule="auto"/>
        <w:tabs>
          <w:tab w:leader="none" w:pos="611"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Executive has seven (7) business days after Executive signs this Agreement to revoke it and this Agreement will become effective on the day immediately following the seventh business day after Executive signed this Agreement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2" w:right="160" w:firstLine="430"/>
        <w:spacing w:after="0" w:line="265" w:lineRule="auto"/>
        <w:tabs>
          <w:tab w:leader="none" w:pos="611" w:val="left"/>
        </w:tabs>
        <w:numPr>
          <w:ilvl w:val="1"/>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Execution of Agreement</w:t>
      </w:r>
      <w:r>
        <w:rPr>
          <w:rFonts w:ascii="Times New Roman" w:cs="Times New Roman" w:eastAsia="Times New Roman" w:hAnsi="Times New Roman"/>
          <w:sz w:val="17"/>
          <w:szCs w:val="17"/>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w:t>
      </w:r>
    </w:p>
    <w:p>
      <w:pPr>
        <w:ind w:left="2" w:right="20" w:hanging="2"/>
        <w:spacing w:after="0" w:line="251" w:lineRule="auto"/>
        <w:tabs>
          <w:tab w:leader="none" w:pos="252"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the terms and consequences of this Agreement and of the releases it contains; and (e) Executive is fully aware of the legal and binding effect of this Agreement.</w:t>
      </w:r>
    </w:p>
    <w:p>
      <w:pPr>
        <w:spacing w:after="0" w:line="183" w:lineRule="exact"/>
        <w:rPr>
          <w:rFonts w:ascii="Times New Roman" w:cs="Times New Roman" w:eastAsia="Times New Roman" w:hAnsi="Times New Roman"/>
          <w:sz w:val="18"/>
          <w:szCs w:val="18"/>
          <w:color w:val="auto"/>
        </w:rPr>
      </w:pPr>
    </w:p>
    <w:p>
      <w:pPr>
        <w:ind w:left="2" w:firstLine="430"/>
        <w:spacing w:after="0" w:line="251" w:lineRule="auto"/>
        <w:tabs>
          <w:tab w:leader="none" w:pos="699"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of this Agreement, the Employment Agreement and the Restrictive Covenant Agreement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the Employment Agreement and the Restrictive Covenant Agreement shall constitute the complete and exclusive statement of their terms and that no extrinsic evidence whatsoever may be introduced in any judicial, administrative, or other legal proceeding to vary the terms of such agreements.</w:t>
      </w:r>
    </w:p>
    <w:p>
      <w:pPr>
        <w:spacing w:after="0" w:line="18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2"/>
          </w:cols>
          <w:pgMar w:left="538" w:top="267" w:right="559" w:bottom="1440" w:gutter="0" w:footer="0" w:header="0"/>
        </w:sectPr>
      </w:pPr>
    </w:p>
    <w:bookmarkStart w:id="607" w:name="page608"/>
    <w:bookmarkEnd w:id="60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have executed this Agreement on the respective dates set forth below.</w:t>
      </w:r>
    </w:p>
    <w:p>
      <w:pPr>
        <w:spacing w:after="0" w:line="25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14605</wp:posOffset>
            </wp:positionV>
            <wp:extent cx="355028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55028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-9525</wp:posOffset>
            </wp:positionV>
            <wp:extent cx="897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97255" cy="8255"/>
                    </a:xfrm>
                    <a:prstGeom prst="rect">
                      <a:avLst/>
                    </a:prstGeom>
                    <a:noFill/>
                  </pic:spPr>
                </pic:pic>
              </a:graphicData>
            </a:graphic>
          </wp:anchor>
        </w:drawing>
      </w:r>
    </w:p>
    <w:p>
      <w:pPr>
        <w:spacing w:after="0" w:line="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Print Name: Vijay Kasturi, M.D.</w:t>
      </w:r>
    </w:p>
    <w:p>
      <w:pPr>
        <w:spacing w:after="0" w:line="2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19"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8"/>
          <w:szCs w:val="18"/>
          <w:color w:val="auto"/>
        </w:rPr>
        <w:t xml:space="preserve">Dated: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3483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34835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-9525</wp:posOffset>
            </wp:positionV>
            <wp:extent cx="897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97255" cy="8255"/>
                    </a:xfrm>
                    <a:prstGeom prst="rect">
                      <a:avLst/>
                    </a:prstGeom>
                    <a:noFill/>
                  </pic:spPr>
                </pic:pic>
              </a:graphicData>
            </a:graphic>
          </wp:anchor>
        </w:drawing>
      </w:r>
    </w:p>
    <w:p>
      <w:pPr>
        <w:spacing w:after="0" w:line="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14605</wp:posOffset>
            </wp:positionV>
            <wp:extent cx="294449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944495" cy="8255"/>
                    </a:xfrm>
                    <a:prstGeom prst="rect">
                      <a:avLst/>
                    </a:prstGeom>
                    <a:noFill/>
                  </pic:spPr>
                </pic:pic>
              </a:graphicData>
            </a:graphic>
          </wp:anchor>
        </w:drawing>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14605</wp:posOffset>
            </wp:positionV>
            <wp:extent cx="301180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ectPr>
          <w:pgSz w:w="11900" w:h="16838" w:orient="portrait"/>
          <w:cols w:equalWidth="0" w:num="1">
            <w:col w:w="9919"/>
          </w:cols>
          <w:pgMar w:left="540" w:top="267" w:right="1440" w:bottom="1440" w:gutter="0" w:footer="0" w:header="0"/>
        </w:sectPr>
      </w:pPr>
    </w:p>
    <w:bookmarkStart w:id="608" w:name="page609"/>
    <w:bookmarkEnd w:id="60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90170</wp:posOffset>
            </wp:positionV>
            <wp:extent cx="7176770" cy="3746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B</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RESTRICTIVE COVENANT AGREEMENT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16032BB"/>
    <w:multiLevelType w:val="hybridMultilevel"/>
    <w:lvl w:ilvl="0">
      <w:lvlJc w:val="left"/>
      <w:lvlText w:val="(%1)"/>
      <w:numFmt w:val="decimal"/>
      <w:start w:val="1"/>
    </w:lvl>
  </w:abstractNum>
  <w:abstractNum w:abstractNumId="1">
    <w:nsid w:val="44344C22"/>
    <w:multiLevelType w:val="hybridMultilevel"/>
    <w:lvl w:ilvl="0">
      <w:lvlJc w:val="left"/>
      <w:lvlText w:val="*"/>
      <w:numFmt w:val="bullet"/>
      <w:start w:val="1"/>
    </w:lvl>
  </w:abstractNum>
  <w:abstractNum w:abstractNumId="2">
    <w:nsid w:val="13CDFCFC"/>
    <w:multiLevelType w:val="hybridMultilevel"/>
    <w:lvl w:ilvl="0">
      <w:lvlJc w:val="left"/>
      <w:lvlText w:val="•"/>
      <w:numFmt w:val="bullet"/>
      <w:start w:val="1"/>
    </w:lvl>
  </w:abstractNum>
  <w:abstractNum w:abstractNumId="3">
    <w:nsid w:val="471745E4"/>
    <w:multiLevelType w:val="hybridMultilevel"/>
    <w:lvl w:ilvl="0">
      <w:lvlJc w:val="left"/>
      <w:lvlText w:val="•"/>
      <w:numFmt w:val="bullet"/>
      <w:start w:val="1"/>
    </w:lvl>
  </w:abstractNum>
  <w:abstractNum w:abstractNumId="4">
    <w:nsid w:val="1DDBC66"/>
    <w:multiLevelType w:val="hybridMultilevel"/>
    <w:lvl w:ilvl="0">
      <w:lvlJc w:val="left"/>
      <w:lvlText w:val="•"/>
      <w:numFmt w:val="bullet"/>
      <w:start w:val="1"/>
    </w:lvl>
  </w:abstractNum>
  <w:abstractNum w:abstractNumId="5">
    <w:nsid w:val="30AADFDA"/>
    <w:multiLevelType w:val="hybridMultilevel"/>
    <w:lvl w:ilvl="0">
      <w:lvlJc w:val="left"/>
      <w:lvlText w:val="•"/>
      <w:numFmt w:val="bullet"/>
      <w:start w:val="1"/>
    </w:lvl>
  </w:abstractNum>
  <w:abstractNum w:abstractNumId="6">
    <w:nsid w:val="30EADA61"/>
    <w:multiLevelType w:val="hybridMultilevel"/>
    <w:lvl w:ilvl="0">
      <w:lvlJc w:val="left"/>
      <w:lvlText w:val="•"/>
      <w:numFmt w:val="bullet"/>
      <w:start w:val="1"/>
    </w:lvl>
  </w:abstractNum>
  <w:abstractNum w:abstractNumId="7">
    <w:nsid w:val="27179C0B"/>
    <w:multiLevelType w:val="hybridMultilevel"/>
    <w:lvl w:ilvl="0">
      <w:lvlJc w:val="left"/>
      <w:lvlText w:val="•"/>
      <w:numFmt w:val="bullet"/>
      <w:start w:val="1"/>
    </w:lvl>
  </w:abstractNum>
  <w:abstractNum w:abstractNumId="8">
    <w:nsid w:val="5E636063"/>
    <w:multiLevelType w:val="hybridMultilevel"/>
    <w:lvl w:ilvl="0">
      <w:lvlJc w:val="left"/>
      <w:lvlText w:val="•"/>
      <w:numFmt w:val="bullet"/>
      <w:start w:val="1"/>
    </w:lvl>
  </w:abstractNum>
  <w:abstractNum w:abstractNumId="9">
    <w:nsid w:val="215641AF"/>
    <w:multiLevelType w:val="hybridMultilevel"/>
    <w:lvl w:ilvl="0">
      <w:lvlJc w:val="left"/>
      <w:lvlText w:val="•"/>
      <w:numFmt w:val="bullet"/>
      <w:start w:val="1"/>
    </w:lvl>
  </w:abstractNum>
  <w:abstractNum w:abstractNumId="10">
    <w:nsid w:val="53280662"/>
    <w:multiLevelType w:val="hybridMultilevel"/>
    <w:lvl w:ilvl="0">
      <w:lvlJc w:val="left"/>
      <w:lvlText w:val="•"/>
      <w:numFmt w:val="bullet"/>
      <w:start w:val="1"/>
    </w:lvl>
  </w:abstractNum>
  <w:abstractNum w:abstractNumId="11">
    <w:nsid w:val="46B24DBC"/>
    <w:multiLevelType w:val="hybridMultilevel"/>
    <w:lvl w:ilvl="0">
      <w:lvlJc w:val="left"/>
      <w:lvlText w:val="(%1)"/>
      <w:numFmt w:val="decimal"/>
      <w:start w:val="1"/>
    </w:lvl>
  </w:abstractNum>
  <w:abstractNum w:abstractNumId="12">
    <w:nsid w:val="75B52783"/>
    <w:multiLevelType w:val="hybridMultilevel"/>
    <w:lvl w:ilvl="0">
      <w:lvlJc w:val="left"/>
      <w:lvlText w:val="(%1)"/>
      <w:numFmt w:val="decimal"/>
      <w:start w:val="1"/>
    </w:lvl>
  </w:abstractNum>
  <w:abstractNum w:abstractNumId="13">
    <w:nsid w:val="57CE66B4"/>
    <w:multiLevelType w:val="hybridMultilevel"/>
    <w:lvl w:ilvl="0">
      <w:lvlJc w:val="left"/>
      <w:lvlText w:val="(%1)"/>
      <w:numFmt w:val="decimal"/>
      <w:start w:val="3"/>
    </w:lvl>
  </w:abstractNum>
  <w:abstractNum w:abstractNumId="14">
    <w:nsid w:val="67A70B69"/>
    <w:multiLevelType w:val="hybridMultilevel"/>
    <w:lvl w:ilvl="0">
      <w:lvlJc w:val="left"/>
      <w:lvlText w:val="•"/>
      <w:numFmt w:val="bullet"/>
      <w:start w:val="1"/>
    </w:lvl>
  </w:abstractNum>
  <w:abstractNum w:abstractNumId="15">
    <w:nsid w:val="5953172F"/>
    <w:multiLevelType w:val="hybridMultilevel"/>
    <w:lvl w:ilvl="0">
      <w:lvlJc w:val="left"/>
      <w:lvlText w:val="•"/>
      <w:numFmt w:val="bullet"/>
      <w:start w:val="1"/>
    </w:lvl>
  </w:abstractNum>
  <w:abstractNum w:abstractNumId="16">
    <w:nsid w:val="27EDFE3A"/>
    <w:multiLevelType w:val="hybridMultilevel"/>
    <w:lvl w:ilvl="0">
      <w:lvlJc w:val="left"/>
      <w:lvlText w:val="•"/>
      <w:numFmt w:val="bullet"/>
      <w:start w:val="1"/>
    </w:lvl>
  </w:abstractNum>
  <w:abstractNum w:abstractNumId="17">
    <w:nsid w:val="52AC7DFF"/>
    <w:multiLevelType w:val="hybridMultilevel"/>
    <w:lvl w:ilvl="0">
      <w:lvlJc w:val="left"/>
      <w:lvlText w:val="•"/>
      <w:numFmt w:val="bullet"/>
      <w:start w:val="1"/>
    </w:lvl>
  </w:abstractNum>
  <w:abstractNum w:abstractNumId="18">
    <w:nsid w:val="C4C3AF"/>
    <w:multiLevelType w:val="hybridMultilevel"/>
    <w:lvl w:ilvl="0">
      <w:lvlJc w:val="left"/>
      <w:lvlText w:val="•"/>
      <w:numFmt w:val="bullet"/>
      <w:start w:val="1"/>
    </w:lvl>
  </w:abstractNum>
  <w:abstractNum w:abstractNumId="19">
    <w:nsid w:val="44380727"/>
    <w:multiLevelType w:val="hybridMultilevel"/>
    <w:lvl w:ilvl="0">
      <w:lvlJc w:val="left"/>
      <w:lvlText w:val="•"/>
      <w:numFmt w:val="bullet"/>
      <w:start w:val="1"/>
    </w:lvl>
  </w:abstractNum>
  <w:abstractNum w:abstractNumId="20">
    <w:nsid w:val="6C053B16"/>
    <w:multiLevelType w:val="hybridMultilevel"/>
    <w:lvl w:ilvl="0">
      <w:lvlJc w:val="left"/>
      <w:lvlText w:val="•"/>
      <w:numFmt w:val="bullet"/>
      <w:start w:val="1"/>
    </w:lvl>
  </w:abstractNum>
  <w:abstractNum w:abstractNumId="21">
    <w:nsid w:val="4F294393"/>
    <w:multiLevelType w:val="hybridMultilevel"/>
    <w:lvl w:ilvl="0">
      <w:lvlJc w:val="left"/>
      <w:lvlText w:val="•"/>
      <w:numFmt w:val="bullet"/>
      <w:start w:val="1"/>
    </w:lvl>
  </w:abstractNum>
  <w:abstractNum w:abstractNumId="22">
    <w:nsid w:val="5243BFAC"/>
    <w:multiLevelType w:val="hybridMultilevel"/>
    <w:lvl w:ilvl="0">
      <w:lvlJc w:val="left"/>
      <w:lvlText w:val="•"/>
      <w:numFmt w:val="bullet"/>
      <w:start w:val="1"/>
    </w:lvl>
  </w:abstractNum>
  <w:abstractNum w:abstractNumId="23">
    <w:nsid w:val="425EB207"/>
    <w:multiLevelType w:val="hybridMultilevel"/>
    <w:lvl w:ilvl="0">
      <w:lvlJc w:val="left"/>
      <w:lvlText w:val="•"/>
      <w:numFmt w:val="bullet"/>
      <w:start w:val="1"/>
    </w:lvl>
  </w:abstractNum>
  <w:abstractNum w:abstractNumId="24">
    <w:nsid w:val="334A6F1F"/>
    <w:multiLevelType w:val="hybridMultilevel"/>
    <w:lvl w:ilvl="0">
      <w:lvlJc w:val="left"/>
      <w:lvlText w:val="•"/>
      <w:numFmt w:val="bullet"/>
      <w:start w:val="1"/>
    </w:lvl>
  </w:abstractNum>
  <w:abstractNum w:abstractNumId="25">
    <w:nsid w:val="2E5B12B8"/>
    <w:multiLevelType w:val="hybridMultilevel"/>
    <w:lvl w:ilvl="0">
      <w:lvlJc w:val="left"/>
      <w:lvlText w:val="•"/>
      <w:numFmt w:val="bullet"/>
      <w:start w:val="1"/>
    </w:lvl>
  </w:abstractNum>
  <w:abstractNum w:abstractNumId="26">
    <w:nsid w:val="5C03D76D"/>
    <w:multiLevelType w:val="hybridMultilevel"/>
    <w:lvl w:ilvl="0">
      <w:lvlJc w:val="left"/>
      <w:lvlText w:val="•"/>
      <w:numFmt w:val="bullet"/>
      <w:start w:val="1"/>
    </w:lvl>
  </w:abstractNum>
  <w:abstractNum w:abstractNumId="27">
    <w:nsid w:val="66A48D11"/>
    <w:multiLevelType w:val="hybridMultilevel"/>
    <w:lvl w:ilvl="0">
      <w:lvlJc w:val="left"/>
      <w:lvlText w:val="•"/>
      <w:numFmt w:val="bullet"/>
      <w:start w:val="1"/>
    </w:lvl>
  </w:abstractNum>
  <w:abstractNum w:abstractNumId="28">
    <w:nsid w:val="56C28E34"/>
    <w:multiLevelType w:val="hybridMultilevel"/>
    <w:lvl w:ilvl="0">
      <w:lvlJc w:val="left"/>
      <w:lvlText w:val="•"/>
      <w:numFmt w:val="bullet"/>
      <w:start w:val="1"/>
    </w:lvl>
  </w:abstractNum>
  <w:abstractNum w:abstractNumId="29">
    <w:nsid w:val="13916F2D"/>
    <w:multiLevelType w:val="hybridMultilevel"/>
    <w:lvl w:ilvl="0">
      <w:lvlJc w:val="left"/>
      <w:lvlText w:val="•"/>
      <w:numFmt w:val="bullet"/>
      <w:start w:val="1"/>
    </w:lvl>
  </w:abstractNum>
  <w:abstractNum w:abstractNumId="30">
    <w:nsid w:val="435D38D"/>
    <w:multiLevelType w:val="hybridMultilevel"/>
    <w:lvl w:ilvl="0">
      <w:lvlJc w:val="left"/>
      <w:lvlText w:val="•"/>
      <w:numFmt w:val="bullet"/>
      <w:start w:val="1"/>
    </w:lvl>
  </w:abstractNum>
  <w:abstractNum w:abstractNumId="31">
    <w:nsid w:val="822C0EF"/>
    <w:multiLevelType w:val="hybridMultilevel"/>
    <w:lvl w:ilvl="0">
      <w:lvlJc w:val="left"/>
      <w:lvlText w:val="(%1)"/>
      <w:numFmt w:val="lowerRoman"/>
      <w:start w:val="4"/>
    </w:lvl>
  </w:abstractNum>
  <w:abstractNum w:abstractNumId="32">
    <w:nsid w:val="57C5BB4F"/>
    <w:multiLevelType w:val="hybridMultilevel"/>
    <w:lvl w:ilvl="0">
      <w:lvlJc w:val="left"/>
      <w:lvlText w:val="•"/>
      <w:numFmt w:val="bullet"/>
      <w:start w:val="1"/>
    </w:lvl>
  </w:abstractNum>
  <w:abstractNum w:abstractNumId="33">
    <w:nsid w:val="1803D089"/>
    <w:multiLevelType w:val="hybridMultilevel"/>
    <w:lvl w:ilvl="0">
      <w:lvlJc w:val="left"/>
      <w:lvlText w:val="•"/>
      <w:numFmt w:val="bullet"/>
      <w:start w:val="1"/>
    </w:lvl>
  </w:abstractNum>
  <w:abstractNum w:abstractNumId="34">
    <w:nsid w:val="4F3A06D4"/>
    <w:multiLevelType w:val="hybridMultilevel"/>
    <w:lvl w:ilvl="0">
      <w:lvlJc w:val="left"/>
      <w:lvlText w:val="•"/>
      <w:numFmt w:val="bullet"/>
      <w:start w:val="1"/>
    </w:lvl>
  </w:abstractNum>
  <w:abstractNum w:abstractNumId="35">
    <w:nsid w:val="59A377B6"/>
    <w:multiLevelType w:val="hybridMultilevel"/>
    <w:lvl w:ilvl="0">
      <w:lvlJc w:val="left"/>
      <w:lvlText w:val="•"/>
      <w:numFmt w:val="bullet"/>
      <w:start w:val="1"/>
    </w:lvl>
  </w:abstractNum>
  <w:abstractNum w:abstractNumId="36">
    <w:nsid w:val="48AEB063"/>
    <w:multiLevelType w:val="hybridMultilevel"/>
    <w:lvl w:ilvl="0">
      <w:lvlJc w:val="left"/>
      <w:lvlText w:val="•"/>
      <w:numFmt w:val="bullet"/>
      <w:start w:val="1"/>
    </w:lvl>
  </w:abstractNum>
  <w:abstractNum w:abstractNumId="37">
    <w:nsid w:val="24E135"/>
    <w:multiLevelType w:val="hybridMultilevel"/>
    <w:lvl w:ilvl="0">
      <w:lvlJc w:val="left"/>
      <w:lvlText w:val="•"/>
      <w:numFmt w:val="bullet"/>
      <w:start w:val="1"/>
    </w:lvl>
  </w:abstractNum>
  <w:abstractNum w:abstractNumId="38">
    <w:nsid w:val="BB13C1"/>
    <w:multiLevelType w:val="hybridMultilevel"/>
    <w:lvl w:ilvl="0">
      <w:lvlJc w:val="left"/>
      <w:lvlText w:val="•"/>
      <w:numFmt w:val="bullet"/>
      <w:start w:val="1"/>
    </w:lvl>
  </w:abstractNum>
  <w:abstractNum w:abstractNumId="39">
    <w:nsid w:val="271210C7"/>
    <w:multiLevelType w:val="hybridMultilevel"/>
    <w:lvl w:ilvl="0">
      <w:lvlJc w:val="left"/>
      <w:lvlText w:val=" "/>
      <w:numFmt w:val="bullet"/>
      <w:start w:val="1"/>
    </w:lvl>
  </w:abstractNum>
  <w:abstractNum w:abstractNumId="40">
    <w:nsid w:val="217B22E4"/>
    <w:multiLevelType w:val="hybridMultilevel"/>
    <w:lvl w:ilvl="0">
      <w:lvlJc w:val="left"/>
      <w:lvlText w:val="•"/>
      <w:numFmt w:val="bullet"/>
      <w:start w:val="1"/>
    </w:lvl>
  </w:abstractNum>
  <w:abstractNum w:abstractNumId="41">
    <w:nsid w:val="53E31A24"/>
    <w:multiLevelType w:val="hybridMultilevel"/>
    <w:lvl w:ilvl="0">
      <w:lvlJc w:val="left"/>
      <w:lvlText w:val="•"/>
      <w:numFmt w:val="bullet"/>
      <w:start w:val="1"/>
    </w:lvl>
  </w:abstractNum>
  <w:abstractNum w:abstractNumId="42">
    <w:nsid w:val="6DC45E83"/>
    <w:multiLevelType w:val="hybridMultilevel"/>
    <w:lvl w:ilvl="0">
      <w:lvlJc w:val="left"/>
      <w:lvlText w:val="•"/>
      <w:numFmt w:val="bullet"/>
      <w:start w:val="1"/>
    </w:lvl>
  </w:abstractNum>
  <w:abstractNum w:abstractNumId="43">
    <w:nsid w:val="17304A67"/>
    <w:multiLevelType w:val="hybridMultilevel"/>
    <w:lvl w:ilvl="0">
      <w:lvlJc w:val="left"/>
      <w:lvlText w:val="•"/>
      <w:numFmt w:val="bullet"/>
      <w:start w:val="1"/>
    </w:lvl>
  </w:abstractNum>
  <w:abstractNum w:abstractNumId="44">
    <w:nsid w:val="2BB180D8"/>
    <w:multiLevelType w:val="hybridMultilevel"/>
    <w:lvl w:ilvl="0">
      <w:lvlJc w:val="left"/>
      <w:lvlText w:val="•"/>
      <w:numFmt w:val="bullet"/>
      <w:start w:val="1"/>
    </w:lvl>
  </w:abstractNum>
  <w:abstractNum w:abstractNumId="45">
    <w:nsid w:val="556B69ED"/>
    <w:multiLevelType w:val="hybridMultilevel"/>
    <w:lvl w:ilvl="0">
      <w:lvlJc w:val="left"/>
      <w:lvlText w:val="•"/>
      <w:numFmt w:val="bullet"/>
      <w:start w:val="1"/>
    </w:lvl>
  </w:abstractNum>
  <w:abstractNum w:abstractNumId="46">
    <w:nsid w:val="70836196"/>
    <w:multiLevelType w:val="hybridMultilevel"/>
    <w:lvl w:ilvl="0">
      <w:lvlJc w:val="left"/>
      <w:lvlText w:val="(%1)"/>
      <w:numFmt w:val="lowerRoman"/>
      <w:start w:val="1"/>
    </w:lvl>
  </w:abstractNum>
  <w:abstractNum w:abstractNumId="47">
    <w:nsid w:val="539F7F12"/>
    <w:multiLevelType w:val="hybridMultilevel"/>
    <w:lvl w:ilvl="0">
      <w:lvlJc w:val="left"/>
      <w:lvlText w:val="*"/>
      <w:numFmt w:val="bullet"/>
      <w:start w:val="1"/>
    </w:lvl>
  </w:abstractNum>
  <w:abstractNum w:abstractNumId="48">
    <w:nsid w:val="2817E7EC"/>
    <w:multiLevelType w:val="hybridMultilevel"/>
    <w:lvl w:ilvl="0">
      <w:lvlJc w:val="left"/>
      <w:lvlText w:val="•"/>
      <w:numFmt w:val="bullet"/>
      <w:start w:val="1"/>
    </w:lvl>
  </w:abstractNum>
  <w:abstractNum w:abstractNumId="49">
    <w:nsid w:val="71482545"/>
    <w:multiLevelType w:val="hybridMultilevel"/>
    <w:lvl w:ilvl="0">
      <w:lvlJc w:val="left"/>
      <w:lvlText w:val="•"/>
      <w:numFmt w:val="bullet"/>
      <w:start w:val="1"/>
    </w:lvl>
  </w:abstractNum>
  <w:abstractNum w:abstractNumId="50">
    <w:nsid w:val="17D78639"/>
    <w:multiLevelType w:val="hybridMultilevel"/>
    <w:lvl w:ilvl="0">
      <w:lvlJc w:val="left"/>
      <w:lvlText w:val="•"/>
      <w:numFmt w:val="bullet"/>
      <w:start w:val="1"/>
    </w:lvl>
  </w:abstractNum>
  <w:abstractNum w:abstractNumId="51">
    <w:nsid w:val="141D2302"/>
    <w:multiLevelType w:val="hybridMultilevel"/>
    <w:lvl w:ilvl="0">
      <w:lvlJc w:val="left"/>
      <w:lvlText w:val="•"/>
      <w:numFmt w:val="bullet"/>
      <w:start w:val="1"/>
    </w:lvl>
    <w:lvl w:ilvl="1">
      <w:lvlJc w:val="left"/>
      <w:lvlText w:val="¡"/>
      <w:numFmt w:val="bullet"/>
      <w:start w:val="1"/>
    </w:lvl>
  </w:abstractNum>
  <w:abstractNum w:abstractNumId="52">
    <w:nsid w:val="407168D8"/>
    <w:multiLevelType w:val="hybridMultilevel"/>
    <w:lvl w:ilvl="0">
      <w:lvlJc w:val="left"/>
      <w:lvlText w:val="•"/>
      <w:numFmt w:val="bullet"/>
      <w:start w:val="1"/>
    </w:lvl>
  </w:abstractNum>
  <w:abstractNum w:abstractNumId="53">
    <w:nsid w:val="6A1B45E5"/>
    <w:multiLevelType w:val="hybridMultilevel"/>
    <w:lvl w:ilvl="0">
      <w:lvlJc w:val="left"/>
      <w:lvlText w:val="•"/>
      <w:numFmt w:val="bullet"/>
      <w:start w:val="1"/>
    </w:lvl>
  </w:abstractNum>
  <w:abstractNum w:abstractNumId="54">
    <w:nsid w:val="567BD50A"/>
    <w:multiLevelType w:val="hybridMultilevel"/>
    <w:lvl w:ilvl="0">
      <w:lvlJc w:val="left"/>
      <w:lvlText w:val="•"/>
      <w:numFmt w:val="bullet"/>
      <w:start w:val="1"/>
    </w:lvl>
  </w:abstractNum>
  <w:abstractNum w:abstractNumId="55">
    <w:nsid w:val="73BBD7F8"/>
    <w:multiLevelType w:val="hybridMultilevel"/>
    <w:lvl w:ilvl="0">
      <w:lvlJc w:val="left"/>
      <w:lvlText w:val="•"/>
      <w:numFmt w:val="bullet"/>
      <w:start w:val="1"/>
    </w:lvl>
  </w:abstractNum>
  <w:abstractNum w:abstractNumId="56">
    <w:nsid w:val="1876589D"/>
    <w:multiLevelType w:val="hybridMultilevel"/>
    <w:lvl w:ilvl="0">
      <w:lvlJc w:val="left"/>
      <w:lvlText w:val="(%1)"/>
      <w:numFmt w:val="decimal"/>
      <w:start w:val="1"/>
    </w:lvl>
  </w:abstractNum>
  <w:abstractNum w:abstractNumId="57">
    <w:nsid w:val="327FAC77"/>
    <w:multiLevelType w:val="hybridMultilevel"/>
    <w:lvl w:ilvl="0">
      <w:lvlJc w:val="left"/>
      <w:lvlText w:val="•"/>
      <w:numFmt w:val="bullet"/>
      <w:start w:val="1"/>
    </w:lvl>
  </w:abstractNum>
  <w:abstractNum w:abstractNumId="58">
    <w:nsid w:val="5A606509"/>
    <w:multiLevelType w:val="hybridMultilevel"/>
    <w:lvl w:ilvl="0">
      <w:lvlJc w:val="left"/>
      <w:lvlText w:val="•"/>
      <w:numFmt w:val="bullet"/>
      <w:start w:val="1"/>
    </w:lvl>
  </w:abstractNum>
  <w:abstractNum w:abstractNumId="59">
    <w:nsid w:val="6F38E6D1"/>
    <w:multiLevelType w:val="hybridMultilevel"/>
    <w:lvl w:ilvl="0">
      <w:lvlJc w:val="left"/>
      <w:lvlText w:val="•"/>
      <w:numFmt w:val="bullet"/>
      <w:start w:val="1"/>
    </w:lvl>
  </w:abstractNum>
  <w:abstractNum w:abstractNumId="60">
    <w:nsid w:val="46111BA5"/>
    <w:multiLevelType w:val="hybridMultilevel"/>
    <w:lvl w:ilvl="0">
      <w:lvlJc w:val="left"/>
      <w:lvlText w:val="•"/>
      <w:numFmt w:val="bullet"/>
      <w:start w:val="1"/>
    </w:lvl>
  </w:abstractNum>
  <w:abstractNum w:abstractNumId="61">
    <w:nsid w:val="5E963896"/>
    <w:multiLevelType w:val="hybridMultilevel"/>
    <w:lvl w:ilvl="0">
      <w:lvlJc w:val="left"/>
      <w:lvlText w:val="(%1)"/>
      <w:numFmt w:val="decimal"/>
      <w:start w:val="1"/>
    </w:lvl>
  </w:abstractNum>
  <w:abstractNum w:abstractNumId="62">
    <w:nsid w:val="775BA7C1"/>
    <w:multiLevelType w:val="hybridMultilevel"/>
    <w:lvl w:ilvl="0">
      <w:lvlJc w:val="left"/>
      <w:lvlText w:val="(%1)"/>
      <w:numFmt w:val="decimal"/>
      <w:start w:val="1"/>
    </w:lvl>
  </w:abstractNum>
  <w:abstractNum w:abstractNumId="63">
    <w:nsid w:val="1DD6D6F4"/>
    <w:multiLevelType w:val="hybridMultilevel"/>
    <w:lvl w:ilvl="0">
      <w:lvlJc w:val="left"/>
      <w:lvlText w:val="(%1)"/>
      <w:numFmt w:val="lowerRoman"/>
      <w:start w:val="3"/>
    </w:lvl>
  </w:abstractNum>
  <w:abstractNum w:abstractNumId="64">
    <w:nsid w:val="769A091F"/>
    <w:multiLevelType w:val="hybridMultilevel"/>
    <w:lvl w:ilvl="0">
      <w:lvlJc w:val="left"/>
      <w:lvlText w:val="(%1)"/>
      <w:numFmt w:val="lowerRoman"/>
      <w:start w:val="3"/>
    </w:lvl>
  </w:abstractNum>
  <w:abstractNum w:abstractNumId="65">
    <w:nsid w:val="4695AE95"/>
    <w:multiLevelType w:val="hybridMultilevel"/>
    <w:lvl w:ilvl="0">
      <w:lvlJc w:val="left"/>
      <w:lvlText w:val="(%1)"/>
      <w:numFmt w:val="lowerRoman"/>
      <w:start w:val="2"/>
    </w:lvl>
  </w:abstractNum>
  <w:abstractNum w:abstractNumId="66">
    <w:nsid w:val="777A4EAA"/>
    <w:multiLevelType w:val="hybridMultilevel"/>
    <w:lvl w:ilvl="0">
      <w:lvlJc w:val="left"/>
      <w:lvlText w:val="(%1)"/>
      <w:numFmt w:val="lowerRoman"/>
      <w:start w:val="3"/>
    </w:lvl>
  </w:abstractNum>
  <w:abstractNum w:abstractNumId="67">
    <w:nsid w:val="3F48B982"/>
    <w:multiLevelType w:val="hybridMultilevel"/>
    <w:lvl w:ilvl="0">
      <w:lvlJc w:val="left"/>
      <w:lvlText w:val="•"/>
      <w:numFmt w:val="bullet"/>
      <w:start w:val="1"/>
    </w:lvl>
  </w:abstractNum>
  <w:abstractNum w:abstractNumId="68">
    <w:nsid w:val="46BA8FCA"/>
    <w:multiLevelType w:val="hybridMultilevel"/>
    <w:lvl w:ilvl="0">
      <w:lvlJc w:val="left"/>
      <w:lvlText w:val="•"/>
      <w:numFmt w:val="bullet"/>
      <w:start w:val="1"/>
    </w:lvl>
  </w:abstractNum>
  <w:abstractNum w:abstractNumId="69">
    <w:nsid w:val="7835626C"/>
    <w:multiLevelType w:val="hybridMultilevel"/>
    <w:lvl w:ilvl="0">
      <w:lvlJc w:val="left"/>
      <w:lvlText w:val="•"/>
      <w:numFmt w:val="bullet"/>
      <w:start w:val="1"/>
    </w:lvl>
  </w:abstractNum>
  <w:abstractNum w:abstractNumId="70">
    <w:nsid w:val="665ACA49"/>
    <w:multiLevelType w:val="hybridMultilevel"/>
    <w:lvl w:ilvl="0">
      <w:lvlJc w:val="left"/>
      <w:lvlText w:val="•"/>
      <w:numFmt w:val="bullet"/>
      <w:start w:val="1"/>
    </w:lvl>
  </w:abstractNum>
  <w:abstractNum w:abstractNumId="71">
    <w:nsid w:val="6835B2AE"/>
    <w:multiLevelType w:val="hybridMultilevel"/>
    <w:lvl w:ilvl="0">
      <w:lvlJc w:val="left"/>
      <w:lvlText w:val="•"/>
      <w:numFmt w:val="bullet"/>
      <w:start w:val="1"/>
    </w:lvl>
  </w:abstractNum>
  <w:abstractNum w:abstractNumId="72">
    <w:nsid w:val="4C187C90"/>
    <w:multiLevelType w:val="hybridMultilevel"/>
    <w:lvl w:ilvl="0">
      <w:lvlJc w:val="left"/>
      <w:lvlText w:val="•"/>
      <w:numFmt w:val="bullet"/>
      <w:start w:val="1"/>
    </w:lvl>
  </w:abstractNum>
  <w:abstractNum w:abstractNumId="73">
    <w:nsid w:val="541F28CD"/>
    <w:multiLevelType w:val="hybridMultilevel"/>
    <w:lvl w:ilvl="0">
      <w:lvlJc w:val="left"/>
      <w:lvlText w:val="•"/>
      <w:numFmt w:val="bullet"/>
      <w:start w:val="1"/>
    </w:lvl>
  </w:abstractNum>
  <w:abstractNum w:abstractNumId="74">
    <w:nsid w:val="7F65FD16"/>
    <w:multiLevelType w:val="hybridMultilevel"/>
    <w:lvl w:ilvl="0">
      <w:lvlJc w:val="left"/>
      <w:lvlText w:val="(%1)"/>
      <w:numFmt w:val="decimal"/>
      <w:start w:val="1"/>
    </w:lvl>
  </w:abstractNum>
  <w:abstractNum w:abstractNumId="75">
    <w:nsid w:val="77C9FD68"/>
    <w:multiLevelType w:val="hybridMultilevel"/>
    <w:lvl w:ilvl="0">
      <w:lvlJc w:val="left"/>
      <w:lvlText w:val="•"/>
      <w:numFmt w:val="bullet"/>
      <w:start w:val="1"/>
    </w:lvl>
  </w:abstractNum>
  <w:abstractNum w:abstractNumId="76">
    <w:nsid w:val="298A92BA"/>
    <w:multiLevelType w:val="hybridMultilevel"/>
    <w:lvl w:ilvl="0">
      <w:lvlJc w:val="left"/>
      <w:lvlText w:val="•"/>
      <w:numFmt w:val="bullet"/>
      <w:start w:val="1"/>
    </w:lvl>
  </w:abstractNum>
  <w:abstractNum w:abstractNumId="77">
    <w:nsid w:val="6FE95EAC"/>
    <w:multiLevelType w:val="hybridMultilevel"/>
    <w:lvl w:ilvl="0">
      <w:lvlJc w:val="left"/>
      <w:lvlText w:val="(%1)"/>
      <w:numFmt w:val="decimal"/>
      <w:start w:val="1"/>
    </w:lvl>
  </w:abstractNum>
  <w:abstractNum w:abstractNumId="78">
    <w:nsid w:val="4B697C7A"/>
    <w:multiLevelType w:val="hybridMultilevel"/>
    <w:lvl w:ilvl="0">
      <w:lvlJc w:val="left"/>
      <w:lvlText w:val="(%1)"/>
      <w:numFmt w:val="decimal"/>
      <w:start w:val="5"/>
    </w:lvl>
  </w:abstractNum>
  <w:abstractNum w:abstractNumId="79">
    <w:nsid w:val="51A27AA6"/>
    <w:multiLevelType w:val="hybridMultilevel"/>
    <w:lvl w:ilvl="0">
      <w:lvlJc w:val="left"/>
      <w:lvlText w:val="•"/>
      <w:numFmt w:val="bullet"/>
      <w:start w:val="1"/>
    </w:lvl>
  </w:abstractNum>
  <w:abstractNum w:abstractNumId="80">
    <w:nsid w:val="613183F2"/>
    <w:multiLevelType w:val="hybridMultilevel"/>
    <w:lvl w:ilvl="0">
      <w:lvlJc w:val="left"/>
      <w:lvlText w:val="(%1)"/>
      <w:numFmt w:val="decimal"/>
      <w:start w:val="1"/>
    </w:lvl>
  </w:abstractNum>
  <w:abstractNum w:abstractNumId="81">
    <w:nsid w:val="634102B4"/>
    <w:multiLevelType w:val="hybridMultilevel"/>
    <w:lvl w:ilvl="0">
      <w:lvlJc w:val="left"/>
      <w:lvlText w:val="•"/>
      <w:numFmt w:val="bullet"/>
      <w:start w:val="1"/>
    </w:lvl>
  </w:abstractNum>
  <w:abstractNum w:abstractNumId="82">
    <w:nsid w:val="65BF9DA8"/>
    <w:multiLevelType w:val="hybridMultilevel"/>
    <w:lvl w:ilvl="0">
      <w:lvlJc w:val="left"/>
      <w:lvlText w:val="•"/>
      <w:numFmt w:val="bullet"/>
      <w:start w:val="1"/>
    </w:lvl>
  </w:abstractNum>
  <w:abstractNum w:abstractNumId="83">
    <w:nsid w:val="21A2ECCA"/>
    <w:multiLevelType w:val="hybridMultilevel"/>
    <w:lvl w:ilvl="0">
      <w:lvlJc w:val="left"/>
      <w:lvlText w:val="•"/>
      <w:numFmt w:val="bullet"/>
      <w:start w:val="1"/>
    </w:lvl>
  </w:abstractNum>
  <w:abstractNum w:abstractNumId="84">
    <w:nsid w:val="4D5C4899"/>
    <w:multiLevelType w:val="hybridMultilevel"/>
    <w:lvl w:ilvl="0">
      <w:lvlJc w:val="left"/>
      <w:lvlText w:val="•"/>
      <w:numFmt w:val="bullet"/>
      <w:start w:val="1"/>
    </w:lvl>
  </w:abstractNum>
  <w:abstractNum w:abstractNumId="85">
    <w:nsid w:val="3C3B72B2"/>
    <w:multiLevelType w:val="hybridMultilevel"/>
    <w:lvl w:ilvl="0">
      <w:lvlJc w:val="left"/>
      <w:lvlText w:val="(%1)"/>
      <w:numFmt w:val="lowerRoman"/>
      <w:start w:val="1"/>
    </w:lvl>
  </w:abstractNum>
  <w:abstractNum w:abstractNumId="86">
    <w:nsid w:val="155EC4C2"/>
    <w:multiLevelType w:val="hybridMultilevel"/>
    <w:lvl w:ilvl="0">
      <w:lvlJc w:val="left"/>
      <w:lvlText w:val="•"/>
      <w:numFmt w:val="bullet"/>
      <w:start w:val="1"/>
    </w:lvl>
  </w:abstractNum>
  <w:abstractNum w:abstractNumId="87">
    <w:nsid w:val="65D2A137"/>
    <w:multiLevelType w:val="hybridMultilevel"/>
    <w:lvl w:ilvl="0">
      <w:lvlJc w:val="left"/>
      <w:lvlText w:val="(%1)"/>
      <w:numFmt w:val="decimal"/>
      <w:start w:val="1"/>
    </w:lvl>
  </w:abstractNum>
  <w:abstractNum w:abstractNumId="88">
    <w:nsid w:val="6EBB1F2A"/>
    <w:multiLevelType w:val="hybridMultilevel"/>
    <w:lvl w:ilvl="0">
      <w:lvlJc w:val="left"/>
      <w:lvlText w:val="(%1)"/>
      <w:numFmt w:val="decimal"/>
      <w:start w:val="1"/>
    </w:lvl>
  </w:abstractNum>
  <w:abstractNum w:abstractNumId="89">
    <w:nsid w:val="6FBF29CB"/>
    <w:multiLevelType w:val="hybridMultilevel"/>
    <w:lvl w:ilvl="0">
      <w:lvlJc w:val="left"/>
      <w:lvlText w:val="(%1)"/>
      <w:numFmt w:val="decimal"/>
      <w:start w:val="3"/>
    </w:lvl>
  </w:abstractNum>
  <w:abstractNum w:abstractNumId="90">
    <w:nsid w:val="550B8808"/>
    <w:multiLevelType w:val="hybridMultilevel"/>
    <w:lvl w:ilvl="0">
      <w:lvlJc w:val="left"/>
      <w:lvlText w:val="(%1)"/>
      <w:numFmt w:val="decimal"/>
      <w:start w:val="7"/>
    </w:lvl>
  </w:abstractNum>
  <w:abstractNum w:abstractNumId="91">
    <w:nsid w:val="34CC3ACF"/>
    <w:multiLevelType w:val="hybridMultilevel"/>
    <w:lvl w:ilvl="0">
      <w:lvlJc w:val="left"/>
      <w:lvlText w:val="(%1)"/>
      <w:numFmt w:val="lowerRoman"/>
      <w:start w:val="1"/>
    </w:lvl>
  </w:abstractNum>
  <w:abstractNum w:abstractNumId="92">
    <w:nsid w:val="4E556261"/>
    <w:multiLevelType w:val="hybridMultilevel"/>
    <w:lvl w:ilvl="0">
      <w:lvlJc w:val="left"/>
      <w:lvlText w:val="(%1)"/>
      <w:numFmt w:val="lowerRoman"/>
      <w:start w:val="1"/>
    </w:lvl>
  </w:abstractNum>
  <w:abstractNum w:abstractNumId="93">
    <w:nsid w:val="4C672FC9"/>
    <w:multiLevelType w:val="hybridMultilevel"/>
    <w:lvl w:ilvl="0">
      <w:lvlJc w:val="left"/>
      <w:lvlText w:val="(%1)"/>
      <w:numFmt w:val="lowerRoman"/>
      <w:start w:val="1"/>
    </w:lvl>
  </w:abstractNum>
  <w:abstractNum w:abstractNumId="94">
    <w:nsid w:val="52A311C3"/>
    <w:multiLevelType w:val="hybridMultilevel"/>
    <w:lvl w:ilvl="0">
      <w:lvlJc w:val="left"/>
      <w:lvlText w:val="(%1)"/>
      <w:numFmt w:val="lowerLetter"/>
      <w:start w:val="1"/>
    </w:lvl>
  </w:abstractNum>
  <w:abstractNum w:abstractNumId="95">
    <w:nsid w:val="44EF6B80"/>
    <w:multiLevelType w:val="hybridMultilevel"/>
    <w:lvl w:ilvl="0">
      <w:lvlJc w:val="left"/>
      <w:lvlText w:val="(%1)"/>
      <w:numFmt w:val="lowerRoman"/>
      <w:start w:val="1"/>
    </w:lvl>
  </w:abstractNum>
  <w:abstractNum w:abstractNumId="96">
    <w:nsid w:val="12FCDE5E"/>
    <w:multiLevelType w:val="hybridMultilevel"/>
    <w:lvl w:ilvl="0">
      <w:lvlJc w:val="left"/>
      <w:lvlText w:val="(%1)"/>
      <w:numFmt w:val="lowerLetter"/>
      <w:start w:val="1"/>
    </w:lvl>
  </w:abstractNum>
  <w:abstractNum w:abstractNumId="97">
    <w:nsid w:val="4A1D606E"/>
    <w:multiLevelType w:val="hybridMultilevel"/>
    <w:lvl w:ilvl="0">
      <w:lvlJc w:val="left"/>
      <w:lvlText w:val="•"/>
      <w:numFmt w:val="bullet"/>
      <w:start w:val="1"/>
    </w:lvl>
  </w:abstractNum>
  <w:abstractNum w:abstractNumId="98">
    <w:nsid w:val="4382503"/>
    <w:multiLevelType w:val="hybridMultilevel"/>
    <w:lvl w:ilvl="0">
      <w:lvlJc w:val="left"/>
      <w:lvlText w:val="•"/>
      <w:numFmt w:val="bullet"/>
      <w:start w:val="1"/>
    </w:lvl>
  </w:abstractNum>
  <w:abstractNum w:abstractNumId="99">
    <w:nsid w:val="59B76E28"/>
    <w:multiLevelType w:val="hybridMultilevel"/>
    <w:lvl w:ilvl="0">
      <w:lvlJc w:val="left"/>
      <w:lvlText w:val="(%1)"/>
      <w:numFmt w:val="lowerRoman"/>
      <w:start w:val="1"/>
    </w:lvl>
    <w:lvl w:ilvl="1">
      <w:lvlJc w:val="left"/>
      <w:lvlText w:val="(%2)"/>
      <w:numFmt w:val="lowerRoman"/>
      <w:start w:val="1"/>
    </w:lvl>
  </w:abstractNum>
  <w:abstractNum w:abstractNumId="100">
    <w:nsid w:val="4252C2DA"/>
    <w:multiLevelType w:val="hybridMultilevel"/>
    <w:lvl w:ilvl="0">
      <w:lvlJc w:val="left"/>
      <w:lvlText w:val="(%1)"/>
      <w:numFmt w:val="lowerRoman"/>
      <w:start w:val="1"/>
    </w:lvl>
  </w:abstractNum>
  <w:abstractNum w:abstractNumId="101">
    <w:nsid w:val="6A92EF4C"/>
    <w:multiLevelType w:val="hybridMultilevel"/>
    <w:lvl w:ilvl="0">
      <w:lvlJc w:val="left"/>
      <w:lvlText w:val="(%1)"/>
      <w:numFmt w:val="lowerRoman"/>
      <w:start w:val="4"/>
    </w:lvl>
  </w:abstractNum>
  <w:abstractNum w:abstractNumId="102">
    <w:nsid w:val="41ED20D7"/>
    <w:multiLevelType w:val="hybridMultilevel"/>
    <w:lvl w:ilvl="0">
      <w:lvlJc w:val="left"/>
      <w:lvlText w:val="*"/>
      <w:numFmt w:val="bullet"/>
      <w:start w:val="1"/>
    </w:lvl>
  </w:abstractNum>
  <w:abstractNum w:abstractNumId="103">
    <w:nsid w:val="E6B3F6A"/>
    <w:multiLevelType w:val="hybridMultilevel"/>
    <w:lvl w:ilvl="0">
      <w:lvlJc w:val="left"/>
      <w:lvlText w:val="(%1)"/>
      <w:numFmt w:val="lowerLetter"/>
      <w:start w:val="1"/>
    </w:lvl>
    <w:lvl w:ilvl="1">
      <w:lvlJc w:val="left"/>
      <w:lvlText w:val="%2."/>
      <w:numFmt w:val="decimal"/>
      <w:start w:val="1"/>
    </w:lvl>
  </w:abstractNum>
  <w:abstractNum w:abstractNumId="104">
    <w:nsid w:val="3EB21819"/>
    <w:multiLevelType w:val="hybridMultilevel"/>
    <w:lvl w:ilvl="0">
      <w:lvlJc w:val="left"/>
      <w:lvlText w:val="%1."/>
      <w:numFmt w:val="decimal"/>
      <w:start w:val="3"/>
    </w:lvl>
  </w:abstractNum>
  <w:abstractNum w:abstractNumId="105">
    <w:nsid w:val="41531DED"/>
    <w:multiLevelType w:val="hybridMultilevel"/>
    <w:lvl w:ilvl="0">
      <w:lvlJc w:val="left"/>
      <w:lvlText w:val="(%1)"/>
      <w:numFmt w:val="lowerLetter"/>
      <w:start w:val="2"/>
    </w:lvl>
    <w:lvl w:ilvl="1">
      <w:lvlJc w:val="left"/>
      <w:lvlText w:val="%2."/>
      <w:numFmt w:val="decimal"/>
      <w:start w:val="1"/>
    </w:lvl>
  </w:abstractNum>
  <w:abstractNum w:abstractNumId="106">
    <w:nsid w:val="6353CD2"/>
    <w:multiLevelType w:val="hybridMultilevel"/>
    <w:lvl w:ilvl="0">
      <w:lvlJc w:val="left"/>
      <w:lvlText w:val="(%1)"/>
      <w:numFmt w:val="lowerLetter"/>
      <w:start w:val="3"/>
    </w:lvl>
  </w:abstractNum>
  <w:abstractNum w:abstractNumId="107">
    <w:nsid w:val="683CAAD3"/>
    <w:multiLevelType w:val="hybridMultilevel"/>
    <w:lvl w:ilvl="0">
      <w:lvlJc w:val="left"/>
      <w:lvlText w:val="(%1)"/>
      <w:numFmt w:val="decimal"/>
      <w:start w:val="1"/>
    </w:lvl>
  </w:abstractNum>
  <w:abstractNum w:abstractNumId="108">
    <w:nsid w:val="313C7C99"/>
    <w:multiLevelType w:val="hybridMultilevel"/>
    <w:lvl w:ilvl="0">
      <w:lvlJc w:val="left"/>
      <w:lvlText w:val="*"/>
      <w:numFmt w:val="bullet"/>
      <w:start w:val="1"/>
    </w:lvl>
  </w:abstractNum>
  <w:abstractNum w:abstractNumId="109">
    <w:nsid w:val="519EB94C"/>
    <w:multiLevelType w:val="hybridMultilevel"/>
    <w:lvl w:ilvl="0">
      <w:lvlJc w:val="left"/>
      <w:lvlText w:val="#"/>
      <w:numFmt w:val="bullet"/>
      <w:start w:val="1"/>
    </w:lvl>
  </w:abstractNum>
  <w:abstractNum w:abstractNumId="110">
    <w:nsid w:val="39DF2579"/>
    <w:multiLevelType w:val="hybridMultilevel"/>
    <w:lvl w:ilvl="0">
      <w:lvlJc w:val="left"/>
      <w:lvlText w:val="†"/>
      <w:numFmt w:val="bullet"/>
      <w:start w:val="1"/>
    </w:lvl>
  </w:abstractNum>
  <w:abstractNum w:abstractNumId="111">
    <w:nsid w:val="126E008B"/>
    <w:multiLevelType w:val="hybridMultilevel"/>
    <w:lvl w:ilvl="0">
      <w:lvlJc w:val="left"/>
      <w:lvlText w:val="%1."/>
      <w:numFmt w:val="decimal"/>
      <w:start w:val="1"/>
    </w:lvl>
    <w:lvl w:ilvl="1">
      <w:lvlJc w:val="left"/>
      <w:lvlText w:val="(%2)"/>
      <w:numFmt w:val="lowerLetter"/>
      <w:start w:val="1"/>
    </w:lvl>
  </w:abstractNum>
  <w:abstractNum w:abstractNumId="112">
    <w:nsid w:val="34DFBC00"/>
    <w:multiLevelType w:val="hybridMultilevel"/>
    <w:lvl w:ilvl="0">
      <w:lvlJc w:val="left"/>
      <w:lvlText w:val="(%1)"/>
      <w:numFmt w:val="lowerLetter"/>
      <w:start w:val="4"/>
    </w:lvl>
  </w:abstractNum>
  <w:abstractNum w:abstractNumId="113">
    <w:nsid w:val="1F9EC322"/>
    <w:multiLevelType w:val="hybridMultilevel"/>
    <w:lvl w:ilvl="0">
      <w:lvlJc w:val="left"/>
      <w:lvlText w:val="(%1)"/>
      <w:numFmt w:val="lowerLetter"/>
      <w:start w:val="5"/>
    </w:lvl>
  </w:abstractNum>
  <w:abstractNum w:abstractNumId="114">
    <w:nsid w:val="3410ED56"/>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15">
    <w:nsid w:val="23C049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6">
    <w:nsid w:val="5BDA35D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17">
    <w:nsid w:val="496FB21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118">
    <w:nsid w:val="680EA5D1"/>
    <w:multiLevelType w:val="hybridMultilevel"/>
    <w:lvl w:ilvl="0">
      <w:lvlJc w:val="left"/>
      <w:lvlText w:val="%1"/>
      <w:numFmt w:val="upperLetter"/>
      <w:start w:val="1"/>
    </w:lvl>
    <w:lvl w:ilvl="1">
      <w:lvlJc w:val="left"/>
      <w:lvlText w:val="(%2)"/>
      <w:numFmt w:val="lowerRoman"/>
      <w:start w:val="1"/>
    </w:lvl>
  </w:abstractNum>
  <w:abstractNum w:abstractNumId="119">
    <w:nsid w:val="4A9554FE"/>
    <w:multiLevelType w:val="hybridMultilevel"/>
    <w:lvl w:ilvl="0">
      <w:lvlJc w:val="left"/>
      <w:lvlText w:val="(%1)"/>
      <w:numFmt w:val="upperLetter"/>
      <w:start w:val="2"/>
    </w:lvl>
    <w:lvl w:ilvl="1">
      <w:lvlJc w:val="left"/>
      <w:lvlText w:val="%2"/>
      <w:numFmt w:val="lowerRoman"/>
      <w:start w:val="1"/>
    </w:lvl>
  </w:abstractNum>
  <w:abstractNum w:abstractNumId="120">
    <w:nsid w:val="392EDBE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21">
    <w:nsid w:val="3D1A2DD9"/>
    <w:multiLevelType w:val="hybridMultilevel"/>
    <w:lvl w:ilvl="0">
      <w:lvlJc w:val="left"/>
      <w:lvlText w:val="%1"/>
      <w:numFmt w:val="decimal"/>
      <w:start w:val="1"/>
    </w:lvl>
    <w:lvl w:ilvl="1">
      <w:lvlJc w:val="left"/>
      <w:lvlText w:val="(%2)"/>
      <w:numFmt w:val="lowerLetter"/>
      <w:start w:val="6"/>
    </w:lvl>
  </w:abstractNum>
  <w:abstractNum w:abstractNumId="122">
    <w:nsid w:val="7F618FCD"/>
    <w:multiLevelType w:val="hybridMultilevel"/>
    <w:lvl w:ilvl="0">
      <w:lvlJc w:val="left"/>
      <w:lvlText w:val="%1."/>
      <w:numFmt w:val="decimal"/>
      <w:start w:val="3"/>
    </w:lvl>
    <w:lvl w:ilvl="1">
      <w:lvlJc w:val="left"/>
      <w:lvlText w:val="(%2)"/>
      <w:numFmt w:val="lowerLetter"/>
      <w:start w:val="1"/>
    </w:lvl>
  </w:abstractNum>
  <w:abstractNum w:abstractNumId="123">
    <w:nsid w:val="7843E45"/>
    <w:multiLevelType w:val="hybridMultilevel"/>
    <w:lvl w:ilvl="0">
      <w:lvlJc w:val="left"/>
      <w:lvlText w:val="(%1)"/>
      <w:numFmt w:val="lowerLetter"/>
      <w:start w:val="2"/>
    </w:lvl>
  </w:abstractNum>
  <w:abstractNum w:abstractNumId="124">
    <w:nsid w:val="9815DA3"/>
    <w:multiLevelType w:val="hybridMultilevel"/>
    <w:lvl w:ilvl="0">
      <w:lvlJc w:val="left"/>
      <w:lvlText w:val="%1"/>
      <w:numFmt w:val="decimal"/>
      <w:start w:val="1"/>
    </w:lvl>
    <w:lvl w:ilvl="1">
      <w:lvlJc w:val="left"/>
      <w:lvlText w:val="(%2)"/>
      <w:numFmt w:val="lowerLetter"/>
      <w:start w:val="5"/>
    </w:lvl>
  </w:abstractNum>
  <w:abstractNum w:abstractNumId="125">
    <w:nsid w:val="5204A191"/>
    <w:multiLevelType w:val="hybridMultilevel"/>
    <w:lvl w:ilvl="0">
      <w:lvlJc w:val="left"/>
      <w:lvlText w:val="(%1)"/>
      <w:numFmt w:val="decimal"/>
      <w:start w:val="60"/>
    </w:lvl>
    <w:lvl w:ilvl="1">
      <w:lvlJc w:val="left"/>
      <w:lvlText w:val="(%2)"/>
      <w:numFmt w:val="lowerLetter"/>
      <w:start w:val="6"/>
    </w:lvl>
  </w:abstractNum>
  <w:abstractNum w:abstractNumId="126">
    <w:nsid w:val="4C73A9C6"/>
    <w:multiLevelType w:val="hybridMultilevel"/>
    <w:lvl w:ilvl="0">
      <w:lvlJc w:val="left"/>
      <w:lvlText w:val="(%1)"/>
      <w:numFmt w:val="decimal"/>
      <w:start w:val="60"/>
    </w:lvl>
    <w:lvl w:ilvl="1">
      <w:lvlJc w:val="left"/>
      <w:lvlText w:val="(%2)"/>
      <w:numFmt w:val="lowerLetter"/>
      <w:start w:val="7"/>
    </w:lvl>
  </w:abstractNum>
  <w:abstractNum w:abstractNumId="127">
    <w:nsid w:val="1C7E3C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8">
    <w:nsid w:val="1C2201FF"/>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129">
    <w:nsid w:val="50ABCEC9"/>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30">
    <w:nsid w:val="7635AA2A"/>
    <w:multiLevelType w:val="hybridMultilevel"/>
    <w:lvl w:ilvl="0">
      <w:lvlJc w:val="left"/>
      <w:lvlText w:val="(%1)"/>
      <w:numFmt w:val="lowerLetter"/>
      <w:start w:val="9"/>
    </w:lvl>
  </w:abstractNum>
  <w:abstractNum w:abstractNumId="131">
    <w:nsid w:val="5E74C4D9"/>
    <w:multiLevelType w:val="hybridMultilevel"/>
    <w:lvl w:ilvl="0">
      <w:lvlJc w:val="left"/>
      <w:lvlText w:val="%1."/>
      <w:numFmt w:val="decimal"/>
      <w:start w:val="4"/>
    </w:lvl>
    <w:lvl w:ilvl="1">
      <w:lvlJc w:val="left"/>
      <w:lvlText w:val="(%2)"/>
      <w:numFmt w:val="lowerLetter"/>
      <w:start w:val="1"/>
    </w:lvl>
  </w:abstractNum>
  <w:abstractNum w:abstractNumId="132">
    <w:nsid w:val="3B3EBE15"/>
    <w:multiLevelType w:val="hybridMultilevel"/>
    <w:lvl w:ilvl="0">
      <w:lvlJc w:val="left"/>
      <w:lvlText w:val="(%1)"/>
      <w:numFmt w:val="lowerLetter"/>
      <w:start w:val="2"/>
    </w:lvl>
    <w:lvl w:ilvl="1">
      <w:lvlJc w:val="left"/>
      <w:lvlText w:val="(%2)"/>
      <w:numFmt w:val="lowerRoman"/>
      <w:start w:val="1"/>
    </w:lvl>
  </w:abstractNum>
  <w:abstractNum w:abstractNumId="133">
    <w:nsid w:val="3822CB01"/>
    <w:multiLevelType w:val="hybridMultilevel"/>
    <w:lvl w:ilvl="0">
      <w:lvlJc w:val="left"/>
      <w:lvlText w:val="(%1)"/>
      <w:numFmt w:val="lowerLetter"/>
      <w:start w:val="4"/>
    </w:lvl>
  </w:abstractNum>
  <w:abstractNum w:abstractNumId="134">
    <w:nsid w:val="6CE00443"/>
    <w:multiLevelType w:val="hybridMultilevel"/>
    <w:lvl w:ilvl="0">
      <w:lvlJc w:val="left"/>
      <w:lvlText w:val="%1"/>
      <w:numFmt w:val="lowerLetter"/>
      <w:start w:val="1"/>
    </w:lvl>
    <w:lvl w:ilvl="1">
      <w:lvlJc w:val="left"/>
      <w:lvlText w:val="(%2)"/>
      <w:numFmt w:val="lowerLetter"/>
      <w:start w:val="6"/>
    </w:lvl>
  </w:abstractNum>
  <w:abstractNum w:abstractNumId="135">
    <w:nsid w:val="79F0D62F"/>
    <w:multiLevelType w:val="hybridMultilevel"/>
    <w:lvl w:ilvl="0">
      <w:lvlJc w:val="left"/>
      <w:lvlText w:val="(%1)"/>
      <w:numFmt w:val="lowerLetter"/>
      <w:start w:val="24"/>
    </w:lvl>
    <w:lvl w:ilvl="1">
      <w:lvlJc w:val="left"/>
      <w:lvlText w:val="(%2)"/>
      <w:numFmt w:val="lowerLetter"/>
      <w:start w:val="7"/>
    </w:lvl>
  </w:abstractNum>
  <w:abstractNum w:abstractNumId="136">
    <w:nsid w:val="7975E8EE"/>
    <w:multiLevelType w:val="hybridMultilevel"/>
    <w:lvl w:ilvl="0">
      <w:lvlJc w:val="left"/>
      <w:lvlText w:val="(%1)"/>
      <w:numFmt w:val="lowerLetter"/>
      <w:start w:val="9"/>
    </w:lvl>
    <w:lvl w:ilvl="1">
      <w:lvlJc w:val="left"/>
      <w:lvlText w:val="(%2)"/>
      <w:numFmt w:val="upperLetter"/>
      <w:start w:val="1"/>
    </w:lvl>
  </w:abstractNum>
  <w:abstractNum w:abstractNumId="137">
    <w:nsid w:val="73154115"/>
    <w:multiLevelType w:val="hybridMultilevel"/>
    <w:lvl w:ilvl="0">
      <w:lvlJc w:val="left"/>
      <w:lvlText w:val="%1."/>
      <w:numFmt w:val="lowerRoman"/>
      <w:start w:val="2"/>
    </w:lvl>
  </w:abstractNum>
  <w:abstractNum w:abstractNumId="138">
    <w:nsid w:val="622D8102"/>
    <w:multiLevelType w:val="hybridMultilevel"/>
    <w:lvl w:ilvl="0">
      <w:lvlJc w:val="left"/>
      <w:lvlText w:val="%1."/>
      <w:numFmt w:val="lowerRoman"/>
      <w:start w:val="3"/>
    </w:lvl>
    <w:lvl w:ilvl="1">
      <w:lvlJc w:val="left"/>
      <w:lvlText w:val="(%2)"/>
      <w:numFmt w:val="upperLetter"/>
      <w:start w:val="2"/>
    </w:lvl>
  </w:abstractNum>
  <w:abstractNum w:abstractNumId="139">
    <w:nsid w:val="2AB26587"/>
    <w:multiLevelType w:val="hybridMultilevel"/>
    <w:lvl w:ilvl="0">
      <w:lvlJc w:val="left"/>
      <w:lvlText w:val="(%1)"/>
      <w:numFmt w:val="upperLetter"/>
      <w:start w:val="3"/>
    </w:lvl>
    <w:lvl w:ilvl="1">
      <w:lvlJc w:val="left"/>
      <w:lvlText w:val="(%2)"/>
      <w:numFmt w:val="upperLetter"/>
      <w:start w:val="4"/>
    </w:lvl>
  </w:abstractNum>
  <w:abstractNum w:abstractNumId="140">
    <w:nsid w:val="44B3FA61"/>
    <w:multiLevelType w:val="hybridMultilevel"/>
    <w:lvl w:ilvl="0">
      <w:lvlJc w:val="left"/>
      <w:lvlText w:val="(%1)"/>
      <w:numFmt w:val="lowerLetter"/>
      <w:start w:val="11"/>
    </w:lvl>
  </w:abstractNum>
  <w:abstractNum w:abstractNumId="141">
    <w:nsid w:val="1C0CA67C"/>
    <w:multiLevelType w:val="hybridMultilevel"/>
    <w:lvl w:ilvl="0">
      <w:lvlJc w:val="left"/>
      <w:lvlText w:val="%1"/>
      <w:numFmt w:val="lowerLetter"/>
      <w:start w:val="1"/>
    </w:lvl>
    <w:lvl w:ilvl="1">
      <w:lvlJc w:val="left"/>
      <w:lvlText w:val="(%2)"/>
      <w:numFmt w:val="lowerLetter"/>
      <w:start w:val="14"/>
    </w:lvl>
  </w:abstractNum>
  <w:abstractNum w:abstractNumId="142">
    <w:nsid w:val="3D206613"/>
    <w:multiLevelType w:val="hybridMultilevel"/>
    <w:lvl w:ilvl="0">
      <w:lvlJc w:val="left"/>
      <w:lvlText w:val="(%1)"/>
      <w:numFmt w:val="lowerLetter"/>
      <w:start w:val="9"/>
    </w:lvl>
    <w:lvl w:ilvl="1">
      <w:lvlJc w:val="left"/>
      <w:lvlText w:val="(%2)"/>
      <w:numFmt w:val="lowerLetter"/>
      <w:start w:val="16"/>
    </w:lvl>
  </w:abstractNum>
  <w:abstractNum w:abstractNumId="143">
    <w:nsid w:val="7993B662"/>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44">
    <w:nsid w:val="3BAB699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5">
    <w:nsid w:val="71315369"/>
    <w:multiLevelType w:val="hybridMultilevel"/>
    <w:lvl w:ilvl="0">
      <w:lvlJc w:val="left"/>
      <w:lvlText w:val="%1"/>
      <w:numFmt w:val="lowerLetter"/>
      <w:start w:val="1"/>
    </w:lvl>
    <w:lvl w:ilvl="1">
      <w:lvlJc w:val="left"/>
      <w:lvlText w:val="(%2)"/>
      <w:numFmt w:val="lowerLetter"/>
      <w:start w:val="61"/>
    </w:lvl>
  </w:abstractNum>
  <w:abstractNum w:abstractNumId="146">
    <w:nsid w:val="7BCFBAFC"/>
    <w:multiLevelType w:val="hybridMultilevel"/>
    <w:lvl w:ilvl="0">
      <w:lvlJc w:val="left"/>
      <w:lvlText w:val="(%1)"/>
      <w:numFmt w:val="lowerLetter"/>
      <w:start w:val="3"/>
    </w:lvl>
    <w:lvl w:ilvl="1">
      <w:lvlJc w:val="left"/>
      <w:lvlText w:val="%2"/>
      <w:numFmt w:val="lowerLetter"/>
      <w:start w:val="1"/>
    </w:lvl>
  </w:abstractNum>
  <w:abstractNum w:abstractNumId="147">
    <w:nsid w:val="17859F72"/>
    <w:multiLevelType w:val="hybridMultilevel"/>
    <w:lvl w:ilvl="0">
      <w:lvlJc w:val="left"/>
      <w:lvlText w:val="%1."/>
      <w:numFmt w:val="decimal"/>
      <w:start w:val="6"/>
    </w:lvl>
    <w:lvl w:ilvl="1">
      <w:lvlJc w:val="left"/>
      <w:lvlText w:val="(%2)"/>
      <w:numFmt w:val="lowerLetter"/>
      <w:start w:val="1"/>
    </w:lvl>
  </w:abstractNum>
  <w:abstractNum w:abstractNumId="148">
    <w:nsid w:val="3AA10581"/>
    <w:multiLevelType w:val="hybridMultilevel"/>
    <w:lvl w:ilvl="0">
      <w:lvlJc w:val="left"/>
      <w:lvlText w:val="(%1)"/>
      <w:numFmt w:val="lowerLetter"/>
      <w:start w:val="5"/>
    </w:lvl>
  </w:abstractNum>
  <w:abstractNum w:abstractNumId="149">
    <w:nsid w:val="63DE60CD"/>
    <w:multiLevelType w:val="hybridMultilevel"/>
    <w:lvl w:ilvl="0">
      <w:lvlJc w:val="left"/>
      <w:lvlText w:val="(%1)"/>
      <w:numFmt w:val="lowerLetter"/>
      <w:start w:val="14"/>
    </w:lvl>
  </w:abstractNum>
  <w:abstractNum w:abstractNumId="150">
    <w:nsid w:val="621AF471"/>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151">
    <w:nsid w:val="73CFE165"/>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52">
    <w:nsid w:val="20F88EA6"/>
    <w:multiLevelType w:val="hybridMultilevel"/>
    <w:lvl w:ilvl="0">
      <w:lvlJc w:val="left"/>
      <w:lvlText w:val="(%1)"/>
      <w:numFmt w:val="lowerRoman"/>
      <w:start w:val="1"/>
    </w:lvl>
  </w:abstractNum>
  <w:abstractNum w:abstractNumId="153">
    <w:nsid w:val="617C843E"/>
    <w:multiLevelType w:val="hybridMultilevel"/>
    <w:lvl w:ilvl="0">
      <w:lvlJc w:val="left"/>
      <w:lvlText w:val="(%1)"/>
      <w:numFmt w:val="decimal"/>
      <w:start w:val="10"/>
    </w:lvl>
  </w:abstractNum>
  <w:abstractNum w:abstractNumId="154">
    <w:nsid w:val="7B541FAB"/>
    <w:multiLevelType w:val="hybridMultilevel"/>
    <w:lvl w:ilvl="0">
      <w:lvlJc w:val="left"/>
      <w:lvlText w:val="(%1)"/>
      <w:numFmt w:val="lowerRoman"/>
      <w:start w:val="2"/>
    </w:lvl>
  </w:abstractNum>
  <w:abstractNum w:abstractNumId="155">
    <w:nsid w:val="2A79EC49"/>
    <w:multiLevelType w:val="hybridMultilevel"/>
    <w:lvl w:ilvl="0">
      <w:lvlJc w:val="left"/>
      <w:lvlText w:val="(%1)"/>
      <w:numFmt w:val="lowerLetter"/>
      <w:start w:val="1"/>
    </w:lvl>
  </w:abstractNum>
  <w:abstractNum w:abstractNumId="156">
    <w:nsid w:val="338125CF"/>
    <w:multiLevelType w:val="hybridMultilevel"/>
    <w:lvl w:ilvl="0">
      <w:lvlJc w:val="left"/>
      <w:lvlText w:val="(%1)"/>
      <w:numFmt w:val="lowerLetter"/>
      <w:start w:val="2"/>
    </w:lvl>
    <w:lvl w:ilvl="1">
      <w:lvlJc w:val="left"/>
      <w:lvlText w:val="(%2)"/>
      <w:numFmt w:val="decimal"/>
      <w:start w:val="1"/>
    </w:lvl>
  </w:abstractNum>
  <w:abstractNum w:abstractNumId="157">
    <w:nsid w:val="47C7C971"/>
    <w:multiLevelType w:val="hybridMultilevel"/>
    <w:lvl w:ilvl="0">
      <w:lvlJc w:val="left"/>
      <w:lvlText w:val="(%1)"/>
      <w:numFmt w:val="lowerLetter"/>
      <w:start w:val="1"/>
    </w:lvl>
  </w:abstractNum>
  <w:abstractNum w:abstractNumId="158">
    <w:nsid w:val="46F8284B"/>
    <w:multiLevelType w:val="hybridMultilevel"/>
    <w:lvl w:ilvl="0">
      <w:lvlJc w:val="left"/>
      <w:lvlText w:val="(%1)"/>
      <w:numFmt w:val="lowerLetter"/>
      <w:start w:val="2"/>
    </w:lvl>
  </w:abstractNum>
  <w:abstractNum w:abstractNumId="159">
    <w:nsid w:val="4FA327CE"/>
    <w:multiLevelType w:val="hybridMultilevel"/>
    <w:lvl w:ilvl="0">
      <w:lvlJc w:val="left"/>
      <w:lvlText w:val="(%1)"/>
      <w:numFmt w:val="decimal"/>
      <w:start w:val="2"/>
    </w:lvl>
  </w:abstractNum>
  <w:abstractNum w:abstractNumId="160">
    <w:nsid w:val="1873983A"/>
    <w:multiLevelType w:val="hybridMultilevel"/>
    <w:lvl w:ilvl="0">
      <w:lvlJc w:val="left"/>
      <w:lvlText w:val="(%1)"/>
      <w:numFmt w:val="decimal"/>
      <w:start w:val="5"/>
    </w:lvl>
  </w:abstractNum>
  <w:abstractNum w:abstractNumId="161">
    <w:nsid w:val="3D2DD275"/>
    <w:multiLevelType w:val="hybridMultilevel"/>
    <w:lvl w:ilvl="0">
      <w:lvlJc w:val="left"/>
      <w:lvlText w:val="%1"/>
      <w:numFmt w:val="decimal"/>
      <w:start w:val="1"/>
    </w:lvl>
    <w:lvl w:ilvl="1">
      <w:lvlJc w:val="left"/>
      <w:lvlText w:val="(%2)"/>
      <w:numFmt w:val="lowerLetter"/>
      <w:start w:val="1"/>
    </w:lvl>
  </w:abstractNum>
  <w:abstractNum w:abstractNumId="162">
    <w:nsid w:val="2E17ECA7"/>
    <w:multiLevelType w:val="hybridMultilevel"/>
    <w:lvl w:ilvl="0">
      <w:lvlJc w:val="left"/>
      <w:lvlText w:val="(%1)"/>
      <w:numFmt w:val="decimal"/>
      <w:start w:val="2"/>
    </w:lvl>
    <w:lvl w:ilvl="1">
      <w:lvlJc w:val="left"/>
      <w:lvlText w:val="(%2)"/>
      <w:numFmt w:val="lowerLetter"/>
      <w:start w:val="2"/>
    </w:lvl>
  </w:abstractNum>
  <w:abstractNum w:abstractNumId="163">
    <w:nsid w:val="53B2564F"/>
    <w:multiLevelType w:val="hybridMultilevel"/>
    <w:lvl w:ilvl="0">
      <w:lvlJc w:val="left"/>
      <w:lvlText w:val="(%1)"/>
      <w:numFmt w:val="lowerLetter"/>
      <w:start w:val="3"/>
    </w:lvl>
  </w:abstractNum>
  <w:abstractNum w:abstractNumId="164">
    <w:nsid w:val="75509D76"/>
    <w:multiLevelType w:val="hybridMultilevel"/>
    <w:lvl w:ilvl="0">
      <w:lvlJc w:val="left"/>
      <w:lvlText w:val="(%1)"/>
      <w:numFmt w:val="lowerLetter"/>
      <w:start w:val="1"/>
    </w:lvl>
  </w:abstractNum>
  <w:abstractNum w:abstractNumId="165">
    <w:nsid w:val="1AF7F0EA"/>
    <w:multiLevelType w:val="hybridMultilevel"/>
    <w:lvl w:ilvl="0">
      <w:lvlJc w:val="left"/>
      <w:lvlText w:val="(%1)"/>
      <w:numFmt w:val="lowerLetter"/>
      <w:start w:val="2"/>
    </w:lvl>
    <w:lvl w:ilvl="1">
      <w:lvlJc w:val="left"/>
      <w:lvlText w:val="(%2)"/>
      <w:numFmt w:val="decimal"/>
      <w:start w:val="1"/>
    </w:lvl>
  </w:abstractNum>
  <w:abstractNum w:abstractNumId="166">
    <w:nsid w:val="4DA32C7E"/>
    <w:multiLevelType w:val="hybridMultilevel"/>
    <w:lvl w:ilvl="0">
      <w:lvlJc w:val="left"/>
      <w:lvlText w:val="(%1)"/>
      <w:numFmt w:val="decimal"/>
      <w:start w:val="6"/>
    </w:lvl>
  </w:abstractNum>
  <w:abstractNum w:abstractNumId="167">
    <w:nsid w:val="6EC68664"/>
    <w:multiLevelType w:val="hybridMultilevel"/>
    <w:lvl w:ilvl="0">
      <w:lvlJc w:val="left"/>
      <w:lvlText w:val="(%1)"/>
      <w:numFmt w:val="lowerLetter"/>
      <w:start w:val="8"/>
    </w:lvl>
    <w:lvl w:ilvl="1">
      <w:lvlJc w:val="left"/>
      <w:lvlText w:val="(%2)"/>
      <w:numFmt w:val="decimal"/>
      <w:start w:val="1"/>
    </w:lvl>
  </w:abstractNum>
  <w:abstractNum w:abstractNumId="168">
    <w:nsid w:val="E0D31FF"/>
    <w:multiLevelType w:val="hybridMultilevel"/>
    <w:lvl w:ilvl="0">
      <w:lvlJc w:val="left"/>
      <w:lvlText w:val="%1"/>
      <w:numFmt w:val="lowerLetter"/>
      <w:start w:val="1"/>
    </w:lvl>
    <w:lvl w:ilvl="1">
      <w:lvlJc w:val="left"/>
      <w:lvlText w:val="(%2)"/>
      <w:numFmt w:val="lowerLetter"/>
      <w:start w:val="1"/>
    </w:lvl>
  </w:abstractNum>
  <w:abstractNum w:abstractNumId="169">
    <w:nsid w:val="2FD0AD81"/>
    <w:multiLevelType w:val="hybridMultilevel"/>
    <w:lvl w:ilvl="0">
      <w:lvlJc w:val="left"/>
      <w:lvlText w:val="(%1)"/>
      <w:numFmt w:val="lowerLetter"/>
      <w:start w:val="25"/>
    </w:lvl>
    <w:lvl w:ilvl="1">
      <w:lvlJc w:val="left"/>
      <w:lvlText w:val="(%2)"/>
      <w:numFmt w:val="lowerLetter"/>
      <w:start w:val="8"/>
    </w:lvl>
  </w:abstractNum>
  <w:abstractNum w:abstractNumId="170">
    <w:nsid w:val="1978EBEB"/>
    <w:multiLevelType w:val="hybridMultilevel"/>
    <w:lvl w:ilvl="0">
      <w:lvlJc w:val="left"/>
      <w:lvlText w:val="(%1)"/>
      <w:numFmt w:val="lowerLetter"/>
      <w:start w:val="9"/>
    </w:lvl>
  </w:abstractNum>
  <w:abstractNum w:abstractNumId="171">
    <w:nsid w:val="52C12C61"/>
    <w:multiLevelType w:val="hybridMultilevel"/>
    <w:lvl w:ilvl="0">
      <w:lvlJc w:val="left"/>
      <w:lvlText w:val="(%1)"/>
      <w:numFmt w:val="lowerLetter"/>
      <w:start w:val="1"/>
    </w:lvl>
  </w:abstractNum>
  <w:abstractNum w:abstractNumId="172">
    <w:nsid w:val="4BDD53FD"/>
    <w:multiLevelType w:val="hybridMultilevel"/>
    <w:lvl w:ilvl="0">
      <w:lvlJc w:val="left"/>
      <w:lvlText w:val="(%1)"/>
      <w:numFmt w:val="lowerLetter"/>
      <w:start w:val="3"/>
    </w:lvl>
    <w:lvl w:ilvl="1">
      <w:lvlJc w:val="left"/>
      <w:lvlText w:val="(%2)"/>
      <w:numFmt w:val="lowerRoman"/>
      <w:start w:val="1"/>
    </w:lvl>
  </w:abstractNum>
  <w:abstractNum w:abstractNumId="173">
    <w:nsid w:val="569951FE"/>
    <w:multiLevelType w:val="hybridMultilevel"/>
    <w:lvl w:ilvl="0">
      <w:lvlJc w:val="left"/>
      <w:lvlText w:val="(%1)"/>
      <w:numFmt w:val="lowerLetter"/>
      <w:start w:val="1"/>
    </w:lvl>
  </w:abstractNum>
  <w:abstractNum w:abstractNumId="174">
    <w:nsid w:val="4C54E2C3"/>
    <w:multiLevelType w:val="hybridMultilevel"/>
    <w:lvl w:ilvl="0">
      <w:lvlJc w:val="left"/>
      <w:lvlText w:val="(%1)"/>
      <w:numFmt w:val="lowerLetter"/>
      <w:start w:val="2"/>
    </w:lvl>
  </w:abstractNum>
  <w:abstractNum w:abstractNumId="175">
    <w:nsid w:val="788BD9B"/>
    <w:multiLevelType w:val="hybridMultilevel"/>
    <w:lvl w:ilvl="0">
      <w:lvlJc w:val="left"/>
      <w:lvlText w:val="(%1)"/>
      <w:numFmt w:val="lowerLetter"/>
      <w:start w:val="2"/>
    </w:lvl>
    <w:lvl w:ilvl="1">
      <w:lvlJc w:val="left"/>
      <w:lvlText w:val="(%2)"/>
      <w:numFmt w:val="lowerRoman"/>
      <w:start w:val="1"/>
    </w:lvl>
  </w:abstractNum>
  <w:abstractNum w:abstractNumId="176">
    <w:nsid w:val="47CAA567"/>
    <w:multiLevelType w:val="hybridMultilevel"/>
    <w:lvl w:ilvl="0">
      <w:lvlJc w:val="left"/>
      <w:lvlText w:val="%1"/>
      <w:numFmt w:val="upperLetter"/>
      <w:start w:val="1"/>
    </w:lvl>
    <w:lvl w:ilvl="1">
      <w:lvlJc w:val="left"/>
      <w:lvlText w:val="(%2)"/>
      <w:numFmt w:val="lowerLetter"/>
      <w:start w:val="1"/>
    </w:lvl>
  </w:abstractNum>
  <w:abstractNum w:abstractNumId="177">
    <w:nsid w:val="48249DBF"/>
    <w:multiLevelType w:val="hybridMultilevel"/>
    <w:lvl w:ilvl="0">
      <w:lvlJc w:val="left"/>
      <w:lvlText w:val="(%1)"/>
      <w:numFmt w:val="upperLetter"/>
      <w:start w:val="9"/>
    </w:lvl>
    <w:lvl w:ilvl="1">
      <w:lvlJc w:val="left"/>
      <w:lvlText w:val="(%2)"/>
      <w:numFmt w:val="lowerLetter"/>
      <w:start w:val="2"/>
    </w:lvl>
  </w:abstractNum>
  <w:abstractNum w:abstractNumId="178">
    <w:nsid w:val="1F0E5D0D"/>
    <w:multiLevelType w:val="hybridMultilevel"/>
    <w:lvl w:ilvl="0">
      <w:lvlJc w:val="left"/>
      <w:lvlText w:val="%1"/>
      <w:numFmt w:val="lowerLetter"/>
      <w:start w:val="1"/>
    </w:lvl>
    <w:lvl w:ilvl="1">
      <w:lvlJc w:val="left"/>
      <w:lvlText w:val="(%2)"/>
      <w:numFmt w:val="lowerLetter"/>
      <w:start w:val="5"/>
    </w:lvl>
  </w:abstractNum>
  <w:abstractNum w:abstractNumId="179">
    <w:nsid w:val="26BAAE9"/>
    <w:multiLevelType w:val="hybridMultilevel"/>
    <w:lvl w:ilvl="0">
      <w:lvlJc w:val="left"/>
      <w:lvlText w:val="(%1)"/>
      <w:numFmt w:val="lowerLetter"/>
      <w:start w:val="35"/>
    </w:lvl>
    <w:lvl w:ilvl="1">
      <w:lvlJc w:val="left"/>
      <w:lvlText w:val="(%2)"/>
      <w:numFmt w:val="lowerLetter"/>
      <w:start w:val="7"/>
    </w:lvl>
  </w:abstractNum>
  <w:abstractNum w:abstractNumId="180">
    <w:nsid w:val="2C02FE8C"/>
    <w:multiLevelType w:val="hybridMultilevel"/>
    <w:lvl w:ilvl="0">
      <w:lvlJc w:val="left"/>
      <w:lvlText w:val="(%1)"/>
      <w:numFmt w:val="lowerLetter"/>
      <w:start w:val="1"/>
    </w:lvl>
  </w:abstractNum>
  <w:abstractNum w:abstractNumId="181">
    <w:nsid w:val="129517E"/>
    <w:multiLevelType w:val="hybridMultilevel"/>
    <w:lvl w:ilvl="0">
      <w:lvlJc w:val="left"/>
      <w:lvlText w:val="(%1)"/>
      <w:numFmt w:val="lowerLetter"/>
      <w:start w:val="1"/>
    </w:lvl>
  </w:abstractNum>
  <w:abstractNum w:abstractNumId="182">
    <w:nsid w:val="763B8C4E"/>
    <w:multiLevelType w:val="hybridMultilevel"/>
    <w:lvl w:ilvl="0">
      <w:lvlJc w:val="left"/>
      <w:lvlText w:val="(%1)"/>
      <w:numFmt w:val="lowerLetter"/>
      <w:start w:val="2"/>
    </w:lvl>
  </w:abstractNum>
  <w:abstractNum w:abstractNumId="183">
    <w:nsid w:val="4CFB8D32"/>
    <w:multiLevelType w:val="hybridMultilevel"/>
    <w:lvl w:ilvl="0">
      <w:lvlJc w:val="left"/>
      <w:lvlText w:val="(%1)"/>
      <w:numFmt w:val="lowerLetter"/>
      <w:start w:val="3"/>
    </w:lvl>
  </w:abstractNum>
  <w:abstractNum w:abstractNumId="184">
    <w:nsid w:val="62A5D5BD"/>
    <w:multiLevelType w:val="hybridMultilevel"/>
    <w:lvl w:ilvl="0">
      <w:lvlJc w:val="left"/>
      <w:lvlText w:val="(%1)"/>
      <w:numFmt w:val="lowerLetter"/>
      <w:start w:val="1"/>
    </w:lvl>
  </w:abstractNum>
  <w:abstractNum w:abstractNumId="185">
    <w:nsid w:val="718FABF9"/>
    <w:multiLevelType w:val="hybridMultilevel"/>
    <w:lvl w:ilvl="0">
      <w:lvlJc w:val="left"/>
      <w:lvlText w:val="(%1)"/>
      <w:numFmt w:val="lowerLetter"/>
      <w:start w:val="2"/>
    </w:lvl>
  </w:abstractNum>
  <w:abstractNum w:abstractNumId="186">
    <w:nsid w:val="7775797C"/>
    <w:multiLevelType w:val="hybridMultilevel"/>
    <w:lvl w:ilvl="0">
      <w:lvlJc w:val="left"/>
      <w:lvlText w:val="(%1)"/>
      <w:numFmt w:val="lowerLetter"/>
      <w:start w:val="3"/>
    </w:lvl>
  </w:abstractNum>
  <w:abstractNum w:abstractNumId="187">
    <w:nsid w:val="1626FB8C"/>
    <w:multiLevelType w:val="hybridMultilevel"/>
    <w:lvl w:ilvl="0">
      <w:lvlJc w:val="left"/>
      <w:lvlText w:val="(%1)"/>
      <w:numFmt w:val="decimal"/>
      <w:start w:val="180"/>
    </w:lvl>
  </w:abstractNum>
  <w:abstractNum w:abstractNumId="188">
    <w:nsid w:val="3957756A"/>
    <w:multiLevelType w:val="hybridMultilevel"/>
    <w:lvl w:ilvl="0">
      <w:lvlJc w:val="left"/>
      <w:lvlText w:val="(%1)"/>
      <w:numFmt w:val="decimal"/>
      <w:start w:val="5"/>
    </w:lvl>
  </w:abstractNum>
  <w:abstractNum w:abstractNumId="189">
    <w:nsid w:val="3E6DA1C7"/>
    <w:multiLevelType w:val="hybridMultilevel"/>
    <w:lvl w:ilvl="0">
      <w:lvlJc w:val="left"/>
      <w:lvlText w:val="%1."/>
      <w:numFmt w:val="decimal"/>
      <w:start w:val="2"/>
    </w:lvl>
  </w:abstractNum>
  <w:abstractNum w:abstractNumId="190">
    <w:nsid w:val="65CA235B"/>
    <w:multiLevelType w:val="hybridMultilevel"/>
    <w:lvl w:ilvl="0">
      <w:lvlJc w:val="left"/>
      <w:lvlText w:val="(%1)"/>
      <w:numFmt w:val="lowerLetter"/>
      <w:start w:val="1"/>
    </w:lvl>
  </w:abstractNum>
  <w:abstractNum w:abstractNumId="191">
    <w:nsid w:val="51CB0DA4"/>
    <w:multiLevelType w:val="hybridMultilevel"/>
    <w:lvl w:ilvl="0">
      <w:lvlJc w:val="left"/>
      <w:lvlText w:val="(%1)"/>
      <w:numFmt w:val="lowerLetter"/>
      <w:start w:val="6"/>
    </w:lvl>
  </w:abstractNum>
  <w:abstractNum w:abstractNumId="192">
    <w:nsid w:val="7B9B743C"/>
    <w:multiLevelType w:val="hybridMultilevel"/>
    <w:lvl w:ilvl="0">
      <w:lvlJc w:val="left"/>
      <w:lvlText w:val="(%1)"/>
      <w:numFmt w:val="lowerLetter"/>
      <w:start w:val="1"/>
    </w:lvl>
  </w:abstractNum>
  <w:abstractNum w:abstractNumId="193">
    <w:nsid w:val="13E21002"/>
    <w:multiLevelType w:val="hybridMultilevel"/>
    <w:lvl w:ilvl="0">
      <w:lvlJc w:val="left"/>
      <w:lvlText w:val="(%1)"/>
      <w:numFmt w:val="lowerLetter"/>
      <w:start w:val="3"/>
    </w:lvl>
    <w:lvl w:ilvl="1">
      <w:lvlJc w:val="left"/>
      <w:lvlText w:val="(%2)"/>
      <w:numFmt w:val="lowerRoman"/>
      <w:start w:val="1"/>
    </w:lvl>
  </w:abstractNum>
  <w:abstractNum w:abstractNumId="194">
    <w:nsid w:val="257D63F4"/>
    <w:multiLevelType w:val="hybridMultilevel"/>
    <w:lvl w:ilvl="0">
      <w:lvlJc w:val="left"/>
      <w:lvlText w:val="(%1)"/>
      <w:numFmt w:val="lowerRoman"/>
      <w:start w:val="5"/>
    </w:lvl>
  </w:abstractNum>
  <w:abstractNum w:abstractNumId="195">
    <w:nsid w:val="70EC11B2"/>
    <w:multiLevelType w:val="hybridMultilevel"/>
    <w:lvl w:ilvl="0">
      <w:lvlJc w:val="left"/>
      <w:lvlText w:val="(%1)"/>
      <w:numFmt w:val="lowerLetter"/>
      <w:start w:val="2"/>
    </w:lvl>
  </w:abstractNum>
  <w:abstractNum w:abstractNumId="196">
    <w:nsid w:val="2EDA00ED"/>
    <w:multiLevelType w:val="hybridMultilevel"/>
    <w:lvl w:ilvl="0">
      <w:lvlJc w:val="left"/>
      <w:lvlText w:val="%1."/>
      <w:numFmt w:val="decimal"/>
      <w:start w:val="3"/>
    </w:lvl>
  </w:abstractNum>
  <w:abstractNum w:abstractNumId="197">
    <w:nsid w:val="73209072"/>
    <w:multiLevelType w:val="hybridMultilevel"/>
    <w:lvl w:ilvl="0">
      <w:lvlJc w:val="left"/>
      <w:lvlText w:val="%1"/>
      <w:numFmt w:val="upperLetter"/>
      <w:start w:val="1"/>
    </w:lvl>
    <w:lvl w:ilvl="1">
      <w:lvlJc w:val="left"/>
      <w:lvlText w:val="(%2)"/>
      <w:numFmt w:val="lowerLetter"/>
      <w:start w:val="1"/>
    </w:lvl>
  </w:abstractNum>
  <w:abstractNum w:abstractNumId="198">
    <w:nsid w:val="5FB29816"/>
    <w:multiLevelType w:val="hybridMultilevel"/>
    <w:lvl w:ilvl="0">
      <w:lvlJc w:val="left"/>
      <w:lvlText w:val="(%1)"/>
      <w:numFmt w:val="lowerLetter"/>
      <w:start w:val="2"/>
    </w:lvl>
  </w:abstractNum>
  <w:abstractNum w:abstractNumId="199">
    <w:nsid w:val="3CE732EC"/>
    <w:multiLevelType w:val="hybridMultilevel"/>
    <w:lvl w:ilvl="0">
      <w:lvlJc w:val="left"/>
      <w:lvlText w:val="%1."/>
      <w:numFmt w:val="decimal"/>
      <w:start w:val="1"/>
    </w:lvl>
    <w:lvl w:ilvl="1">
      <w:lvlJc w:val="left"/>
      <w:lvlText w:val="•"/>
      <w:numFmt w:val="bullet"/>
      <w:start w:val="1"/>
    </w:lvl>
  </w:abstractNum>
  <w:abstractNum w:abstractNumId="200">
    <w:nsid w:val="22F13DF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1">
    <w:nsid w:val="792B8401"/>
    <w:multiLevelType w:val="hybridMultilevel"/>
    <w:lvl w:ilvl="0">
      <w:lvlJc w:val="left"/>
      <w:lvlText w:val="(%1)"/>
      <w:numFmt w:val="lowerLetter"/>
      <w:start w:val="7"/>
    </w:lvl>
    <w:lvl w:ilvl="1">
      <w:lvlJc w:val="left"/>
      <w:lvlText w:val="(%2)"/>
      <w:numFmt w:val="lowerLetter"/>
      <w:start w:val="9"/>
    </w:lvl>
  </w:abstractNum>
  <w:abstractNum w:abstractNumId="202">
    <w:nsid w:val="FA85F4D"/>
    <w:multiLevelType w:val="hybridMultilevel"/>
    <w:lvl w:ilvl="0">
      <w:lvlJc w:val="left"/>
      <w:lvlText w:val="(%1)"/>
      <w:numFmt w:val="lowerRoman"/>
      <w:start w:val="2"/>
    </w:lvl>
  </w:abstractNum>
  <w:abstractNum w:abstractNumId="203">
    <w:nsid w:val="6ECE91F0"/>
    <w:multiLevelType w:val="hybridMultilevel"/>
    <w:lvl w:ilvl="0">
      <w:lvlJc w:val="left"/>
      <w:lvlText w:val="(%1)"/>
      <w:numFmt w:val="lowerLetter"/>
      <w:start w:val="19"/>
    </w:lvl>
  </w:abstractNum>
  <w:abstractNum w:abstractNumId="204">
    <w:nsid w:val="4FC4D600"/>
    <w:multiLevelType w:val="hybridMultilevel"/>
    <w:lvl w:ilvl="0">
      <w:lvlJc w:val="left"/>
      <w:lvlText w:val="%1"/>
      <w:numFmt w:val="decimal"/>
      <w:start w:val="1"/>
    </w:lvl>
    <w:lvl w:ilvl="1">
      <w:lvlJc w:val="left"/>
      <w:lvlText w:val="(%2)"/>
      <w:numFmt w:val="lowerLetter"/>
      <w:start w:val="27"/>
    </w:lvl>
  </w:abstractNum>
  <w:abstractNum w:abstractNumId="205">
    <w:nsid w:val="5BFD4210"/>
    <w:multiLevelType w:val="hybridMultilevel"/>
    <w:lvl w:ilvl="0">
      <w:lvlJc w:val="left"/>
      <w:lvlText w:val="%1."/>
      <w:numFmt w:val="decimal"/>
      <w:start w:val="3"/>
    </w:lvl>
    <w:lvl w:ilvl="1">
      <w:lvlJc w:val="left"/>
      <w:lvlText w:val="(%2)"/>
      <w:numFmt w:val="lowerLetter"/>
      <w:start w:val="1"/>
    </w:lvl>
  </w:abstractNum>
  <w:abstractNum w:abstractNumId="206">
    <w:nsid w:val="76574F8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7">
    <w:nsid w:val="178F7B6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08">
    <w:nsid w:val="2421DFCF"/>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lvl w:ilvl="4">
      <w:lvlJc w:val="left"/>
      <w:lvlText w:val="%5"/>
      <w:numFmt w:val="decimal"/>
      <w:start w:val="1"/>
    </w:lvl>
    <w:lvl w:ilvl="5">
      <w:lvlJc w:val="left"/>
      <w:lvlText w:val="%6"/>
      <w:numFmt w:val="upperLetter"/>
      <w:start w:val="1"/>
    </w:lvl>
  </w:abstractNum>
  <w:abstractNum w:abstractNumId="209">
    <w:nsid w:val="1565AC99"/>
    <w:multiLevelType w:val="hybridMultilevel"/>
    <w:lvl w:ilvl="0">
      <w:lvlJc w:val="left"/>
      <w:lvlText w:val="(%1)"/>
      <w:numFmt w:val="decimal"/>
      <w:start w:val="5"/>
    </w:lvl>
    <w:lvl w:ilvl="1">
      <w:lvlJc w:val="left"/>
      <w:lvlText w:val="%2"/>
      <w:numFmt w:val="decimal"/>
      <w:start w:val="1"/>
    </w:lvl>
    <w:lvl w:ilvl="2">
      <w:lvlJc w:val="left"/>
      <w:lvlText w:val="(%3)"/>
      <w:numFmt w:val="lowerLetter"/>
      <w:start w:val="5"/>
    </w:lvl>
    <w:lvl w:ilvl="3">
      <w:lvlJc w:val="left"/>
      <w:lvlText w:val="(%4)"/>
      <w:numFmt w:val="lowerRoman"/>
      <w:start w:val="1"/>
    </w:lvl>
    <w:lvl w:ilvl="4">
      <w:lvlJc w:val="left"/>
      <w:lvlText w:val="(%5)"/>
      <w:numFmt w:val="decimal"/>
      <w:start w:val="1"/>
    </w:lvl>
    <w:lvl w:ilvl="5">
      <w:lvlJc w:val="left"/>
      <w:lvlText w:val="(%6)"/>
      <w:numFmt w:val="upperLetter"/>
      <w:start w:val="1"/>
    </w:lvl>
  </w:abstractNum>
  <w:abstractNum w:abstractNumId="210">
    <w:nsid w:val="19FB2650"/>
    <w:multiLevelType w:val="hybridMultilevel"/>
    <w:lvl w:ilvl="0">
      <w:lvlJc w:val="left"/>
      <w:lvlText w:val="%1"/>
      <w:numFmt w:val="lowerLetter"/>
      <w:start w:val="1"/>
    </w:lvl>
    <w:lvl w:ilvl="1">
      <w:lvlJc w:val="left"/>
      <w:lvlText w:val="(%2)"/>
      <w:numFmt w:val="lowerLetter"/>
      <w:start w:val="61"/>
    </w:lvl>
  </w:abstractNum>
  <w:abstractNum w:abstractNumId="211">
    <w:nsid w:val="5024DE5B"/>
    <w:multiLevelType w:val="hybridMultilevel"/>
    <w:lvl w:ilvl="0">
      <w:lvlJc w:val="left"/>
      <w:lvlText w:val="(%1)"/>
      <w:numFmt w:val="lowerLetter"/>
      <w:start w:val="6"/>
    </w:lvl>
    <w:lvl w:ilvl="1">
      <w:lvlJc w:val="left"/>
      <w:lvlText w:val="(%2)"/>
      <w:numFmt w:val="lowerLetter"/>
      <w:start w:val="9"/>
    </w:lvl>
  </w:abstractNum>
  <w:abstractNum w:abstractNumId="212">
    <w:nsid w:val="168EFE17"/>
    <w:multiLevelType w:val="hybridMultilevel"/>
    <w:lvl w:ilvl="0">
      <w:lvlJc w:val="left"/>
      <w:lvlText w:val="(%1)"/>
      <w:numFmt w:val="lowerRoman"/>
      <w:start w:val="2"/>
    </w:lvl>
  </w:abstractNum>
  <w:abstractNum w:abstractNumId="213">
    <w:nsid w:val="1036B2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14">
    <w:nsid w:val="1D206B8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15">
    <w:nsid w:val="7934D3D4"/>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16">
    <w:nsid w:val="1C65E98"/>
    <w:multiLevelType w:val="hybridMultilevel"/>
    <w:lvl w:ilvl="0">
      <w:lvlJc w:val="left"/>
      <w:lvlText w:val="(%1)"/>
      <w:numFmt w:val="lowerLetter"/>
      <w:start w:val="24"/>
    </w:lvl>
    <w:lvl w:ilvl="1">
      <w:lvlJc w:val="left"/>
      <w:lvlText w:val="%2."/>
      <w:numFmt w:val="decimal"/>
      <w:start w:val="10"/>
    </w:lvl>
    <w:lvl w:ilvl="2">
      <w:lvlJc w:val="left"/>
      <w:lvlText w:val="(%3)"/>
      <w:numFmt w:val="lowerLetter"/>
      <w:start w:val="1"/>
    </w:lvl>
  </w:abstractNum>
  <w:abstractNum w:abstractNumId="217">
    <w:nsid w:val="1495E50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18">
    <w:nsid w:val="F5BCF61"/>
    <w:multiLevelType w:val="hybridMultilevel"/>
    <w:lvl w:ilvl="0">
      <w:lvlJc w:val="left"/>
      <w:lvlText w:val="%1."/>
      <w:numFmt w:val="decimal"/>
      <w:start w:val="11"/>
    </w:lvl>
    <w:lvl w:ilvl="1">
      <w:lvlJc w:val="left"/>
      <w:lvlText w:val="(%2)"/>
      <w:numFmt w:val="lowerLetter"/>
      <w:start w:val="1"/>
    </w:lvl>
  </w:abstractNum>
  <w:abstractNum w:abstractNumId="219">
    <w:nsid w:val="3B1DD403"/>
    <w:multiLevelType w:val="hybridMultilevel"/>
    <w:lvl w:ilvl="0">
      <w:lvlJc w:val="left"/>
      <w:lvlText w:val="(%1)"/>
      <w:numFmt w:val="lowerLetter"/>
      <w:start w:val="4"/>
    </w:lvl>
  </w:abstractNum>
  <w:abstractNum w:abstractNumId="220">
    <w:nsid w:val="530386D1"/>
    <w:multiLevelType w:val="hybridMultilevel"/>
    <w:lvl w:ilvl="0">
      <w:lvlJc w:val="left"/>
      <w:lvlText w:val="%1."/>
      <w:numFmt w:val="decimal"/>
      <w:start w:val="12"/>
    </w:lvl>
    <w:lvl w:ilvl="1">
      <w:lvlJc w:val="left"/>
      <w:lvlText w:val="(%2)"/>
      <w:numFmt w:val="lowerLetter"/>
      <w:start w:val="1"/>
    </w:lvl>
  </w:abstractNum>
  <w:abstractNum w:abstractNumId="221">
    <w:nsid w:val="7525F2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22">
    <w:nsid w:val="CE8E1A7"/>
    <w:multiLevelType w:val="hybridMultilevel"/>
    <w:lvl w:ilvl="0">
      <w:lvlJc w:val="left"/>
      <w:lvlText w:val="(%1)"/>
      <w:numFmt w:val="lowerLetter"/>
      <w:start w:val="61"/>
    </w:lvl>
    <w:lvl w:ilvl="1">
      <w:lvlJc w:val="left"/>
      <w:lvlText w:val="%2."/>
      <w:numFmt w:val="decimal"/>
      <w:start w:val="12"/>
    </w:lvl>
    <w:lvl w:ilvl="2">
      <w:lvlJc w:val="left"/>
      <w:lvlText w:val="(%3)"/>
      <w:numFmt w:val="lowerLetter"/>
      <w:start w:val="3"/>
    </w:lvl>
  </w:abstractNum>
  <w:abstractNum w:abstractNumId="223">
    <w:nsid w:val="4E9EFB0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4">
    <w:nsid w:val="90802BE"/>
    <w:multiLevelType w:val="hybridMultilevel"/>
    <w:lvl w:ilvl="0">
      <w:lvlJc w:val="left"/>
      <w:lvlText w:val="%1."/>
      <w:numFmt w:val="decimal"/>
      <w:start w:val="17"/>
    </w:lvl>
    <w:lvl w:ilvl="1">
      <w:lvlJc w:val="left"/>
      <w:lvlText w:val="(%2)"/>
      <w:numFmt w:val="lowerLetter"/>
      <w:start w:val="1"/>
    </w:lvl>
  </w:abstractNum>
  <w:abstractNum w:abstractNumId="225">
    <w:nsid w:val="3266459B"/>
    <w:multiLevelType w:val="hybridMultilevel"/>
    <w:lvl w:ilvl="0">
      <w:lvlJc w:val="left"/>
      <w:lvlText w:val=" "/>
      <w:numFmt w:val="bullet"/>
      <w:start w:val="1"/>
    </w:lvl>
  </w:abstractNum>
  <w:abstractNum w:abstractNumId="226">
    <w:nsid w:val="3F8B0CBF"/>
    <w:multiLevelType w:val="hybridMultilevel"/>
    <w:lvl w:ilvl="0">
      <w:lvlJc w:val="left"/>
      <w:lvlText w:val="(%1)"/>
      <w:numFmt w:val="lowerRoman"/>
      <w:start w:val="2"/>
    </w:lvl>
  </w:abstractNum>
  <w:abstractNum w:abstractNumId="227">
    <w:nsid w:val="37E203AB"/>
    <w:multiLevelType w:val="hybridMultilevel"/>
    <w:lvl w:ilvl="0">
      <w:lvlJc w:val="left"/>
      <w:lvlText w:val="(%1)"/>
      <w:numFmt w:val="lowerRoman"/>
      <w:start w:val="1"/>
    </w:lvl>
  </w:abstractNum>
  <w:abstractNum w:abstractNumId="228">
    <w:nsid w:val="2586D60E"/>
    <w:multiLevelType w:val="hybridMultilevel"/>
    <w:lvl w:ilvl="0">
      <w:lvlJc w:val="left"/>
      <w:lvlText w:val="(%1)"/>
      <w:numFmt w:val="lowerRoman"/>
      <w:start w:val="2"/>
    </w:lvl>
  </w:abstractNum>
  <w:abstractNum w:abstractNumId="229">
    <w:nsid w:val="1F3DA4D5"/>
    <w:multiLevelType w:val="hybridMultilevel"/>
    <w:lvl w:ilvl="0">
      <w:lvlJc w:val="left"/>
      <w:lvlText w:val="(%1)"/>
      <w:numFmt w:val="lowerLetter"/>
      <w:start w:val="1"/>
    </w:lvl>
  </w:abstractNum>
  <w:abstractNum w:abstractNumId="230">
    <w:nsid w:val="74C93698"/>
    <w:multiLevelType w:val="hybridMultilevel"/>
    <w:lvl w:ilvl="0">
      <w:lvlJc w:val="left"/>
      <w:lvlText w:val="%1."/>
      <w:numFmt w:val="decimal"/>
      <w:start w:val="1"/>
    </w:lvl>
    <w:lvl w:ilvl="1">
      <w:lvlJc w:val="left"/>
      <w:lvlText w:val="(%2)"/>
      <w:numFmt w:val="lowerLetter"/>
      <w:start w:val="1"/>
    </w:lvl>
  </w:abstractNum>
  <w:abstractNum w:abstractNumId="231">
    <w:nsid w:val="48781401"/>
    <w:multiLevelType w:val="hybridMultilevel"/>
    <w:lvl w:ilvl="0">
      <w:lvlJc w:val="left"/>
      <w:lvlText w:val="(%1)"/>
      <w:numFmt w:val="lowerLetter"/>
      <w:start w:val="2"/>
    </w:lvl>
  </w:abstractNum>
  <w:abstractNum w:abstractNumId="232">
    <w:nsid w:val="186928D6"/>
    <w:multiLevelType w:val="hybridMultilevel"/>
    <w:lvl w:ilvl="0">
      <w:lvlJc w:val="left"/>
      <w:lvlText w:val="%1"/>
      <w:numFmt w:val="decimal"/>
      <w:start w:val="1"/>
    </w:lvl>
    <w:lvl w:ilvl="1">
      <w:lvlJc w:val="left"/>
      <w:lvlText w:val="(%2)"/>
      <w:numFmt w:val="lowerLetter"/>
      <w:start w:val="4"/>
    </w:lvl>
  </w:abstractNum>
  <w:abstractNum w:abstractNumId="233">
    <w:nsid w:val="47195E5"/>
    <w:multiLevelType w:val="hybridMultilevel"/>
    <w:lvl w:ilvl="0">
      <w:lvlJc w:val="left"/>
      <w:lvlText w:val="%1."/>
      <w:numFmt w:val="decimal"/>
      <w:start w:val="6"/>
    </w:lvl>
    <w:lvl w:ilvl="1">
      <w:lvlJc w:val="left"/>
      <w:lvlText w:val="(%2)"/>
      <w:numFmt w:val="lowerLetter"/>
      <w:start w:val="1"/>
    </w:lvl>
  </w:abstractNum>
  <w:abstractNum w:abstractNumId="234">
    <w:nsid w:val="3746A5F2"/>
    <w:multiLevelType w:val="hybridMultilevel"/>
    <w:lvl w:ilvl="0">
      <w:lvlJc w:val="left"/>
      <w:lvlText w:val="%1."/>
      <w:numFmt w:val="decimal"/>
      <w:start w:val="7"/>
    </w:lvl>
    <w:lvl w:ilvl="1">
      <w:lvlJc w:val="left"/>
      <w:lvlText w:val="(%2)"/>
      <w:numFmt w:val="lowerLetter"/>
      <w:start w:val="1"/>
    </w:lvl>
  </w:abstractNum>
  <w:abstractNum w:abstractNumId="235">
    <w:nsid w:val="682DFED6"/>
    <w:multiLevelType w:val="hybridMultilevel"/>
    <w:lvl w:ilvl="0">
      <w:lvlJc w:val="left"/>
      <w:lvlText w:val="%1"/>
      <w:numFmt w:val="decimal"/>
      <w:start w:val="1"/>
    </w:lvl>
    <w:lvl w:ilvl="1">
      <w:lvlJc w:val="left"/>
      <w:lvlText w:val="(%2)"/>
      <w:numFmt w:val="lowerLetter"/>
      <w:start w:val="4"/>
    </w:lvl>
  </w:abstractNum>
  <w:abstractNum w:abstractNumId="236">
    <w:nsid w:val="606ED7F6"/>
    <w:multiLevelType w:val="hybridMultilevel"/>
    <w:lvl w:ilvl="0">
      <w:lvlJc w:val="left"/>
      <w:lvlText w:val="%1."/>
      <w:numFmt w:val="decimal"/>
      <w:start w:val="9"/>
    </w:lvl>
    <w:lvl w:ilvl="1">
      <w:lvlJc w:val="left"/>
      <w:lvlText w:val="(%2)"/>
      <w:numFmt w:val="lowerLetter"/>
      <w:start w:val="1"/>
    </w:lvl>
  </w:abstractNum>
  <w:abstractNum w:abstractNumId="237">
    <w:nsid w:val="2D9DF57D"/>
    <w:multiLevelType w:val="hybridMultilevel"/>
    <w:lvl w:ilvl="0">
      <w:lvlJc w:val="left"/>
      <w:lvlText w:val="(%1)"/>
      <w:numFmt w:val="lowerLetter"/>
      <w:start w:val="5"/>
    </w:lvl>
    <w:lvl w:ilvl="1">
      <w:lvlJc w:val="left"/>
      <w:lvlText w:val="(%2)"/>
      <w:numFmt w:val="lowerRoman"/>
      <w:start w:val="1"/>
    </w:lvl>
  </w:abstractNum>
  <w:abstractNum w:abstractNumId="238">
    <w:nsid w:val="7FBD7A3E"/>
    <w:multiLevelType w:val="hybridMultilevel"/>
    <w:lvl w:ilvl="0">
      <w:lvlJc w:val="left"/>
      <w:lvlText w:val="%1"/>
      <w:numFmt w:val="decimal"/>
      <w:start w:val="1"/>
    </w:lvl>
    <w:lvl w:ilvl="1">
      <w:lvlJc w:val="left"/>
      <w:lvlText w:val="(%2)"/>
      <w:numFmt w:val="lowerLetter"/>
      <w:start w:val="13"/>
    </w:lvl>
  </w:abstractNum>
  <w:abstractNum w:abstractNumId="239">
    <w:nsid w:val="490B7C5"/>
    <w:multiLevelType w:val="hybridMultilevel"/>
    <w:lvl w:ilvl="0">
      <w:lvlJc w:val="left"/>
      <w:lvlText w:val="%1."/>
      <w:numFmt w:val="decimal"/>
      <w:start w:val="11"/>
    </w:lvl>
    <w:lvl w:ilvl="1">
      <w:lvlJc w:val="left"/>
      <w:lvlText w:val="(%2)"/>
      <w:numFmt w:val="lowerLetter"/>
      <w:start w:val="1"/>
    </w:lvl>
  </w:abstractNum>
  <w:abstractNum w:abstractNumId="240">
    <w:nsid w:val="4303A216"/>
    <w:multiLevelType w:val="hybridMultilevel"/>
    <w:lvl w:ilvl="0">
      <w:lvlJc w:val="left"/>
      <w:lvlText w:val="(%1)"/>
      <w:numFmt w:val="lowerLetter"/>
      <w:start w:val="3"/>
    </w:lvl>
  </w:abstractNum>
  <w:abstractNum w:abstractNumId="241">
    <w:nsid w:val="19B8A08E"/>
    <w:multiLevelType w:val="hybridMultilevel"/>
    <w:lvl w:ilvl="0">
      <w:lvlJc w:val="left"/>
      <w:lvlText w:val="%1"/>
      <w:numFmt w:val="decimal"/>
      <w:start w:val="1"/>
    </w:lvl>
    <w:lvl w:ilvl="1">
      <w:lvlJc w:val="left"/>
      <w:lvlText w:val="(%2)"/>
      <w:numFmt w:val="lowerLetter"/>
      <w:start w:val="6"/>
    </w:lvl>
  </w:abstractNum>
  <w:abstractNum w:abstractNumId="242">
    <w:nsid w:val="54B59621"/>
    <w:multiLevelType w:val="hybridMultilevel"/>
    <w:lvl w:ilvl="0">
      <w:lvlJc w:val="left"/>
      <w:lvlText w:val="%1."/>
      <w:numFmt w:val="decimal"/>
      <w:start w:val="15"/>
    </w:lvl>
    <w:lvl w:ilvl="1">
      <w:lvlJc w:val="left"/>
      <w:lvlText w:val="%2"/>
      <w:numFmt w:val="lowerLetter"/>
      <w:start w:val="1"/>
    </w:lvl>
  </w:abstractNum>
  <w:abstractNum w:abstractNumId="243">
    <w:nsid w:val="5992A02E"/>
    <w:multiLevelType w:val="hybridMultilevel"/>
    <w:lvl w:ilvl="0">
      <w:lvlJc w:val="left"/>
      <w:lvlText w:val="%1."/>
      <w:numFmt w:val="decimal"/>
      <w:start w:val="19"/>
    </w:lvl>
  </w:abstractNum>
  <w:abstractNum w:abstractNumId="244">
    <w:nsid w:val="29EF532D"/>
    <w:multiLevelType w:val="hybridMultilevel"/>
    <w:lvl w:ilvl="0">
      <w:lvlJc w:val="left"/>
      <w:lvlText w:val="%1."/>
      <w:numFmt w:val="decimal"/>
      <w:start w:val="1"/>
    </w:lvl>
  </w:abstractNum>
  <w:abstractNum w:abstractNumId="245">
    <w:nsid w:val="71D601AF"/>
    <w:multiLevelType w:val="hybridMultilevel"/>
    <w:lvl w:ilvl="0">
      <w:lvlJc w:val="left"/>
      <w:lvlText w:val="%1."/>
      <w:numFmt w:val="decimal"/>
      <w:start w:val="2"/>
    </w:lvl>
  </w:abstractNum>
  <w:abstractNum w:abstractNumId="246">
    <w:nsid w:val="52C77402"/>
    <w:multiLevelType w:val="hybridMultilevel"/>
    <w:lvl w:ilvl="0">
      <w:lvlJc w:val="left"/>
      <w:lvlText w:val="(%1)"/>
      <w:numFmt w:val="lowerLetter"/>
      <w:start w:val="1"/>
    </w:lvl>
  </w:abstractNum>
  <w:abstractNum w:abstractNumId="247">
    <w:nsid w:val="2BB5B1C6"/>
    <w:multiLevelType w:val="hybridMultilevel"/>
    <w:lvl w:ilvl="0">
      <w:lvlJc w:val="left"/>
      <w:lvlText w:val="(%1)"/>
      <w:numFmt w:val="lowerLetter"/>
      <w:start w:val="5"/>
    </w:lvl>
  </w:abstractNum>
  <w:abstractNum w:abstractNumId="248">
    <w:nsid w:val="66BE6B9"/>
    <w:multiLevelType w:val="hybridMultilevel"/>
    <w:lvl w:ilvl="0">
      <w:lvlJc w:val="left"/>
      <w:lvlText w:val="(%1)"/>
      <w:numFmt w:val="lowerLetter"/>
      <w:start w:val="1"/>
    </w:lvl>
  </w:abstractNum>
  <w:abstractNum w:abstractNumId="249">
    <w:nsid w:val="62234363"/>
    <w:multiLevelType w:val="hybridMultilevel"/>
    <w:lvl w:ilvl="0">
      <w:lvlJc w:val="left"/>
      <w:lvlText w:val="(%1)"/>
      <w:numFmt w:val="lowerLetter"/>
      <w:start w:val="1"/>
    </w:lvl>
  </w:abstractNum>
  <w:abstractNum w:abstractNumId="250">
    <w:nsid w:val="66D385C9"/>
    <w:multiLevelType w:val="hybridMultilevel"/>
    <w:lvl w:ilvl="0">
      <w:lvlJc w:val="left"/>
      <w:lvlText w:val="(%1)"/>
      <w:numFmt w:val="lowerLetter"/>
      <w:start w:val="1"/>
    </w:lvl>
  </w:abstractNum>
  <w:abstractNum w:abstractNumId="251">
    <w:nsid w:val="596F6D8A"/>
    <w:multiLevelType w:val="hybridMultilevel"/>
    <w:lvl w:ilvl="0">
      <w:lvlJc w:val="left"/>
      <w:lvlText w:val="(%1)"/>
      <w:numFmt w:val="lowerLetter"/>
      <w:start w:val="1"/>
    </w:lvl>
  </w:abstractNum>
  <w:abstractNum w:abstractNumId="252">
    <w:nsid w:val="5749361F"/>
    <w:multiLevelType w:val="hybridMultilevel"/>
    <w:lvl w:ilvl="0">
      <w:lvlJc w:val="left"/>
      <w:lvlText w:val="%1"/>
      <w:numFmt w:val="lowerRoman"/>
      <w:start w:val="1"/>
    </w:lvl>
    <w:lvl w:ilvl="1">
      <w:lvlJc w:val="left"/>
      <w:lvlText w:val="(%2)"/>
      <w:numFmt w:val="lowerLetter"/>
      <w:start w:val="1"/>
    </w:lvl>
  </w:abstractNum>
  <w:abstractNum w:abstractNumId="253">
    <w:nsid w:val="73BC6770"/>
    <w:multiLevelType w:val="hybridMultilevel"/>
    <w:lvl w:ilvl="0">
      <w:lvlJc w:val="left"/>
      <w:lvlText w:val="(%1)"/>
      <w:numFmt w:val="lowerRoman"/>
      <w:start w:val="4"/>
    </w:lvl>
    <w:lvl w:ilvl="1">
      <w:lvlJc w:val="left"/>
      <w:lvlText w:val="(%2)"/>
      <w:numFmt w:val="lowerLetter"/>
      <w:start w:val="3"/>
    </w:lvl>
  </w:abstractNum>
  <w:abstractNum w:abstractNumId="254">
    <w:nsid w:val="280E6897"/>
    <w:multiLevelType w:val="hybridMultilevel"/>
    <w:lvl w:ilvl="0">
      <w:lvlJc w:val="left"/>
      <w:lvlText w:val="(%1)"/>
      <w:numFmt w:val="lowerLetter"/>
      <w:start w:val="6"/>
    </w:lvl>
  </w:abstractNum>
  <w:abstractNum w:abstractNumId="255">
    <w:nsid w:val="605138DE"/>
    <w:multiLevelType w:val="hybridMultilevel"/>
    <w:lvl w:ilvl="0">
      <w:lvlJc w:val="left"/>
      <w:lvlText w:val="(%1)"/>
      <w:numFmt w:val="lowerRoman"/>
      <w:start w:val="6"/>
    </w:lvl>
  </w:abstractNum>
  <w:abstractNum w:abstractNumId="256">
    <w:nsid w:val="2622AD0C"/>
    <w:multiLevelType w:val="hybridMultilevel"/>
    <w:lvl w:ilvl="0">
      <w:lvlJc w:val="left"/>
      <w:lvlText w:val="(%1)"/>
      <w:numFmt w:val="lowerLetter"/>
      <w:start w:val="1"/>
    </w:lvl>
    <w:lvl w:ilvl="1">
      <w:lvlJc w:val="left"/>
      <w:lvlText w:val="(%2)"/>
      <w:numFmt w:val="lowerRoman"/>
      <w:start w:val="1"/>
    </w:lvl>
  </w:abstractNum>
  <w:abstractNum w:abstractNumId="257">
    <w:nsid w:val="67997556"/>
    <w:multiLevelType w:val="hybridMultilevel"/>
    <w:lvl w:ilvl="0">
      <w:lvlJc w:val="left"/>
      <w:lvlText w:val="(%1)"/>
      <w:numFmt w:val="lowerLetter"/>
      <w:start w:val="2"/>
    </w:lvl>
  </w:abstractNum>
  <w:abstractNum w:abstractNumId="258">
    <w:nsid w:val="18333C8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59">
    <w:nsid w:val="4BA9831A"/>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abstractNum>
  <w:abstractNum w:abstractNumId="260">
    <w:nsid w:val="6D71A2B"/>
    <w:multiLevelType w:val="hybridMultilevel"/>
    <w:lvl w:ilvl="0">
      <w:lvlJc w:val="left"/>
      <w:lvlText w:val="%1."/>
      <w:numFmt w:val="decimal"/>
      <w:start w:val="5"/>
    </w:lvl>
  </w:abstractNum>
  <w:abstractNum w:abstractNumId="261">
    <w:nsid w:val="CFC7321"/>
    <w:multiLevelType w:val="hybridMultilevel"/>
    <w:lvl w:ilvl="0">
      <w:lvlJc w:val="left"/>
      <w:lvlText w:val="%1."/>
      <w:numFmt w:val="decimal"/>
      <w:start w:val="6"/>
    </w:lvl>
  </w:abstractNum>
  <w:abstractNum w:abstractNumId="262">
    <w:nsid w:val="1421971B"/>
    <w:multiLevelType w:val="hybridMultilevel"/>
    <w:lvl w:ilvl="0">
      <w:lvlJc w:val="left"/>
      <w:lvlText w:val="(%1)"/>
      <w:numFmt w:val="lowerLetter"/>
      <w:start w:val="1"/>
    </w:lvl>
  </w:abstractNum>
  <w:abstractNum w:abstractNumId="263">
    <w:nsid w:val="1F404301"/>
    <w:multiLevelType w:val="hybridMultilevel"/>
    <w:lvl w:ilvl="0">
      <w:lvlJc w:val="left"/>
      <w:lvlText w:val="(%1)"/>
      <w:numFmt w:val="lowerLetter"/>
      <w:start w:val="1"/>
    </w:lvl>
  </w:abstractNum>
  <w:abstractNum w:abstractNumId="264">
    <w:nsid w:val="116E0907"/>
    <w:multiLevelType w:val="hybridMultilevel"/>
    <w:lvl w:ilvl="0">
      <w:lvlJc w:val="left"/>
      <w:lvlText w:val="(%1)"/>
      <w:numFmt w:val="lowerLetter"/>
      <w:start w:val="1"/>
    </w:lvl>
  </w:abstractNum>
  <w:abstractNum w:abstractNumId="265">
    <w:nsid w:val="4B683D0D"/>
    <w:multiLevelType w:val="hybridMultilevel"/>
    <w:lvl w:ilvl="0">
      <w:lvlJc w:val="left"/>
      <w:lvlText w:val="(%1)"/>
      <w:numFmt w:val="lowerLetter"/>
      <w:start w:val="1"/>
    </w:lvl>
  </w:abstractNum>
  <w:abstractNum w:abstractNumId="266">
    <w:nsid w:val="76E41D8"/>
    <w:multiLevelType w:val="hybridMultilevel"/>
    <w:lvl w:ilvl="0">
      <w:lvlJc w:val="left"/>
      <w:lvlText w:val="%1"/>
      <w:numFmt w:val="decimal"/>
      <w:start w:val="1"/>
    </w:lvl>
    <w:lvl w:ilvl="1">
      <w:lvlJc w:val="left"/>
      <w:lvlText w:val="(%2)"/>
      <w:numFmt w:val="lowerLetter"/>
      <w:start w:val="2"/>
    </w:lvl>
  </w:abstractNum>
  <w:abstractNum w:abstractNumId="267">
    <w:nsid w:val="71DCE0FD"/>
    <w:multiLevelType w:val="hybridMultilevel"/>
    <w:lvl w:ilvl="0">
      <w:lvlJc w:val="left"/>
      <w:lvlText w:val="(%1)"/>
      <w:numFmt w:val="decimal"/>
      <w:start w:val="90"/>
    </w:lvl>
    <w:lvl w:ilvl="1">
      <w:lvlJc w:val="left"/>
      <w:lvlText w:val="(%2)"/>
      <w:numFmt w:val="lowerLetter"/>
      <w:start w:val="4"/>
    </w:lvl>
  </w:abstractNum>
  <w:abstractNum w:abstractNumId="268">
    <w:nsid w:val="7906328B"/>
    <w:multiLevelType w:val="hybridMultilevel"/>
    <w:lvl w:ilvl="0">
      <w:lvlJc w:val="left"/>
      <w:lvlText w:val="(%1)"/>
      <w:numFmt w:val="lowerLetter"/>
      <w:start w:val="1"/>
    </w:lvl>
  </w:abstractNum>
  <w:abstractNum w:abstractNumId="269">
    <w:nsid w:val="72BBC16"/>
    <w:multiLevelType w:val="hybridMultilevel"/>
    <w:lvl w:ilvl="0">
      <w:lvlJc w:val="left"/>
      <w:lvlText w:val="(%1)"/>
      <w:numFmt w:val="lowerLetter"/>
      <w:start w:val="2"/>
    </w:lvl>
  </w:abstractNum>
  <w:abstractNum w:abstractNumId="270">
    <w:nsid w:val="766D98C2"/>
    <w:multiLevelType w:val="hybridMultilevel"/>
    <w:lvl w:ilvl="0">
      <w:lvlJc w:val="left"/>
      <w:lvlText w:val="(%1)"/>
      <w:numFmt w:val="lowerLetter"/>
      <w:start w:val="1"/>
    </w:lvl>
  </w:abstractNum>
  <w:abstractNum w:abstractNumId="271">
    <w:nsid w:val="3C09D4A1"/>
    <w:multiLevelType w:val="hybridMultilevel"/>
    <w:lvl w:ilvl="0">
      <w:lvlJc w:val="left"/>
      <w:lvlText w:val="(%1)"/>
      <w:numFmt w:val="lowerLetter"/>
      <w:start w:val="1"/>
    </w:lvl>
  </w:abstractNum>
  <w:abstractNum w:abstractNumId="272">
    <w:nsid w:val="20E45CA4"/>
    <w:multiLevelType w:val="hybridMultilevel"/>
    <w:lvl w:ilvl="0">
      <w:lvlJc w:val="left"/>
      <w:lvlText w:val="%1"/>
      <w:numFmt w:val="decimal"/>
      <w:start w:val="1"/>
    </w:lvl>
    <w:lvl w:ilvl="1">
      <w:lvlJc w:val="left"/>
      <w:lvlText w:val="(%2)"/>
      <w:numFmt w:val="lowerLetter"/>
      <w:start w:val="5"/>
    </w:lvl>
  </w:abstractNum>
  <w:abstractNum w:abstractNumId="273">
    <w:nsid w:val="4B232EE3"/>
    <w:multiLevelType w:val="hybridMultilevel"/>
    <w:lvl w:ilvl="0">
      <w:lvlJc w:val="left"/>
      <w:lvlText w:val="(%1)"/>
      <w:numFmt w:val="decimal"/>
      <w:start w:val="30"/>
    </w:lvl>
    <w:lvl w:ilvl="1">
      <w:lvlJc w:val="left"/>
      <w:lvlText w:val="%2"/>
      <w:numFmt w:val="lowerLetter"/>
      <w:start w:val="1"/>
    </w:lvl>
  </w:abstractNum>
  <w:abstractNum w:abstractNumId="274">
    <w:nsid w:val="159C74CF"/>
    <w:multiLevelType w:val="hybridMultilevel"/>
    <w:lvl w:ilvl="0">
      <w:lvlJc w:val="left"/>
      <w:lvlText w:val="(%1)"/>
      <w:numFmt w:val="lowerLetter"/>
      <w:start w:val="1"/>
    </w:lvl>
    <w:lvl w:ilvl="1">
      <w:lvlJc w:val="left"/>
      <w:lvlText w:val="(%2)"/>
      <w:numFmt w:val="lowerRoman"/>
      <w:start w:val="1"/>
    </w:lvl>
  </w:abstractNum>
  <w:abstractNum w:abstractNumId="275">
    <w:nsid w:val="4AD3AFD2"/>
    <w:multiLevelType w:val="hybridMultilevel"/>
    <w:lvl w:ilvl="0">
      <w:lvlJc w:val="left"/>
      <w:lvlText w:val="%1"/>
      <w:numFmt w:val="lowerLetter"/>
      <w:start w:val="1"/>
    </w:lvl>
    <w:lvl w:ilvl="1">
      <w:lvlJc w:val="left"/>
      <w:lvlText w:val="(%2)"/>
      <w:numFmt w:val="lowerRoman"/>
      <w:start w:val="5"/>
    </w:lvl>
  </w:abstractNum>
  <w:abstractNum w:abstractNumId="276">
    <w:nsid w:val="3CF93092"/>
    <w:multiLevelType w:val="hybridMultilevel"/>
    <w:lvl w:ilvl="0">
      <w:lvlJc w:val="left"/>
      <w:lvlText w:val="(%1)"/>
      <w:numFmt w:val="lowerLetter"/>
      <w:start w:val="3"/>
    </w:lvl>
    <w:lvl w:ilvl="1">
      <w:lvlJc w:val="left"/>
      <w:lvlText w:val="%2"/>
      <w:numFmt w:val="lowerRoman"/>
      <w:start w:val="1"/>
    </w:lvl>
  </w:abstractNum>
  <w:abstractNum w:abstractNumId="277">
    <w:nsid w:val="6863E8D2"/>
    <w:multiLevelType w:val="hybridMultilevel"/>
    <w:lvl w:ilvl="0">
      <w:lvlJc w:val="left"/>
      <w:lvlText w:val="(%1)"/>
      <w:numFmt w:val="lowerLetter"/>
      <w:start w:val="1"/>
    </w:lvl>
  </w:abstractNum>
  <w:abstractNum w:abstractNumId="278">
    <w:nsid w:val="76896198"/>
    <w:multiLevelType w:val="hybridMultilevel"/>
    <w:lvl w:ilvl="0">
      <w:lvlJc w:val="left"/>
      <w:lvlText w:val="(%1)"/>
      <w:numFmt w:val="lowerLetter"/>
      <w:start w:val="1"/>
    </w:lvl>
  </w:abstractNum>
  <w:abstractNum w:abstractNumId="279">
    <w:nsid w:val="4365174B"/>
    <w:multiLevelType w:val="hybridMultilevel"/>
    <w:lvl w:ilvl="0">
      <w:lvlJc w:val="left"/>
      <w:lvlText w:val="(%1)"/>
      <w:numFmt w:val="lowerLetter"/>
      <w:start w:val="2"/>
    </w:lvl>
  </w:abstractNum>
  <w:abstractNum w:abstractNumId="280">
    <w:nsid w:val="4A872C35"/>
    <w:multiLevelType w:val="hybridMultilevel"/>
    <w:lvl w:ilvl="0">
      <w:lvlJc w:val="left"/>
      <w:lvlText w:val="(%1)"/>
      <w:numFmt w:val="lowerLetter"/>
      <w:start w:val="1"/>
    </w:lvl>
  </w:abstractNum>
  <w:abstractNum w:abstractNumId="281">
    <w:nsid w:val="5D5CE761"/>
    <w:multiLevelType w:val="hybridMultilevel"/>
    <w:lvl w:ilvl="0">
      <w:lvlJc w:val="left"/>
      <w:lvlText w:val="(%1)"/>
      <w:numFmt w:val="lowerLetter"/>
      <w:start w:val="2"/>
    </w:lvl>
  </w:abstractNum>
  <w:abstractNum w:abstractNumId="282">
    <w:nsid w:val="1CD484D5"/>
    <w:multiLevelType w:val="hybridMultilevel"/>
    <w:lvl w:ilvl="0">
      <w:lvlJc w:val="left"/>
      <w:lvlText w:val="(%1)"/>
      <w:numFmt w:val="lowerLetter"/>
      <w:start w:val="1"/>
    </w:lvl>
  </w:abstractNum>
  <w:abstractNum w:abstractNumId="283">
    <w:nsid w:val="21D06255"/>
    <w:multiLevelType w:val="hybridMultilevel"/>
    <w:lvl w:ilvl="0">
      <w:lvlJc w:val="left"/>
      <w:lvlText w:val="(%1)"/>
      <w:numFmt w:val="lowerLetter"/>
      <w:start w:val="2"/>
    </w:lvl>
  </w:abstractNum>
  <w:abstractNum w:abstractNumId="284">
    <w:nsid w:val="51194ED1"/>
    <w:multiLevelType w:val="hybridMultilevel"/>
    <w:lvl w:ilvl="0">
      <w:lvlJc w:val="left"/>
      <w:lvlText w:val="%1."/>
      <w:numFmt w:val="decimal"/>
      <w:start w:val="1"/>
    </w:lvl>
  </w:abstractNum>
  <w:abstractNum w:abstractNumId="285">
    <w:nsid w:val="44E2ED6C"/>
    <w:multiLevelType w:val="hybridMultilevel"/>
    <w:lvl w:ilvl="0">
      <w:lvlJc w:val="left"/>
      <w:lvlText w:val="%1."/>
      <w:numFmt w:val="decimal"/>
      <w:start w:val="5"/>
    </w:lvl>
  </w:abstractNum>
  <w:abstractNum w:abstractNumId="286">
    <w:nsid w:val="2219B33"/>
    <w:multiLevelType w:val="hybridMultilevel"/>
    <w:lvl w:ilvl="0">
      <w:lvlJc w:val="left"/>
      <w:lvlText w:val="(%1)"/>
      <w:numFmt w:val="lowerLetter"/>
      <w:start w:val="1"/>
    </w:lvl>
  </w:abstractNum>
  <w:abstractNum w:abstractNumId="287">
    <w:nsid w:val="773BFBDD"/>
    <w:multiLevelType w:val="hybridMultilevel"/>
    <w:lvl w:ilvl="0">
      <w:lvlJc w:val="left"/>
      <w:lvlText w:val="%1"/>
      <w:numFmt w:val="decimal"/>
      <w:start w:val="1"/>
    </w:lvl>
    <w:lvl w:ilvl="1">
      <w:lvlJc w:val="left"/>
      <w:lvlText w:val="(%2)"/>
      <w:numFmt w:val="lowerLetter"/>
      <w:start w:val="3"/>
    </w:lvl>
  </w:abstractNum>
  <w:abstractNum w:abstractNumId="288">
    <w:nsid w:val="2C7C62C2"/>
    <w:multiLevelType w:val="hybridMultilevel"/>
    <w:lvl w:ilvl="0">
      <w:lvlJc w:val="left"/>
      <w:lvlText w:val="(%1)"/>
      <w:numFmt w:val="decimal"/>
      <w:start w:val="30"/>
    </w:lvl>
    <w:lvl w:ilvl="1">
      <w:lvlJc w:val="left"/>
      <w:lvlText w:val="%2"/>
      <w:numFmt w:val="lowerLetter"/>
      <w:start w:val="1"/>
    </w:lvl>
  </w:abstractNum>
  <w:abstractNum w:abstractNumId="289">
    <w:nsid w:val="1A54D7BC"/>
    <w:multiLevelType w:val="hybridMultilevel"/>
    <w:lvl w:ilvl="0">
      <w:lvlJc w:val="left"/>
      <w:lvlText w:val="(%1)"/>
      <w:numFmt w:val="lowerLetter"/>
      <w:start w:val="1"/>
    </w:lvl>
    <w:lvl w:ilvl="1">
      <w:lvlJc w:val="left"/>
      <w:lvlText w:val="(%2)"/>
      <w:numFmt w:val="lowerRoman"/>
      <w:start w:val="1"/>
    </w:lvl>
  </w:abstractNum>
  <w:abstractNum w:abstractNumId="290">
    <w:nsid w:val="42E57EF7"/>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291">
    <w:nsid w:val="33537CED"/>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92">
    <w:nsid w:val="27514ADE"/>
    <w:multiLevelType w:val="hybridMultilevel"/>
    <w:lvl w:ilvl="0">
      <w:lvlJc w:val="left"/>
      <w:lvlText w:val="(%1)"/>
      <w:numFmt w:val="lowerLetter"/>
      <w:start w:val="1"/>
    </w:lvl>
  </w:abstractNum>
  <w:abstractNum w:abstractNumId="293">
    <w:nsid w:val="57071613"/>
    <w:multiLevelType w:val="hybridMultilevel"/>
    <w:lvl w:ilvl="0">
      <w:lvlJc w:val="left"/>
      <w:lvlText w:val="(%1)"/>
      <w:numFmt w:val="lowerLetter"/>
      <w:start w:val="3"/>
    </w:lvl>
  </w:abstractNum>
  <w:abstractNum w:abstractNumId="294">
    <w:nsid w:val="5293BFEF"/>
    <w:multiLevelType w:val="hybridMultilevel"/>
    <w:lvl w:ilvl="0">
      <w:lvlJc w:val="left"/>
      <w:lvlText w:val="(%1)"/>
      <w:numFmt w:val="lowerLetter"/>
      <w:start w:val="1"/>
    </w:lvl>
  </w:abstractNum>
  <w:abstractNum w:abstractNumId="295">
    <w:nsid w:val="38BF53E5"/>
    <w:multiLevelType w:val="hybridMultilevel"/>
    <w:lvl w:ilvl="0">
      <w:lvlJc w:val="left"/>
      <w:lvlText w:val="(%1)"/>
      <w:numFmt w:val="lowerLetter"/>
      <w:start w:val="1"/>
    </w:lvl>
  </w:abstractNum>
  <w:abstractNum w:abstractNumId="296">
    <w:nsid w:val="226F5320"/>
    <w:multiLevelType w:val="hybridMultilevel"/>
    <w:lvl w:ilvl="0">
      <w:lvlJc w:val="left"/>
      <w:lvlText w:val="(%1)"/>
      <w:numFmt w:val="lowerLetter"/>
      <w:start w:val="2"/>
    </w:lvl>
  </w:abstractNum>
  <w:abstractNum w:abstractNumId="297">
    <w:nsid w:val="5A0201C7"/>
    <w:multiLevelType w:val="hybridMultilevel"/>
    <w:lvl w:ilvl="0">
      <w:lvlJc w:val="left"/>
      <w:lvlText w:val="(%1)"/>
      <w:numFmt w:val="lowerLetter"/>
      <w:start w:val="1"/>
    </w:lvl>
  </w:abstractNum>
  <w:abstractNum w:abstractNumId="298">
    <w:nsid w:val="2A9C34E2"/>
    <w:multiLevelType w:val="hybridMultilevel"/>
    <w:lvl w:ilvl="0">
      <w:lvlJc w:val="left"/>
      <w:lvlText w:val="(%1)"/>
      <w:numFmt w:val="lowerLetter"/>
      <w:start w:val="2"/>
    </w:lvl>
  </w:abstractNum>
  <w:abstractNum w:abstractNumId="299">
    <w:nsid w:val="1B7585AB"/>
    <w:multiLevelType w:val="hybridMultilevel"/>
    <w:lvl w:ilvl="0">
      <w:lvlJc w:val="left"/>
      <w:lvlText w:val="(%1)"/>
      <w:numFmt w:val="lowerLetter"/>
      <w:start w:val="1"/>
    </w:lvl>
  </w:abstractNum>
  <w:abstractNum w:abstractNumId="300">
    <w:nsid w:val="612DBDDD"/>
    <w:multiLevelType w:val="hybridMultilevel"/>
    <w:lvl w:ilvl="0">
      <w:lvlJc w:val="left"/>
      <w:lvlText w:val="(%1)"/>
      <w:numFmt w:val="lowerLetter"/>
      <w:start w:val="2"/>
    </w:lvl>
  </w:abstractNum>
  <w:abstractNum w:abstractNumId="301">
    <w:nsid w:val="2109CDA4"/>
    <w:multiLevelType w:val="hybridMultilevel"/>
    <w:lvl w:ilvl="0">
      <w:lvlJc w:val="left"/>
      <w:lvlText w:val="(%1)"/>
      <w:numFmt w:val="lowerLetter"/>
      <w:start w:val="4"/>
    </w:lvl>
  </w:abstractNum>
  <w:abstractNum w:abstractNumId="302">
    <w:nsid w:val="577F5A4D"/>
    <w:multiLevelType w:val="hybridMultilevel"/>
    <w:lvl w:ilvl="0">
      <w:lvlJc w:val="left"/>
      <w:lvlText w:val="(%1)"/>
      <w:numFmt w:val="lowerLetter"/>
      <w:start w:val="1"/>
    </w:lvl>
    <w:lvl w:ilvl="1">
      <w:lvlJc w:val="left"/>
      <w:lvlText w:val="*"/>
      <w:numFmt w:val="bullet"/>
      <w:start w:val="1"/>
    </w:lvl>
  </w:abstractNum>
  <w:abstractNum w:abstractNumId="303">
    <w:nsid w:val="2121A81"/>
    <w:multiLevelType w:val="hybridMultilevel"/>
    <w:lvl w:ilvl="0">
      <w:lvlJc w:val="left"/>
      <w:lvlText w:val="%1."/>
      <w:numFmt w:val="decimal"/>
      <w:start w:val="1"/>
    </w:lvl>
  </w:abstractNum>
  <w:abstractNum w:abstractNumId="304">
    <w:nsid w:val="6C2CFC88"/>
    <w:multiLevelType w:val="hybridMultilevel"/>
    <w:lvl w:ilvl="0">
      <w:lvlJc w:val="left"/>
      <w:lvlText w:val="%1."/>
      <w:numFmt w:val="decimal"/>
      <w:start w:val="5"/>
    </w:lvl>
  </w:abstractNum>
  <w:abstractNum w:abstractNumId="305">
    <w:nsid w:val="6D1BCF1C"/>
    <w:multiLevelType w:val="hybridMultilevel"/>
    <w:lvl w:ilvl="0">
      <w:lvlJc w:val="left"/>
      <w:lvlText w:val="[***]"/>
      <w:numFmt w:val="bullet"/>
      <w:start w:val="1"/>
    </w:lvl>
  </w:abstractNum>
  <w:abstractNum w:abstractNumId="306">
    <w:nsid w:val="4CE5CA53"/>
    <w:multiLevelType w:val="hybridMultilevel"/>
    <w:lvl w:ilvl="0">
      <w:lvlJc w:val="left"/>
      <w:lvlText w:val="(%1)"/>
      <w:numFmt w:val="lowerLetter"/>
      <w:start w:val="2"/>
    </w:lvl>
  </w:abstractNum>
  <w:abstractNum w:abstractNumId="307">
    <w:nsid w:val="29262D1A"/>
    <w:multiLevelType w:val="hybridMultilevel"/>
    <w:lvl w:ilvl="0">
      <w:lvlJc w:val="left"/>
      <w:lvlText w:val="(%1)"/>
      <w:numFmt w:val="lowerLetter"/>
      <w:start w:val="3"/>
    </w:lvl>
  </w:abstractNum>
  <w:abstractNum w:abstractNumId="308">
    <w:nsid w:val="557FB7EE"/>
    <w:multiLevelType w:val="hybridMultilevel"/>
    <w:lvl w:ilvl="0">
      <w:lvlJc w:val="left"/>
      <w:lvlText w:val="(%1)"/>
      <w:numFmt w:val="lowerRoman"/>
      <w:start w:val="2"/>
    </w:lvl>
  </w:abstractNum>
  <w:abstractNum w:abstractNumId="309">
    <w:nsid w:val="436F2BEB"/>
    <w:multiLevelType w:val="hybridMultilevel"/>
    <w:lvl w:ilvl="0">
      <w:lvlJc w:val="left"/>
      <w:lvlText w:val="(%1)"/>
      <w:numFmt w:val="lowerLetter"/>
      <w:start w:val="4"/>
    </w:lvl>
  </w:abstractNum>
  <w:abstractNum w:abstractNumId="310">
    <w:nsid w:val="6C8B4466"/>
    <w:multiLevelType w:val="hybridMultilevel"/>
    <w:lvl w:ilvl="0">
      <w:lvlJc w:val="left"/>
      <w:lvlText w:val="[***]"/>
      <w:numFmt w:val="bullet"/>
      <w:start w:val="1"/>
    </w:lvl>
  </w:abstractNum>
  <w:abstractNum w:abstractNumId="311">
    <w:nsid w:val="2006E424"/>
    <w:multiLevelType w:val="hybridMultilevel"/>
    <w:lvl w:ilvl="0">
      <w:lvlJc w:val="left"/>
      <w:lvlText w:val="(%1)"/>
      <w:numFmt w:val="decimal"/>
      <w:start w:val="4"/>
    </w:lvl>
  </w:abstractNum>
  <w:abstractNum w:abstractNumId="312">
    <w:nsid w:val="20CC134C"/>
    <w:multiLevelType w:val="hybridMultilevel"/>
    <w:lvl w:ilvl="0">
      <w:lvlJc w:val="left"/>
      <w:lvlText w:val="(%1)"/>
      <w:numFmt w:val="lowerLetter"/>
      <w:start w:val="2"/>
    </w:lvl>
  </w:abstractNum>
  <w:abstractNum w:abstractNumId="313">
    <w:nsid w:val="95FC93B"/>
    <w:multiLevelType w:val="hybridMultilevel"/>
    <w:lvl w:ilvl="0">
      <w:lvlJc w:val="left"/>
      <w:lvlText w:val="(%1)"/>
      <w:numFmt w:val="lowerLetter"/>
      <w:start w:val="2"/>
    </w:lvl>
  </w:abstractNum>
  <w:abstractNum w:abstractNumId="314">
    <w:nsid w:val="41D74679"/>
    <w:multiLevelType w:val="hybridMultilevel"/>
    <w:lvl w:ilvl="0">
      <w:lvlJc w:val="left"/>
      <w:lvlText w:val="(%1)"/>
      <w:numFmt w:val="lowerLetter"/>
      <w:start w:val="1"/>
    </w:lvl>
  </w:abstractNum>
  <w:abstractNum w:abstractNumId="315">
    <w:nsid w:val="71E5621E"/>
    <w:multiLevelType w:val="hybridMultilevel"/>
    <w:lvl w:ilvl="0">
      <w:lvlJc w:val="left"/>
      <w:lvlText w:val="(%1)"/>
      <w:numFmt w:val="lowerRoman"/>
      <w:start w:val="3"/>
    </w:lvl>
  </w:abstractNum>
  <w:abstractNum w:abstractNumId="316">
    <w:nsid w:val="4E42B6A8"/>
    <w:multiLevelType w:val="hybridMultilevel"/>
    <w:lvl w:ilvl="0">
      <w:lvlJc w:val="left"/>
      <w:lvlText w:val="(%1)"/>
      <w:numFmt w:val="lowerLetter"/>
      <w:start w:val="5"/>
    </w:lvl>
  </w:abstractNum>
  <w:abstractNum w:abstractNumId="317">
    <w:nsid w:val="43F8E1AC"/>
    <w:multiLevelType w:val="hybridMultilevel"/>
    <w:lvl w:ilvl="0">
      <w:lvlJc w:val="left"/>
      <w:lvlText w:val="(%1)"/>
      <w:numFmt w:val="lowerLetter"/>
      <w:start w:val="1"/>
    </w:lvl>
  </w:abstractNum>
  <w:abstractNum w:abstractNumId="318">
    <w:nsid w:val="69215DFB"/>
    <w:multiLevelType w:val="hybridMultilevel"/>
    <w:lvl w:ilvl="0">
      <w:lvlJc w:val="left"/>
      <w:lvlText w:val="[***]"/>
      <w:numFmt w:val="bullet"/>
      <w:start w:val="1"/>
    </w:lvl>
  </w:abstractNum>
  <w:abstractNum w:abstractNumId="319">
    <w:nsid w:val="7ABF196A"/>
    <w:multiLevelType w:val="hybridMultilevel"/>
    <w:lvl w:ilvl="0">
      <w:lvlJc w:val="left"/>
      <w:lvlText w:val="(%1)"/>
      <w:numFmt w:val="lowerRoman"/>
      <w:start w:val="2"/>
    </w:lvl>
  </w:abstractNum>
  <w:abstractNum w:abstractNumId="320">
    <w:nsid w:val="5E4DB968"/>
    <w:multiLevelType w:val="hybridMultilevel"/>
    <w:lvl w:ilvl="0">
      <w:lvlJc w:val="left"/>
      <w:lvlText w:val="(%1)"/>
      <w:numFmt w:val="decimal"/>
      <w:start w:val="30"/>
    </w:lvl>
  </w:abstractNum>
  <w:abstractNum w:abstractNumId="321">
    <w:nsid w:val="2C06DCF3"/>
    <w:multiLevelType w:val="hybridMultilevel"/>
    <w:lvl w:ilvl="0">
      <w:lvlJc w:val="left"/>
      <w:lvlText w:val="(%1)"/>
      <w:numFmt w:val="lowerRoman"/>
      <w:start w:val="1"/>
    </w:lvl>
  </w:abstractNum>
  <w:abstractNum w:abstractNumId="322">
    <w:nsid w:val="2E129658"/>
    <w:multiLevelType w:val="hybridMultilevel"/>
    <w:lvl w:ilvl="0">
      <w:lvlJc w:val="left"/>
      <w:lvlText w:val="(%1)"/>
      <w:numFmt w:val="lowerRoman"/>
      <w:start w:val="1"/>
    </w:lvl>
  </w:abstractNum>
  <w:abstractNum w:abstractNumId="323">
    <w:nsid w:val="59F0446"/>
    <w:multiLevelType w:val="hybridMultilevel"/>
    <w:lvl w:ilvl="0">
      <w:lvlJc w:val="left"/>
      <w:lvlText w:val="(%1)"/>
      <w:numFmt w:val="lowerLetter"/>
      <w:start w:val="1"/>
    </w:lvl>
  </w:abstractNum>
  <w:abstractNum w:abstractNumId="324">
    <w:nsid w:val="30DF306"/>
    <w:multiLevelType w:val="hybridMultilevel"/>
    <w:lvl w:ilvl="0">
      <w:lvlJc w:val="left"/>
      <w:lvlText w:val="§"/>
      <w:numFmt w:val="bullet"/>
      <w:start w:val="1"/>
    </w:lvl>
  </w:abstractNum>
  <w:abstractNum w:abstractNumId="325">
    <w:nsid w:val="A65647"/>
    <w:multiLevelType w:val="hybridMultilevel"/>
    <w:lvl w:ilvl="0">
      <w:lvlJc w:val="left"/>
      <w:lvlText w:val="(%1)"/>
      <w:numFmt w:val="lowerLetter"/>
      <w:start w:val="1"/>
    </w:lvl>
  </w:abstractNum>
  <w:abstractNum w:abstractNumId="326">
    <w:nsid w:val="3E5E582B"/>
    <w:multiLevelType w:val="hybridMultilevel"/>
    <w:lvl w:ilvl="0">
      <w:lvlJc w:val="left"/>
      <w:lvlText w:val="(%1)"/>
      <w:numFmt w:val="lowerLetter"/>
      <w:start w:val="1"/>
    </w:lvl>
  </w:abstractNum>
  <w:abstractNum w:abstractNumId="327">
    <w:nsid w:val="257D4626"/>
    <w:multiLevelType w:val="hybridMultilevel"/>
    <w:lvl w:ilvl="0">
      <w:lvlJc w:val="left"/>
      <w:lvlText w:val="(%1)"/>
      <w:numFmt w:val="lowerRoman"/>
      <w:start w:val="2"/>
    </w:lvl>
  </w:abstractNum>
  <w:abstractNum w:abstractNumId="328">
    <w:nsid w:val="5AA8580E"/>
    <w:multiLevelType w:val="hybridMultilevel"/>
    <w:lvl w:ilvl="0">
      <w:lvlJc w:val="left"/>
      <w:lvlText w:val="(%1)"/>
      <w:numFmt w:val="lowerRoman"/>
      <w:start w:val="2"/>
    </w:lvl>
  </w:abstractNum>
  <w:abstractNum w:abstractNumId="329">
    <w:nsid w:val="68FA8D0D"/>
    <w:multiLevelType w:val="hybridMultilevel"/>
    <w:lvl w:ilvl="0">
      <w:lvlJc w:val="left"/>
      <w:lvlText w:val="(%1)"/>
      <w:numFmt w:val="lowerRoman"/>
      <w:start w:val="1"/>
    </w:lvl>
  </w:abstractNum>
  <w:abstractNum w:abstractNumId="330">
    <w:nsid w:val="40F2CBD2"/>
    <w:multiLevelType w:val="hybridMultilevel"/>
    <w:lvl w:ilvl="0">
      <w:lvlJc w:val="left"/>
      <w:lvlText w:val="(%1)"/>
      <w:numFmt w:val="decimal"/>
      <w:start w:val="2"/>
    </w:lvl>
  </w:abstractNum>
  <w:abstractNum w:abstractNumId="331">
    <w:nsid w:val="3BD615EB"/>
    <w:multiLevelType w:val="hybridMultilevel"/>
    <w:lvl w:ilvl="0">
      <w:lvlJc w:val="left"/>
      <w:lvlText w:val="(%1)"/>
      <w:numFmt w:val="decimal"/>
      <w:start w:val="1"/>
    </w:lvl>
  </w:abstractNum>
  <w:abstractNum w:abstractNumId="332">
    <w:nsid w:val="A045AB2"/>
    <w:multiLevelType w:val="hybridMultilevel"/>
    <w:lvl w:ilvl="0">
      <w:lvlJc w:val="left"/>
      <w:lvlText w:val="(%1)"/>
      <w:numFmt w:val="lowerRoman"/>
      <w:start w:val="1"/>
    </w:lvl>
  </w:abstractNum>
  <w:abstractNum w:abstractNumId="333">
    <w:nsid w:val="1872261F"/>
    <w:multiLevelType w:val="hybridMultilevel"/>
    <w:lvl w:ilvl="0">
      <w:lvlJc w:val="left"/>
      <w:lvlText w:val="(%1)"/>
      <w:numFmt w:val="lowerLetter"/>
      <w:start w:val="3"/>
    </w:lvl>
  </w:abstractNum>
  <w:abstractNum w:abstractNumId="334">
    <w:nsid w:val="3DE8306C"/>
    <w:multiLevelType w:val="hybridMultilevel"/>
    <w:lvl w:ilvl="0">
      <w:lvlJc w:val="left"/>
      <w:lvlText w:val="(%1)"/>
      <w:numFmt w:val="lowerLetter"/>
      <w:start w:val="2"/>
    </w:lvl>
  </w:abstractNum>
  <w:abstractNum w:abstractNumId="335">
    <w:nsid w:val="7631573A"/>
    <w:multiLevelType w:val="hybridMultilevel"/>
    <w:lvl w:ilvl="0">
      <w:lvlJc w:val="left"/>
      <w:lvlText w:val="(%1)"/>
      <w:numFmt w:val="lowerLetter"/>
      <w:start w:val="1"/>
    </w:lvl>
  </w:abstractNum>
  <w:abstractNum w:abstractNumId="336">
    <w:nsid w:val="58DF53B"/>
    <w:multiLevelType w:val="hybridMultilevel"/>
    <w:lvl w:ilvl="0">
      <w:lvlJc w:val="left"/>
      <w:lvlText w:val="%1."/>
      <w:numFmt w:val="decimal"/>
      <w:start w:val="1"/>
    </w:lvl>
    <w:lvl w:ilvl="1">
      <w:lvlJc w:val="left"/>
      <w:lvlText w:val="(%2)"/>
      <w:numFmt w:val="lowerLetter"/>
      <w:start w:val="1"/>
    </w:lvl>
  </w:abstractNum>
  <w:abstractNum w:abstractNumId="337">
    <w:nsid w:val="ACDFAC0"/>
    <w:multiLevelType w:val="hybridMultilevel"/>
    <w:lvl w:ilvl="0">
      <w:lvlJc w:val="left"/>
      <w:lvlText w:val="%1"/>
      <w:numFmt w:val="decimal"/>
      <w:start w:val="1"/>
    </w:lvl>
    <w:lvl w:ilvl="1">
      <w:lvlJc w:val="left"/>
      <w:lvlText w:val="(%2)"/>
      <w:numFmt w:val="lowerLetter"/>
      <w:start w:val="4"/>
    </w:lvl>
  </w:abstractNum>
  <w:abstractNum w:abstractNumId="338">
    <w:nsid w:val="1F578454"/>
    <w:multiLevelType w:val="hybridMultilevel"/>
    <w:lvl w:ilvl="0">
      <w:lvlJc w:val="left"/>
      <w:lvlText w:val="%1."/>
      <w:numFmt w:val="decimal"/>
      <w:start w:val="2"/>
    </w:lvl>
    <w:lvl w:ilvl="1">
      <w:lvlJc w:val="left"/>
      <w:lvlText w:val="(%2)"/>
      <w:numFmt w:val="lowerLetter"/>
      <w:start w:val="1"/>
    </w:lvl>
  </w:abstractNum>
  <w:abstractNum w:abstractNumId="339">
    <w:nsid w:val="5B0DAD2A"/>
    <w:multiLevelType w:val="hybridMultilevel"/>
    <w:lvl w:ilvl="0">
      <w:lvlJc w:val="left"/>
      <w:lvlText w:val="(%1)"/>
      <w:numFmt w:val="lowerLetter"/>
      <w:start w:val="6"/>
    </w:lvl>
  </w:abstractNum>
  <w:abstractNum w:abstractNumId="340">
    <w:nsid w:val="4E3D26AB"/>
    <w:multiLevelType w:val="hybridMultilevel"/>
    <w:lvl w:ilvl="0">
      <w:lvlJc w:val="left"/>
      <w:lvlText w:val="%1."/>
      <w:numFmt w:val="decimal"/>
      <w:start w:val="3"/>
    </w:lvl>
  </w:abstractNum>
  <w:abstractNum w:abstractNumId="341">
    <w:nsid w:val="BE2C8BA"/>
    <w:multiLevelType w:val="hybridMultilevel"/>
    <w:lvl w:ilvl="0">
      <w:lvlJc w:val="left"/>
      <w:lvlText w:val="(%1)"/>
      <w:numFmt w:val="lowerLetter"/>
      <w:start w:val="1"/>
    </w:lvl>
    <w:lvl w:ilvl="1">
      <w:lvlJc w:val="left"/>
      <w:lvlText w:val="(%2)"/>
      <w:numFmt w:val="lowerRoman"/>
      <w:start w:val="1"/>
    </w:lvl>
  </w:abstractNum>
  <w:abstractNum w:abstractNumId="342">
    <w:nsid w:val="7B14914E"/>
    <w:multiLevelType w:val="hybridMultilevel"/>
    <w:lvl w:ilvl="0">
      <w:lvlJc w:val="left"/>
      <w:lvlText w:val="%1"/>
      <w:numFmt w:val="lowerLetter"/>
      <w:start w:val="1"/>
    </w:lvl>
    <w:lvl w:ilvl="1">
      <w:lvlJc w:val="left"/>
      <w:lvlText w:val="(%2)"/>
      <w:numFmt w:val="lowerLetter"/>
      <w:start w:val="3"/>
    </w:lvl>
  </w:abstractNum>
  <w:abstractNum w:abstractNumId="343">
    <w:nsid w:val="6F0939F8"/>
    <w:multiLevelType w:val="hybridMultilevel"/>
    <w:lvl w:ilvl="0">
      <w:lvlJc w:val="left"/>
      <w:lvlText w:val="(%1)"/>
      <w:numFmt w:val="lowerLetter"/>
      <w:start w:val="9"/>
    </w:lvl>
    <w:lvl w:ilvl="1">
      <w:lvlJc w:val="left"/>
      <w:lvlText w:val="%2"/>
      <w:numFmt w:val="lowerLetter"/>
      <w:start w:val="1"/>
    </w:lvl>
  </w:abstractNum>
  <w:abstractNum w:abstractNumId="344">
    <w:nsid w:val="154291F6"/>
    <w:multiLevelType w:val="hybridMultilevel"/>
    <w:lvl w:ilvl="0">
      <w:lvlJc w:val="left"/>
      <w:lvlText w:val="%1."/>
      <w:numFmt w:val="decimal"/>
      <w:start w:val="4"/>
    </w:lvl>
    <w:lvl w:ilvl="1">
      <w:lvlJc w:val="left"/>
      <w:lvlText w:val="(%2)"/>
      <w:numFmt w:val="lowerLetter"/>
      <w:start w:val="1"/>
    </w:lvl>
  </w:abstractNum>
  <w:abstractNum w:abstractNumId="345">
    <w:nsid w:val="3CEBD7C7"/>
    <w:multiLevelType w:val="hybridMultilevel"/>
    <w:lvl w:ilvl="0">
      <w:lvlJc w:val="left"/>
      <w:lvlText w:val="(%1)"/>
      <w:numFmt w:val="lowerLetter"/>
      <w:start w:val="2"/>
    </w:lvl>
    <w:lvl w:ilvl="1">
      <w:lvlJc w:val="left"/>
      <w:lvlText w:val="(%2)"/>
      <w:numFmt w:val="lowerRoman"/>
      <w:start w:val="1"/>
    </w:lvl>
  </w:abstractNum>
  <w:abstractNum w:abstractNumId="346">
    <w:nsid w:val="60EE9C1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47">
    <w:nsid w:val="6385489E"/>
    <w:multiLevelType w:val="hybridMultilevel"/>
    <w:lvl w:ilvl="0">
      <w:lvlJc w:val="left"/>
      <w:lvlText w:val="(%1)"/>
      <w:numFmt w:val="decimal"/>
      <w:start w:val="18"/>
    </w:lvl>
    <w:lvl w:ilvl="1">
      <w:lvlJc w:val="left"/>
      <w:lvlText w:val="(%2)"/>
      <w:numFmt w:val="lowerLetter"/>
      <w:start w:val="3"/>
    </w:lvl>
    <w:lvl w:ilvl="2">
      <w:lvlJc w:val="left"/>
      <w:lvlText w:val="(%3)"/>
      <w:numFmt w:val="lowerRoman"/>
      <w:start w:val="1"/>
    </w:lvl>
  </w:abstractNum>
  <w:abstractNum w:abstractNumId="348">
    <w:nsid w:val="E4B973"/>
    <w:multiLevelType w:val="hybridMultilevel"/>
    <w:lvl w:ilvl="0">
      <w:lvlJc w:val="left"/>
      <w:lvlText w:val="%1"/>
      <w:numFmt w:val="decimal"/>
      <w:start w:val="1"/>
    </w:lvl>
    <w:lvl w:ilvl="1">
      <w:lvlJc w:val="left"/>
      <w:lvlText w:val="(%2)"/>
      <w:numFmt w:val="lowerLetter"/>
      <w:start w:val="5"/>
    </w:lvl>
  </w:abstractNum>
  <w:abstractNum w:abstractNumId="349">
    <w:nsid w:val="4A0FFA11"/>
    <w:multiLevelType w:val="hybridMultilevel"/>
    <w:lvl w:ilvl="0">
      <w:lvlJc w:val="left"/>
      <w:lvlText w:val="%1."/>
      <w:numFmt w:val="decimal"/>
      <w:start w:val="5"/>
    </w:lvl>
    <w:lvl w:ilvl="1">
      <w:lvlJc w:val="left"/>
      <w:lvlText w:val="(%2)"/>
      <w:numFmt w:val="lowerLetter"/>
      <w:start w:val="1"/>
    </w:lvl>
  </w:abstractNum>
  <w:abstractNum w:abstractNumId="350">
    <w:nsid w:val="5E446208"/>
    <w:multiLevelType w:val="hybridMultilevel"/>
    <w:lvl w:ilvl="0">
      <w:lvlJc w:val="left"/>
      <w:lvlText w:val="(%1)"/>
      <w:numFmt w:val="lowerLetter"/>
      <w:start w:val="5"/>
    </w:lvl>
  </w:abstractNum>
  <w:abstractNum w:abstractNumId="351">
    <w:nsid w:val="5F3272DB"/>
    <w:multiLevelType w:val="hybridMultilevel"/>
    <w:lvl w:ilvl="0">
      <w:lvlJc w:val="left"/>
      <w:lvlText w:val="%1."/>
      <w:numFmt w:val="decimal"/>
      <w:start w:val="6"/>
    </w:lvl>
  </w:abstractNum>
  <w:abstractNum w:abstractNumId="352">
    <w:nsid w:val="7616D70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53">
    <w:nsid w:val="C56F860"/>
    <w:multiLevelType w:val="hybridMultilevel"/>
    <w:lvl w:ilvl="0">
      <w:lvlJc w:val="left"/>
      <w:lvlText w:val="(%1)"/>
      <w:numFmt w:val="lowerLetter"/>
      <w:start w:val="2"/>
    </w:lvl>
  </w:abstractNum>
  <w:abstractNum w:abstractNumId="354">
    <w:nsid w:val="64D17722"/>
    <w:multiLevelType w:val="hybridMultilevel"/>
    <w:lvl w:ilvl="0">
      <w:lvlJc w:val="left"/>
      <w:lvlText w:val="%1"/>
      <w:numFmt w:val="decimal"/>
      <w:start w:val="1"/>
    </w:lvl>
    <w:lvl w:ilvl="1">
      <w:lvlJc w:val="left"/>
      <w:lvlText w:val="(%2)"/>
      <w:numFmt w:val="lowerLetter"/>
      <w:start w:val="6"/>
    </w:lvl>
  </w:abstractNum>
  <w:abstractNum w:abstractNumId="355">
    <w:nsid w:val="7924CA0A"/>
    <w:multiLevelType w:val="hybridMultilevel"/>
    <w:lvl w:ilvl="0">
      <w:lvlJc w:val="left"/>
      <w:lvlText w:val="%1."/>
      <w:numFmt w:val="decimal"/>
      <w:start w:val="8"/>
    </w:lvl>
    <w:lvl w:ilvl="1">
      <w:lvlJc w:val="left"/>
      <w:lvlText w:val="(%2)"/>
      <w:numFmt w:val="lowerLetter"/>
      <w:start w:val="1"/>
    </w:lvl>
  </w:abstractNum>
  <w:abstractNum w:abstractNumId="356">
    <w:nsid w:val="CFD4EA7"/>
    <w:multiLevelType w:val="hybridMultilevel"/>
    <w:lvl w:ilvl="0">
      <w:lvlJc w:val="left"/>
      <w:lvlText w:val="%1"/>
      <w:numFmt w:val="lowerLetter"/>
      <w:start w:val="1"/>
    </w:lvl>
    <w:lvl w:ilvl="1">
      <w:lvlJc w:val="left"/>
      <w:lvlText w:val="(%2)"/>
      <w:numFmt w:val="lowerLetter"/>
      <w:start w:val="2"/>
    </w:lvl>
  </w:abstractNum>
  <w:abstractNum w:abstractNumId="357">
    <w:nsid w:val="232FCF4D"/>
    <w:multiLevelType w:val="hybridMultilevel"/>
    <w:lvl w:ilvl="0">
      <w:lvlJc w:val="left"/>
      <w:lvlText w:val="(%1)"/>
      <w:numFmt w:val="lowerLetter"/>
      <w:start w:val="61"/>
    </w:lvl>
    <w:lvl w:ilvl="1">
      <w:lvlJc w:val="left"/>
      <w:lvlText w:val="(%2)"/>
      <w:numFmt w:val="lowerLetter"/>
      <w:start w:val="3"/>
    </w:lvl>
  </w:abstractNum>
  <w:abstractNum w:abstractNumId="358">
    <w:nsid w:val="1EA2103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59">
    <w:nsid w:val="67A5A6B5"/>
    <w:multiLevelType w:val="hybridMultilevel"/>
    <w:lvl w:ilvl="0">
      <w:lvlJc w:val="left"/>
      <w:lvlText w:val="(%1)"/>
      <w:numFmt w:val="lowerLetter"/>
      <w:start w:val="7"/>
    </w:lvl>
    <w:lvl w:ilvl="1">
      <w:lvlJc w:val="left"/>
      <w:lvlText w:val="(%2)"/>
      <w:numFmt w:val="lowerLetter"/>
      <w:start w:val="9"/>
    </w:lvl>
  </w:abstractNum>
  <w:abstractNum w:abstractNumId="360">
    <w:nsid w:val="C2A5C5B"/>
    <w:multiLevelType w:val="hybridMultilevel"/>
    <w:lvl w:ilvl="0">
      <w:lvlJc w:val="left"/>
      <w:lvlText w:val="%1"/>
      <w:numFmt w:val="lowerLetter"/>
      <w:start w:val="1"/>
    </w:lvl>
    <w:lvl w:ilvl="1">
      <w:lvlJc w:val="left"/>
      <w:lvlText w:val="(%2)"/>
      <w:numFmt w:val="lowerRoman"/>
      <w:start w:val="2"/>
    </w:lvl>
  </w:abstractNum>
  <w:abstractNum w:abstractNumId="361">
    <w:nsid w:val="5F94DC03"/>
    <w:multiLevelType w:val="hybridMultilevel"/>
    <w:lvl w:ilvl="0">
      <w:lvlJc w:val="left"/>
      <w:lvlText w:val="(%1)"/>
      <w:numFmt w:val="lowerLetter"/>
      <w:start w:val="12"/>
    </w:lvl>
    <w:lvl w:ilvl="1">
      <w:lvlJc w:val="left"/>
      <w:lvlText w:val="%2"/>
      <w:numFmt w:val="lowerRoman"/>
      <w:start w:val="1"/>
    </w:lvl>
  </w:abstractNum>
  <w:abstractNum w:abstractNumId="362">
    <w:nsid w:val="237BBCA0"/>
    <w:multiLevelType w:val="hybridMultilevel"/>
    <w:lvl w:ilvl="0">
      <w:lvlJc w:val="left"/>
      <w:lvlText w:val="%1."/>
      <w:numFmt w:val="decimal"/>
      <w:start w:val="10"/>
    </w:lvl>
  </w:abstractNum>
  <w:abstractNum w:abstractNumId="363">
    <w:nsid w:val="162EB70D"/>
    <w:multiLevelType w:val="hybridMultilevel"/>
    <w:lvl w:ilvl="0">
      <w:lvlJc w:val="left"/>
      <w:lvlText w:val="%1."/>
      <w:numFmt w:val="decimal"/>
      <w:start w:val="1"/>
    </w:lvl>
    <w:lvl w:ilvl="1">
      <w:lvlJc w:val="left"/>
      <w:lvlText w:val="(%2)"/>
      <w:numFmt w:val="lowerLetter"/>
      <w:start w:val="1"/>
    </w:lvl>
  </w:abstractNum>
  <w:abstractNum w:abstractNumId="364">
    <w:nsid w:val="78070222"/>
    <w:multiLevelType w:val="hybridMultilevel"/>
    <w:lvl w:ilvl="0">
      <w:lvlJc w:val="left"/>
      <w:lvlText w:val="(%1)"/>
      <w:numFmt w:val="lowerLetter"/>
      <w:start w:val="2"/>
    </w:lvl>
  </w:abstractNum>
  <w:abstractNum w:abstractNumId="365">
    <w:nsid w:val="6163ED0D"/>
    <w:multiLevelType w:val="hybridMultilevel"/>
    <w:lvl w:ilvl="0">
      <w:lvlJc w:val="left"/>
      <w:lvlText w:val="%1"/>
      <w:numFmt w:val="lowerLetter"/>
      <w:start w:val="1"/>
    </w:lvl>
    <w:lvl w:ilvl="1">
      <w:lvlJc w:val="left"/>
      <w:lvlText w:val="%2."/>
      <w:numFmt w:val="decimal"/>
      <w:start w:val="3"/>
    </w:lvl>
  </w:abstractNum>
  <w:abstractNum w:abstractNumId="366">
    <w:nsid w:val="C600E47"/>
    <w:multiLevelType w:val="hybridMultilevel"/>
    <w:lvl w:ilvl="0">
      <w:lvlJc w:val="left"/>
      <w:lvlText w:val="(%1)"/>
      <w:numFmt w:val="lowerLetter"/>
      <w:start w:val="5"/>
    </w:lvl>
    <w:lvl w:ilvl="1">
      <w:lvlJc w:val="left"/>
      <w:lvlText w:val="%2"/>
      <w:numFmt w:val="decimal"/>
      <w:start w:val="1"/>
    </w:lvl>
  </w:abstractNum>
  <w:abstractNum w:abstractNumId="367">
    <w:nsid w:val="7D94F75D"/>
    <w:multiLevelType w:val="hybridMultilevel"/>
    <w:lvl w:ilvl="0">
      <w:lvlJc w:val="left"/>
      <w:lvlText w:val="%1"/>
      <w:numFmt w:val="lowerLetter"/>
      <w:start w:val="1"/>
    </w:lvl>
    <w:lvl w:ilvl="1">
      <w:lvlJc w:val="left"/>
      <w:lvlText w:val="%2."/>
      <w:numFmt w:val="decimal"/>
      <w:start w:val="4"/>
    </w:lvl>
  </w:abstractNum>
  <w:abstractNum w:abstractNumId="368">
    <w:nsid w:val="6C31E7CD"/>
    <w:multiLevelType w:val="hybridMultilevel"/>
    <w:lvl w:ilvl="0">
      <w:lvlJc w:val="left"/>
      <w:lvlText w:val="(%1)"/>
      <w:numFmt w:val="lowerLetter"/>
      <w:start w:val="4"/>
    </w:lvl>
    <w:lvl w:ilvl="1">
      <w:lvlJc w:val="left"/>
      <w:lvlText w:val="%2"/>
      <w:numFmt w:val="decimal"/>
      <w:start w:val="1"/>
    </w:lvl>
  </w:abstractNum>
  <w:abstractNum w:abstractNumId="369">
    <w:nsid w:val="2BB7929B"/>
    <w:multiLevelType w:val="hybridMultilevel"/>
    <w:lvl w:ilvl="0">
      <w:lvlJc w:val="left"/>
      <w:lvlText w:val="%1."/>
      <w:numFmt w:val="decimal"/>
      <w:start w:val="1"/>
    </w:lvl>
    <w:lvl w:ilvl="1">
      <w:lvlJc w:val="left"/>
      <w:lvlText w:val="(%2)"/>
      <w:numFmt w:val="lowerLetter"/>
      <w:start w:val="1"/>
    </w:lvl>
  </w:abstractNum>
  <w:abstractNum w:abstractNumId="370">
    <w:nsid w:val="58A2A487"/>
    <w:multiLevelType w:val="hybridMultilevel"/>
    <w:lvl w:ilvl="0">
      <w:lvlJc w:val="left"/>
      <w:lvlText w:val="(%1)"/>
      <w:numFmt w:val="lowerLetter"/>
      <w:start w:val="61"/>
    </w:lvl>
    <w:lvl w:ilvl="1">
      <w:lvlJc w:val="left"/>
      <w:lvlText w:val="(%2)"/>
      <w:numFmt w:val="lowerLetter"/>
      <w:start w:val="4"/>
    </w:lvl>
  </w:abstractNum>
  <w:abstractNum w:abstractNumId="371">
    <w:nsid w:val="3A6F0E78"/>
    <w:multiLevelType w:val="hybridMultilevel"/>
    <w:lvl w:ilvl="0">
      <w:lvlJc w:val="left"/>
      <w:lvlText w:val="%1."/>
      <w:numFmt w:val="decimal"/>
      <w:start w:val="2"/>
    </w:lvl>
    <w:lvl w:ilvl="1">
      <w:lvlJc w:val="left"/>
      <w:lvlText w:val="(%2)"/>
      <w:numFmt w:val="lowerLetter"/>
      <w:start w:val="1"/>
    </w:lvl>
  </w:abstractNum>
  <w:abstractNum w:abstractNumId="372">
    <w:nsid w:val="379A5B5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73">
    <w:nsid w:val="53B735D5"/>
    <w:multiLevelType w:val="hybridMultilevel"/>
    <w:lvl w:ilvl="0">
      <w:lvlJc w:val="left"/>
      <w:lvlText w:val="(%1)"/>
      <w:numFmt w:val="lowerLetter"/>
      <w:start w:val="5"/>
    </w:lvl>
  </w:abstractNum>
  <w:abstractNum w:abstractNumId="374">
    <w:nsid w:val="29784870"/>
    <w:multiLevelType w:val="hybridMultilevel"/>
    <w:lvl w:ilvl="0">
      <w:lvlJc w:val="left"/>
      <w:lvlText w:val="%1."/>
      <w:numFmt w:val="decimal"/>
      <w:start w:val="3"/>
    </w:lvl>
  </w:abstractNum>
  <w:abstractNum w:abstractNumId="375">
    <w:nsid w:val="4CDCED4C"/>
    <w:multiLevelType w:val="hybridMultilevel"/>
    <w:lvl w:ilvl="0">
      <w:lvlJc w:val="left"/>
      <w:lvlText w:val="(%1)"/>
      <w:numFmt w:val="lowerLetter"/>
      <w:start w:val="1"/>
    </w:lvl>
    <w:lvl w:ilvl="1">
      <w:lvlJc w:val="left"/>
      <w:lvlText w:val="(%2)"/>
      <w:numFmt w:val="lowerRoman"/>
      <w:start w:val="1"/>
    </w:lvl>
  </w:abstractNum>
  <w:abstractNum w:abstractNumId="376">
    <w:nsid w:val="10A30D9C"/>
    <w:multiLevelType w:val="hybridMultilevel"/>
    <w:lvl w:ilvl="0">
      <w:lvlJc w:val="left"/>
      <w:lvlText w:val="%1"/>
      <w:numFmt w:val="lowerLetter"/>
      <w:start w:val="1"/>
    </w:lvl>
    <w:lvl w:ilvl="1">
      <w:lvlJc w:val="left"/>
      <w:lvlText w:val="(%2)"/>
      <w:numFmt w:val="lowerLetter"/>
      <w:start w:val="4"/>
    </w:lvl>
  </w:abstractNum>
  <w:abstractNum w:abstractNumId="377">
    <w:nsid w:val="A66E486"/>
    <w:multiLevelType w:val="hybridMultilevel"/>
    <w:lvl w:ilvl="0">
      <w:lvlJc w:val="left"/>
      <w:lvlText w:val="(%1)"/>
      <w:numFmt w:val="lowerLetter"/>
      <w:start w:val="9"/>
    </w:lvl>
    <w:lvl w:ilvl="1">
      <w:lvlJc w:val="left"/>
      <w:lvlText w:val="%2"/>
      <w:numFmt w:val="lowerLetter"/>
      <w:start w:val="1"/>
    </w:lvl>
  </w:abstractNum>
  <w:abstractNum w:abstractNumId="378">
    <w:nsid w:val="306235E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79">
    <w:nsid w:val="1187C70F"/>
    <w:multiLevelType w:val="hybridMultilevel"/>
    <w:lvl w:ilvl="0">
      <w:lvlJc w:val="left"/>
      <w:lvlText w:val="%1"/>
      <w:numFmt w:val="upperLetter"/>
      <w:start w:val="1"/>
    </w:lvl>
    <w:lvl w:ilvl="1">
      <w:lvlJc w:val="left"/>
      <w:lvlText w:val="(%2)"/>
      <w:numFmt w:val="lowerRoman"/>
      <w:start w:val="2"/>
    </w:lvl>
  </w:abstractNum>
  <w:abstractNum w:abstractNumId="380">
    <w:nsid w:val="5476DE98"/>
    <w:multiLevelType w:val="hybridMultilevel"/>
    <w:lvl w:ilvl="0">
      <w:lvlJc w:val="left"/>
      <w:lvlText w:val="(%1)"/>
      <w:numFmt w:val="upperLetter"/>
      <w:start w:val="3"/>
    </w:lvl>
    <w:lvl w:ilvl="1">
      <w:lvlJc w:val="left"/>
      <w:lvlText w:val="(%2)"/>
      <w:numFmt w:val="lowerRoman"/>
      <w:start w:val="3"/>
    </w:lvl>
  </w:abstractNum>
  <w:abstractNum w:abstractNumId="381">
    <w:nsid w:val="EA697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82">
    <w:nsid w:val="70BA39E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83">
    <w:nsid w:val="4A8DB59C"/>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9"/>
    </w:lvl>
  </w:abstractNum>
  <w:abstractNum w:abstractNumId="384">
    <w:nsid w:val="1AFD9053"/>
    <w:multiLevelType w:val="hybridMultilevel"/>
    <w:lvl w:ilvl="0">
      <w:lvlJc w:val="left"/>
      <w:lvlText w:val="(%1)"/>
      <w:numFmt w:val="lowerRoman"/>
      <w:start w:val="2"/>
    </w:lvl>
  </w:abstractNum>
  <w:abstractNum w:abstractNumId="385">
    <w:nsid w:val="558BB10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86">
    <w:nsid w:val="43B27FA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87">
    <w:nsid w:val="27FADEF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88">
    <w:nsid w:val="78BB805A"/>
    <w:multiLevelType w:val="hybridMultilevel"/>
    <w:lvl w:ilvl="0">
      <w:lvlJc w:val="left"/>
      <w:lvlText w:val="%1"/>
      <w:numFmt w:val="lowerLetter"/>
      <w:start w:val="1"/>
    </w:lvl>
    <w:lvl w:ilvl="1">
      <w:lvlJc w:val="left"/>
      <w:lvlText w:val="(%2)"/>
      <w:numFmt w:val="lowerLetter"/>
      <w:start w:val="4"/>
    </w:lvl>
  </w:abstractNum>
  <w:abstractNum w:abstractNumId="389">
    <w:nsid w:val="62548FD8"/>
    <w:multiLevelType w:val="hybridMultilevel"/>
    <w:lvl w:ilvl="0">
      <w:lvlJc w:val="left"/>
      <w:lvlText w:val="(%1)"/>
      <w:numFmt w:val="lowerLetter"/>
      <w:start w:val="35"/>
    </w:lvl>
    <w:lvl w:ilvl="1">
      <w:lvlJc w:val="left"/>
      <w:lvlText w:val="%2"/>
      <w:numFmt w:val="lowerLetter"/>
      <w:start w:val="1"/>
    </w:lvl>
  </w:abstractNum>
  <w:abstractNum w:abstractNumId="390">
    <w:nsid w:val="FA085B0"/>
    <w:multiLevelType w:val="hybridMultilevel"/>
    <w:lvl w:ilvl="0">
      <w:lvlJc w:val="left"/>
      <w:lvlText w:val="%1."/>
      <w:numFmt w:val="decimal"/>
      <w:start w:val="6"/>
    </w:lvl>
  </w:abstractNum>
  <w:abstractNum w:abstractNumId="391">
    <w:nsid w:val="4E5DCB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92">
    <w:nsid w:val="41E96BDB"/>
    <w:multiLevelType w:val="hybridMultilevel"/>
    <w:lvl w:ilvl="0">
      <w:lvlJc w:val="left"/>
      <w:lvlText w:val="%1"/>
      <w:numFmt w:val="decimal"/>
      <w:start w:val="1"/>
    </w:lvl>
    <w:lvl w:ilvl="1">
      <w:lvlJc w:val="left"/>
      <w:lvlText w:val="(%2)"/>
      <w:numFmt w:val="lowerLetter"/>
      <w:start w:val="2"/>
    </w:lvl>
  </w:abstractNum>
  <w:abstractNum w:abstractNumId="393">
    <w:nsid w:val="331C4250"/>
    <w:multiLevelType w:val="hybridMultilevel"/>
    <w:lvl w:ilvl="0">
      <w:lvlJc w:val="left"/>
      <w:lvlText w:val="(%1)"/>
      <w:numFmt w:val="decimal"/>
      <w:start w:val="50"/>
    </w:lvl>
    <w:lvl w:ilvl="1">
      <w:lvlJc w:val="left"/>
      <w:lvlText w:val="%2"/>
      <w:numFmt w:val="lowerLetter"/>
      <w:start w:val="1"/>
    </w:lvl>
  </w:abstractNum>
  <w:abstractNum w:abstractNumId="394">
    <w:nsid w:val="1B1493C2"/>
    <w:multiLevelType w:val="hybridMultilevel"/>
    <w:lvl w:ilvl="0">
      <w:lvlJc w:val="left"/>
      <w:lvlText w:val="1"/>
      <w:numFmt w:val="bullet"/>
      <w:start w:val="1"/>
    </w:lvl>
  </w:abstractNum>
  <w:abstractNum w:abstractNumId="395">
    <w:nsid w:val="39F06DFD"/>
    <w:multiLevelType w:val="hybridMultilevel"/>
    <w:lvl w:ilvl="0">
      <w:lvlJc w:val="left"/>
      <w:lvlText w:val="%1."/>
      <w:numFmt w:val="decimal"/>
      <w:start w:val="8"/>
    </w:lvl>
    <w:lvl w:ilvl="1">
      <w:lvlJc w:val="left"/>
      <w:lvlText w:val="(%2)"/>
      <w:numFmt w:val="lowerLetter"/>
      <w:start w:val="1"/>
    </w:lvl>
  </w:abstractNum>
  <w:abstractNum w:abstractNumId="396">
    <w:nsid w:val="14802F5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97">
    <w:nsid w:val="2774A20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98">
    <w:nsid w:val="3785655A"/>
    <w:multiLevelType w:val="hybridMultilevel"/>
    <w:lvl w:ilvl="0">
      <w:lvlJc w:val="left"/>
      <w:lvlText w:val="(%1)"/>
      <w:numFmt w:val="lowerLetter"/>
      <w:start w:val="4"/>
    </w:lvl>
  </w:abstractNum>
  <w:abstractNum w:abstractNumId="399">
    <w:nsid w:val="B2172A"/>
    <w:multiLevelType w:val="hybridMultilevel"/>
    <w:lvl w:ilvl="0">
      <w:lvlJc w:val="left"/>
      <w:lvlText w:val="(%1)"/>
      <w:numFmt w:val="lowerLetter"/>
      <w:start w:val="9"/>
    </w:lvl>
    <w:lvl w:ilvl="1">
      <w:lvlJc w:val="left"/>
      <w:lvlText w:val="(%2)"/>
      <w:numFmt w:val="lowerRoman"/>
      <w:start w:val="1"/>
    </w:lvl>
  </w:abstractNum>
  <w:abstractNum w:abstractNumId="400">
    <w:nsid w:val="532C34A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01">
    <w:nsid w:val="102809E2"/>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402">
    <w:nsid w:val="3B2125A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03">
    <w:nsid w:val="AC68FFB"/>
    <w:multiLevelType w:val="hybridMultilevel"/>
    <w:lvl w:ilvl="0">
      <w:lvlJc w:val="left"/>
      <w:lvlText w:val="%1."/>
      <w:numFmt w:val="decimal"/>
      <w:start w:val="1"/>
    </w:lvl>
    <w:lvl w:ilvl="1">
      <w:lvlJc w:val="left"/>
      <w:lvlText w:val="(%2)"/>
      <w:numFmt w:val="lowerLetter"/>
      <w:start w:val="1"/>
    </w:lvl>
  </w:abstractNum>
  <w:abstractNum w:abstractNumId="404">
    <w:nsid w:val="63DF3FB7"/>
    <w:multiLevelType w:val="hybridMultilevel"/>
    <w:lvl w:ilvl="0">
      <w:lvlJc w:val="left"/>
      <w:lvlText w:val="(%1)"/>
      <w:numFmt w:val="lowerLetter"/>
      <w:start w:val="2"/>
    </w:lvl>
  </w:abstractNum>
  <w:abstractNum w:abstractNumId="405">
    <w:nsid w:val="64996E13"/>
    <w:multiLevelType w:val="hybridMultilevel"/>
    <w:lvl w:ilvl="0">
      <w:lvlJc w:val="left"/>
      <w:lvlText w:val="%1."/>
      <w:numFmt w:val="decimal"/>
      <w:start w:val="3"/>
    </w:lvl>
  </w:abstractNum>
  <w:abstractNum w:abstractNumId="406">
    <w:nsid w:val="57A37D47"/>
    <w:multiLevelType w:val="hybridMultilevel"/>
    <w:lvl w:ilvl="0">
      <w:lvlJc w:val="left"/>
      <w:lvlText w:val="%1"/>
      <w:numFmt w:val="lowerLetter"/>
      <w:start w:val="1"/>
    </w:lvl>
    <w:lvl w:ilvl="1">
      <w:lvlJc w:val="left"/>
      <w:lvlText w:val="%2."/>
      <w:numFmt w:val="decimal"/>
      <w:start w:val="4"/>
    </w:lvl>
  </w:abstractNum>
  <w:abstractNum w:abstractNumId="407">
    <w:nsid w:val="74824D54"/>
    <w:multiLevelType w:val="hybridMultilevel"/>
    <w:lvl w:ilvl="0">
      <w:lvlJc w:val="left"/>
      <w:lvlText w:val="(%1)"/>
      <w:numFmt w:val="lowerLetter"/>
      <w:start w:val="4"/>
    </w:lvl>
    <w:lvl w:ilvl="1">
      <w:lvlJc w:val="left"/>
      <w:lvlText w:val="%2"/>
      <w:numFmt w:val="decimal"/>
      <w:start w:val="1"/>
    </w:lvl>
  </w:abstractNum>
  <w:abstractNum w:abstractNumId="408">
    <w:nsid w:val="6F00529A"/>
    <w:multiLevelType w:val="hybridMultilevel"/>
    <w:lvl w:ilvl="0">
      <w:lvlJc w:val="left"/>
      <w:lvlText w:val="%1."/>
      <w:numFmt w:val="decimal"/>
      <w:start w:val="1"/>
    </w:lvl>
    <w:lvl w:ilvl="1">
      <w:lvlJc w:val="left"/>
      <w:lvlText w:val="(%2)"/>
      <w:numFmt w:val="lowerLetter"/>
      <w:start w:val="1"/>
    </w:lvl>
  </w:abstractNum>
  <w:abstractNum w:abstractNumId="409">
    <w:nsid w:val="805B331"/>
    <w:multiLevelType w:val="hybridMultilevel"/>
    <w:lvl w:ilvl="0">
      <w:lvlJc w:val="left"/>
      <w:lvlText w:val="%1"/>
      <w:numFmt w:val="decimal"/>
      <w:start w:val="1"/>
    </w:lvl>
    <w:lvl w:ilvl="1">
      <w:lvlJc w:val="left"/>
      <w:lvlText w:val="(%2)"/>
      <w:numFmt w:val="lowerLetter"/>
      <w:start w:val="4"/>
    </w:lvl>
  </w:abstractNum>
  <w:abstractNum w:abstractNumId="410">
    <w:nsid w:val="60A1463"/>
    <w:multiLevelType w:val="hybridMultilevel"/>
    <w:lvl w:ilvl="0">
      <w:lvlJc w:val="left"/>
      <w:lvlText w:val="%1."/>
      <w:numFmt w:val="decimal"/>
      <w:start w:val="2"/>
    </w:lvl>
    <w:lvl w:ilvl="1">
      <w:lvlJc w:val="left"/>
      <w:lvlText w:val="(%2)"/>
      <w:numFmt w:val="lowerLetter"/>
      <w:start w:val="1"/>
    </w:lvl>
  </w:abstractNum>
  <w:abstractNum w:abstractNumId="411">
    <w:nsid w:val="43773132"/>
    <w:multiLevelType w:val="hybridMultilevel"/>
    <w:lvl w:ilvl="0">
      <w:lvlJc w:val="left"/>
      <w:lvlText w:val="(%1)"/>
      <w:numFmt w:val="lowerLetter"/>
      <w:start w:val="4"/>
    </w:lvl>
    <w:lvl w:ilvl="1">
      <w:lvlJc w:val="left"/>
      <w:lvlText w:val="(%2)"/>
      <w:numFmt w:val="lowerLetter"/>
      <w:start w:val="9"/>
    </w:lvl>
  </w:abstractNum>
  <w:abstractNum w:abstractNumId="412">
    <w:nsid w:val="16AC4B2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13">
    <w:nsid w:val="76C44E4E"/>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414">
    <w:nsid w:val="E04E6CE"/>
    <w:multiLevelType w:val="hybridMultilevel"/>
    <w:lvl w:ilvl="0">
      <w:lvlJc w:val="left"/>
      <w:lvlText w:val="%1."/>
      <w:numFmt w:val="decimal"/>
      <w:start w:val="3"/>
    </w:lvl>
  </w:abstractNum>
  <w:abstractNum w:abstractNumId="415">
    <w:nsid w:val="31A9DB76"/>
    <w:multiLevelType w:val="hybridMultilevel"/>
    <w:lvl w:ilvl="0">
      <w:lvlJc w:val="left"/>
      <w:lvlText w:val="(%1)"/>
      <w:numFmt w:val="lowerLetter"/>
      <w:start w:val="1"/>
    </w:lvl>
    <w:lvl w:ilvl="1">
      <w:lvlJc w:val="left"/>
      <w:lvlText w:val="(%2)"/>
      <w:numFmt w:val="lowerRoman"/>
      <w:start w:val="1"/>
    </w:lvl>
  </w:abstractNum>
  <w:abstractNum w:abstractNumId="416">
    <w:nsid w:val="4C4FFF5B"/>
    <w:multiLevelType w:val="hybridMultilevel"/>
    <w:lvl w:ilvl="0">
      <w:lvlJc w:val="left"/>
      <w:lvlText w:val="%1"/>
      <w:numFmt w:val="lowerLetter"/>
      <w:start w:val="1"/>
    </w:lvl>
    <w:lvl w:ilvl="1">
      <w:lvlJc w:val="left"/>
      <w:lvlText w:val="(%2)"/>
      <w:numFmt w:val="lowerLetter"/>
      <w:start w:val="4"/>
    </w:lvl>
  </w:abstractNum>
  <w:abstractNum w:abstractNumId="417">
    <w:nsid w:val="51B76675"/>
    <w:multiLevelType w:val="hybridMultilevel"/>
    <w:lvl w:ilvl="0">
      <w:lvlJc w:val="left"/>
      <w:lvlText w:val="(%1)"/>
      <w:numFmt w:val="lowerLetter"/>
      <w:start w:val="9"/>
    </w:lvl>
    <w:lvl w:ilvl="1">
      <w:lvlJc w:val="left"/>
      <w:lvlText w:val="%2"/>
      <w:numFmt w:val="lowerLetter"/>
      <w:start w:val="1"/>
    </w:lvl>
  </w:abstractNum>
  <w:abstractNum w:abstractNumId="418">
    <w:nsid w:val="59A4BA7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19">
    <w:nsid w:val="450B7FB6"/>
    <w:multiLevelType w:val="hybridMultilevel"/>
    <w:lvl w:ilvl="0">
      <w:lvlJc w:val="left"/>
      <w:lvlText w:val="%1"/>
      <w:numFmt w:val="upperLetter"/>
      <w:start w:val="1"/>
    </w:lvl>
    <w:lvl w:ilvl="1">
      <w:lvlJc w:val="left"/>
      <w:lvlText w:val="(%2)"/>
      <w:numFmt w:val="lowerRoman"/>
      <w:start w:val="2"/>
    </w:lvl>
  </w:abstractNum>
  <w:abstractNum w:abstractNumId="420">
    <w:nsid w:val="340BF64D"/>
    <w:multiLevelType w:val="hybridMultilevel"/>
    <w:lvl w:ilvl="0">
      <w:lvlJc w:val="left"/>
      <w:lvlText w:val="(%1)"/>
      <w:numFmt w:val="upperLetter"/>
      <w:start w:val="3"/>
    </w:lvl>
    <w:lvl w:ilvl="1">
      <w:lvlJc w:val="left"/>
      <w:lvlText w:val="(%2)"/>
      <w:numFmt w:val="lowerRoman"/>
      <w:start w:val="4"/>
    </w:lvl>
  </w:abstractNum>
  <w:abstractNum w:abstractNumId="421">
    <w:nsid w:val="6945402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22">
    <w:nsid w:val="49F15C6B"/>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9"/>
    </w:lvl>
  </w:abstractNum>
  <w:abstractNum w:abstractNumId="423">
    <w:nsid w:val="75F56228"/>
    <w:multiLevelType w:val="hybridMultilevel"/>
    <w:lvl w:ilvl="0">
      <w:lvlJc w:val="left"/>
      <w:lvlText w:val="%1"/>
      <w:numFmt w:val="lowerLetter"/>
      <w:start w:val="1"/>
    </w:lvl>
    <w:lvl w:ilvl="1">
      <w:lvlJc w:val="left"/>
      <w:lvlText w:val="(%2)"/>
      <w:numFmt w:val="lowerRoman"/>
      <w:start w:val="2"/>
    </w:lvl>
  </w:abstractNum>
  <w:abstractNum w:abstractNumId="424">
    <w:nsid w:val="1C618271"/>
    <w:multiLevelType w:val="hybridMultilevel"/>
    <w:lvl w:ilvl="0">
      <w:lvlJc w:val="left"/>
      <w:lvlText w:val="(%1)"/>
      <w:numFmt w:val="lowerLetter"/>
      <w:start w:val="4"/>
    </w:lvl>
    <w:lvl w:ilvl="1">
      <w:lvlJc w:val="left"/>
      <w:lvlText w:val="%2"/>
      <w:numFmt w:val="lowerRoman"/>
      <w:start w:val="1"/>
    </w:lvl>
  </w:abstractNum>
  <w:abstractNum w:abstractNumId="425">
    <w:nsid w:val="6505F02E"/>
    <w:multiLevelType w:val="hybridMultilevel"/>
    <w:lvl w:ilvl="0">
      <w:lvlJc w:val="left"/>
      <w:lvlText w:val="%1."/>
      <w:numFmt w:val="decimal"/>
      <w:start w:val="5"/>
    </w:lvl>
    <w:lvl w:ilvl="1">
      <w:lvlJc w:val="left"/>
      <w:lvlText w:val="(%2)"/>
      <w:numFmt w:val="lowerLetter"/>
      <w:start w:val="1"/>
    </w:lvl>
  </w:abstractNum>
  <w:abstractNum w:abstractNumId="426">
    <w:nsid w:val="2FE5D025"/>
    <w:multiLevelType w:val="hybridMultilevel"/>
    <w:lvl w:ilvl="0">
      <w:lvlJc w:val="left"/>
      <w:lvlText w:val="%1"/>
      <w:numFmt w:val="lowerLetter"/>
      <w:start w:val="1"/>
    </w:lvl>
    <w:lvl w:ilvl="1">
      <w:lvlJc w:val="left"/>
      <w:lvlText w:val="(%2)"/>
      <w:numFmt w:val="lowerLetter"/>
      <w:start w:val="6"/>
    </w:lvl>
  </w:abstractNum>
  <w:abstractNum w:abstractNumId="427">
    <w:nsid w:val="30E1B1CF"/>
    <w:multiLevelType w:val="hybridMultilevel"/>
    <w:lvl w:ilvl="0">
      <w:lvlJc w:val="left"/>
      <w:lvlText w:val="(%1)"/>
      <w:numFmt w:val="lowerLetter"/>
      <w:start w:val="35"/>
    </w:lvl>
    <w:lvl w:ilvl="1">
      <w:lvlJc w:val="left"/>
      <w:lvlText w:val="%2"/>
      <w:numFmt w:val="lowerLetter"/>
      <w:start w:val="1"/>
    </w:lvl>
  </w:abstractNum>
  <w:abstractNum w:abstractNumId="428">
    <w:nsid w:val="C7A9237"/>
    <w:multiLevelType w:val="hybridMultilevel"/>
    <w:lvl w:ilvl="0">
      <w:lvlJc w:val="left"/>
      <w:lvlText w:val="%1."/>
      <w:numFmt w:val="decimal"/>
      <w:start w:val="6"/>
    </w:lvl>
  </w:abstractNum>
  <w:abstractNum w:abstractNumId="429">
    <w:nsid w:val="676B358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30">
    <w:nsid w:val="3193C8F9"/>
    <w:multiLevelType w:val="hybridMultilevel"/>
    <w:lvl w:ilvl="0">
      <w:lvlJc w:val="left"/>
      <w:lvlText w:val="(%1)"/>
      <w:numFmt w:val="lowerLetter"/>
      <w:start w:val="2"/>
    </w:lvl>
  </w:abstractNum>
  <w:abstractNum w:abstractNumId="431">
    <w:nsid w:val="5FA6C6DC"/>
    <w:multiLevelType w:val="hybridMultilevel"/>
    <w:lvl w:ilvl="0">
      <w:lvlJc w:val="left"/>
      <w:lvlText w:val="%1"/>
      <w:numFmt w:val="decimal"/>
      <w:start w:val="1"/>
    </w:lvl>
    <w:lvl w:ilvl="1">
      <w:lvlJc w:val="left"/>
      <w:lvlText w:val="(%2)"/>
      <w:numFmt w:val="lowerLetter"/>
      <w:start w:val="6"/>
    </w:lvl>
  </w:abstractNum>
  <w:abstractNum w:abstractNumId="432">
    <w:nsid w:val="77933F62"/>
    <w:multiLevelType w:val="hybridMultilevel"/>
    <w:lvl w:ilvl="0">
      <w:lvlJc w:val="left"/>
      <w:lvlText w:val="(%1)"/>
      <w:numFmt w:val="decimal"/>
      <w:start w:val="50"/>
    </w:lvl>
    <w:lvl w:ilvl="1">
      <w:lvlJc w:val="left"/>
      <w:lvlText w:val="%2"/>
      <w:numFmt w:val="lowerLetter"/>
      <w:start w:val="1"/>
    </w:lvl>
  </w:abstractNum>
  <w:abstractNum w:abstractNumId="433">
    <w:nsid w:val="6CB4EE9C"/>
    <w:multiLevelType w:val="hybridMultilevel"/>
    <w:lvl w:ilvl="0">
      <w:lvlJc w:val="left"/>
      <w:lvlText w:val="%1."/>
      <w:numFmt w:val="decimal"/>
      <w:start w:val="8"/>
    </w:lvl>
    <w:lvl w:ilvl="1">
      <w:lvlJc w:val="left"/>
      <w:lvlText w:val="(%2)"/>
      <w:numFmt w:val="lowerLetter"/>
      <w:start w:val="1"/>
    </w:lvl>
  </w:abstractNum>
  <w:abstractNum w:abstractNumId="434">
    <w:nsid w:val="6A6D56D7"/>
    <w:multiLevelType w:val="hybridMultilevel"/>
    <w:lvl w:ilvl="0">
      <w:lvlJc w:val="left"/>
      <w:lvlText w:val="%1"/>
      <w:numFmt w:val="lowerLetter"/>
      <w:start w:val="1"/>
    </w:lvl>
    <w:lvl w:ilvl="1">
      <w:lvlJc w:val="left"/>
      <w:lvlText w:val="(%2)"/>
      <w:numFmt w:val="lowerLetter"/>
      <w:start w:val="2"/>
    </w:lvl>
  </w:abstractNum>
  <w:abstractNum w:abstractNumId="435">
    <w:nsid w:val="5B727F19"/>
    <w:multiLevelType w:val="hybridMultilevel"/>
    <w:lvl w:ilvl="0">
      <w:lvlJc w:val="left"/>
      <w:lvlText w:val="(%1)"/>
      <w:numFmt w:val="lowerLetter"/>
      <w:start w:val="61"/>
    </w:lvl>
    <w:lvl w:ilvl="1">
      <w:lvlJc w:val="left"/>
      <w:lvlText w:val="(%2)"/>
      <w:numFmt w:val="lowerLetter"/>
      <w:start w:val="3"/>
    </w:lvl>
  </w:abstractNum>
  <w:abstractNum w:abstractNumId="436">
    <w:nsid w:val="514E5CB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37">
    <w:nsid w:val="4210D41E"/>
    <w:multiLevelType w:val="hybridMultilevel"/>
    <w:lvl w:ilvl="0">
      <w:lvlJc w:val="left"/>
      <w:lvlText w:val="(%1)"/>
      <w:numFmt w:val="lowerLetter"/>
      <w:start w:val="7"/>
    </w:lvl>
    <w:lvl w:ilvl="1">
      <w:lvlJc w:val="left"/>
      <w:lvlText w:val="(%2)"/>
      <w:numFmt w:val="lowerLetter"/>
      <w:start w:val="9"/>
    </w:lvl>
  </w:abstractNum>
  <w:abstractNum w:abstractNumId="438">
    <w:nsid w:val="4FF4CC6D"/>
    <w:multiLevelType w:val="hybridMultilevel"/>
    <w:lvl w:ilvl="0">
      <w:lvlJc w:val="left"/>
      <w:lvlText w:val="%1"/>
      <w:numFmt w:val="lowerLetter"/>
      <w:start w:val="1"/>
    </w:lvl>
    <w:lvl w:ilvl="1">
      <w:lvlJc w:val="left"/>
      <w:lvlText w:val="(%2)"/>
      <w:numFmt w:val="lowerRoman"/>
      <w:start w:val="2"/>
    </w:lvl>
  </w:abstractNum>
  <w:abstractNum w:abstractNumId="439">
    <w:nsid w:val="404EAF4A"/>
    <w:multiLevelType w:val="hybridMultilevel"/>
    <w:lvl w:ilvl="0">
      <w:lvlJc w:val="left"/>
      <w:lvlText w:val="(%1)"/>
      <w:numFmt w:val="lowerLetter"/>
      <w:start w:val="12"/>
    </w:lvl>
    <w:lvl w:ilvl="1">
      <w:lvlJc w:val="left"/>
      <w:lvlText w:val="%2"/>
      <w:numFmt w:val="lowerRoman"/>
      <w:start w:val="1"/>
    </w:lvl>
  </w:abstractNum>
  <w:abstractNum w:abstractNumId="440">
    <w:nsid w:val="4A16874F"/>
    <w:multiLevelType w:val="hybridMultilevel"/>
    <w:lvl w:ilvl="0">
      <w:lvlJc w:val="left"/>
      <w:lvlText w:val="%1."/>
      <w:numFmt w:val="decimal"/>
      <w:start w:val="10"/>
    </w:lvl>
  </w:abstractNum>
  <w:abstractNum w:abstractNumId="441">
    <w:nsid w:val="55FEE0D1"/>
    <w:multiLevelType w:val="hybridMultilevel"/>
    <w:lvl w:ilvl="0">
      <w:lvlJc w:val="left"/>
      <w:lvlText w:val="%1."/>
      <w:numFmt w:val="decimal"/>
      <w:start w:val="1"/>
    </w:lvl>
  </w:abstractNum>
  <w:abstractNum w:abstractNumId="442">
    <w:nsid w:val="3C5E07C"/>
    <w:multiLevelType w:val="hybridMultilevel"/>
    <w:lvl w:ilvl="0">
      <w:lvlJc w:val="left"/>
      <w:lvlText w:val="%1"/>
      <w:numFmt w:val="lowerLetter"/>
      <w:start w:val="1"/>
    </w:lvl>
    <w:lvl w:ilvl="1">
      <w:lvlJc w:val="left"/>
      <w:lvlText w:val="(%2)"/>
      <w:numFmt w:val="lowerLetter"/>
      <w:start w:val="1"/>
    </w:lvl>
  </w:abstractNum>
  <w:abstractNum w:abstractNumId="443">
    <w:nsid w:val="60C2D273"/>
    <w:multiLevelType w:val="hybridMultilevel"/>
    <w:lvl w:ilvl="0">
      <w:lvlJc w:val="left"/>
      <w:lvlText w:val="%1."/>
      <w:numFmt w:val="decimal"/>
      <w:start w:val="3"/>
    </w:lvl>
  </w:abstractNum>
  <w:abstractNum w:abstractNumId="444">
    <w:nsid w:val="4CC32F1F"/>
    <w:multiLevelType w:val="hybridMultilevel"/>
    <w:lvl w:ilvl="0">
      <w:lvlJc w:val="left"/>
      <w:lvlText w:val="%1."/>
      <w:numFmt w:val="decimal"/>
      <w:start w:val="4"/>
    </w:lvl>
    <w:lvl w:ilvl="1">
      <w:lvlJc w:val="left"/>
      <w:lvlText w:val="(%2)"/>
      <w:numFmt w:val="lowerLetter"/>
      <w:start w:val="1"/>
    </w:lvl>
  </w:abstractNum>
  <w:abstractNum w:abstractNumId="445">
    <w:nsid w:val="11CAC74A"/>
    <w:multiLevelType w:val="hybridMultilevel"/>
    <w:lvl w:ilvl="0">
      <w:lvlJc w:val="left"/>
      <w:lvlText w:val="%1"/>
      <w:numFmt w:val="lowerLetter"/>
      <w:start w:val="1"/>
    </w:lvl>
    <w:lvl w:ilvl="1">
      <w:lvlJc w:val="left"/>
      <w:lvlText w:val="%2."/>
      <w:numFmt w:val="decimal"/>
      <w:start w:val="7"/>
    </w:lvl>
  </w:abstractNum>
  <w:abstractNum w:abstractNumId="446">
    <w:nsid w:val="126CADE9"/>
    <w:multiLevelType w:val="hybridMultilevel"/>
    <w:lvl w:ilvl="0">
      <w:lvlJc w:val="left"/>
      <w:lvlText w:val="(%1)"/>
      <w:numFmt w:val="lowerLetter"/>
      <w:start w:val="4"/>
    </w:lvl>
    <w:lvl w:ilvl="1">
      <w:lvlJc w:val="left"/>
      <w:lvlText w:val="%2."/>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2024-01-08T04:29:11Z</dcterms:created>
  <dcterms:modified xsi:type="dcterms:W3CDTF">2024-01-08T04:29:11Z</dcterms:modified>
</cp:coreProperties>
</file>