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51455ds1a.htm"/>
        <w:bookmarkStart w:id="1" w:name="ksd551455ds1a"/>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January 18, 2024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333-276350 </w:t>
      </w:r>
    </w:p>
    <w:p>
      <w:pPr>
        <w:pStyle w:val="TextBody"/>
        <w:bidi w:val="0"/>
        <w:spacing w:before="0" w:after="0"/>
        <w:jc w:val="left"/>
        <w:rPr/>
      </w:pPr>
      <w:r>
        <w:rPr/>
        <w:t> </w:t>
      </w:r>
    </w:p>
    <w:p>
      <w:pPr>
        <w:pStyle w:val="TextBody"/>
        <w:pBdr>
          <w:bottom w:val="single" w:sz="24"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22"/>
        </w:rPr>
      </w:pPr>
      <w:r>
        <w:rPr>
          <w:rFonts w:ascii="Times New Roman" w:hAnsi="Times New Roman"/>
          <w:b/>
          <w:sz w:val="22"/>
        </w:rPr>
        <w:t xml:space="preserve">UNITED STATES </w:t>
      </w:r>
    </w:p>
    <w:p>
      <w:pPr>
        <w:pStyle w:val="TextBody"/>
        <w:bidi w:val="0"/>
        <w:spacing w:before="0" w:after="0"/>
        <w:jc w:val="center"/>
        <w:rPr>
          <w:rFonts w:ascii="Times New Roman" w:hAnsi="Times New Roman"/>
          <w:b/>
          <w:sz w:val="22"/>
        </w:rPr>
      </w:pPr>
      <w:r>
        <w:rPr>
          <w:rFonts w:ascii="Times New Roman" w:hAnsi="Times New Roman"/>
          <w:b/>
          <w:sz w:val="22"/>
        </w:rPr>
        <w:t xml:space="preserve">SECURITIES AND EXCHANGE COMMISSION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NO.1 </w:t>
      </w:r>
    </w:p>
    <w:p>
      <w:pPr>
        <w:pStyle w:val="TextBody"/>
        <w:bidi w:val="0"/>
        <w:spacing w:before="0" w:after="0"/>
        <w:jc w:val="center"/>
        <w:rPr>
          <w:rFonts w:ascii="Times New Roman" w:hAnsi="Times New Roman"/>
          <w:b/>
          <w:sz w:val="22"/>
        </w:rPr>
      </w:pPr>
      <w:r>
        <w:rPr>
          <w:rFonts w:ascii="Times New Roman" w:hAnsi="Times New Roman"/>
          <w:b/>
          <w:sz w:val="22"/>
        </w:rPr>
        <w:t xml:space="preserve">FORM S-1 </w:t>
      </w:r>
    </w:p>
    <w:p>
      <w:pPr>
        <w:pStyle w:val="TextBody"/>
        <w:bidi w:val="0"/>
        <w:spacing w:before="0" w:after="0"/>
        <w:jc w:val="center"/>
        <w:rPr>
          <w:rFonts w:ascii="Times New Roman" w:hAnsi="Times New Roman"/>
          <w:b/>
          <w:sz w:val="22"/>
        </w:rPr>
      </w:pPr>
      <w:r>
        <w:rPr>
          <w:rFonts w:ascii="Times New Roman" w:hAnsi="Times New Roman"/>
          <w:b/>
          <w:sz w:val="22"/>
        </w:rPr>
        <w:t xml:space="preserve">REGISTRATION STATEMENT </w:t>
      </w:r>
    </w:p>
    <w:p>
      <w:pPr>
        <w:pStyle w:val="TextBody"/>
        <w:bidi w:val="0"/>
        <w:spacing w:before="0" w:after="0"/>
        <w:jc w:val="center"/>
        <w:rPr>
          <w:rFonts w:ascii="Times New Roman" w:hAnsi="Times New Roman"/>
          <w:b/>
          <w:sz w:val="16"/>
        </w:rPr>
      </w:pPr>
      <w:r>
        <w:rPr>
          <w:rFonts w:ascii="Times New Roman" w:hAnsi="Times New Roman"/>
          <w:b/>
          <w:sz w:val="16"/>
        </w:rPr>
        <w:t xml:space="preserve">UNDER </w:t>
      </w:r>
    </w:p>
    <w:p>
      <w:pPr>
        <w:pStyle w:val="TextBody"/>
        <w:bidi w:val="0"/>
        <w:spacing w:before="0" w:after="0"/>
        <w:jc w:val="center"/>
        <w:rPr>
          <w:rFonts w:ascii="Times New Roman" w:hAnsi="Times New Roman"/>
          <w:b/>
          <w:sz w:val="16"/>
        </w:rPr>
      </w:pPr>
      <w:r>
        <w:rPr>
          <w:rFonts w:ascii="Times New Roman" w:hAnsi="Times New Roman"/>
          <w:b/>
          <w:sz w:val="16"/>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2"/>
        </w:rPr>
      </w:pPr>
      <w:r>
        <w:rPr>
          <w:rFonts w:ascii="Times New Roman" w:hAnsi="Times New Roman"/>
          <w:b/>
          <w:sz w:val="22"/>
        </w:rPr>
        <w:t xml:space="preserve">CG ONCOLOGY, INC. </w:t>
      </w:r>
    </w:p>
    <w:p>
      <w:pPr>
        <w:pStyle w:val="TextBody"/>
        <w:bidi w:val="0"/>
        <w:spacing w:before="0" w:after="0"/>
        <w:jc w:val="center"/>
        <w:rPr>
          <w:rFonts w:ascii="Times New Roman" w:hAnsi="Times New Roman"/>
          <w:sz w:val="16"/>
        </w:rPr>
      </w:pPr>
      <w:r>
        <w:rPr>
          <w:rFonts w:ascii="Times New Roman" w:hAnsi="Times New Roman"/>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37-1611499</w:t>
            </w:r>
          </w:p>
        </w:tc>
      </w:tr>
      <w:tr>
        <w:trPr/>
        <w:tc>
          <w:tcPr>
            <w:tcW w:w="336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(State or other jurisdiction of</w:t>
            </w:r>
          </w:p>
          <w:p>
            <w:pPr>
              <w:pStyle w:val="TableContents"/>
              <w:bidi w:val="0"/>
              <w:spacing w:before="0" w:after="20"/>
              <w:jc w:val="center"/>
              <w:rPr>
                <w:rFonts w:ascii="Times New Roman" w:hAnsi="Times New Roman"/>
                <w:sz w:val="16"/>
              </w:rPr>
            </w:pPr>
            <w:r>
              <w:rPr>
                <w:rFonts w:ascii="Times New Roman" w:hAnsi="Times New Roman"/>
                <w:sz w:val="16"/>
              </w:rPr>
              <w:t>incorporation or organization)</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(Primary Standard Industrial</w:t>
            </w:r>
          </w:p>
          <w:p>
            <w:pPr>
              <w:pStyle w:val="TableContents"/>
              <w:bidi w:val="0"/>
              <w:spacing w:before="0" w:after="20"/>
              <w:jc w:val="center"/>
              <w:rPr>
                <w:rFonts w:ascii="Times New Roman" w:hAnsi="Times New Roman"/>
                <w:sz w:val="16"/>
              </w:rPr>
            </w:pPr>
            <w:r>
              <w:rPr>
                <w:rFonts w:ascii="Times New Roman" w:hAnsi="Times New Roman"/>
                <w:sz w:val="16"/>
              </w:rPr>
              <w:t>Classification Code Number)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(I.R.S. Employer</w:t>
            </w:r>
          </w:p>
          <w:p>
            <w:pPr>
              <w:pStyle w:val="TableContents"/>
              <w:bidi w:val="0"/>
              <w:spacing w:before="0" w:after="20"/>
              <w:jc w:val="center"/>
              <w:rPr>
                <w:rFonts w:ascii="Times New Roman" w:hAnsi="Times New Roman"/>
                <w:sz w:val="16"/>
              </w:rPr>
            </w:pPr>
            <w:r>
              <w:rPr>
                <w:rFonts w:ascii="Times New Roman" w:hAnsi="Times New Roman"/>
                <w:sz w:val="16"/>
              </w:rPr>
              <w:t>Identification No.)</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400 Spectrum Center Drive, Suite 2040 </w:t>
      </w:r>
    </w:p>
    <w:p>
      <w:pPr>
        <w:pStyle w:val="TextBody"/>
        <w:bidi w:val="0"/>
        <w:spacing w:before="0" w:after="0"/>
        <w:jc w:val="center"/>
        <w:rPr>
          <w:rFonts w:ascii="Times New Roman" w:hAnsi="Times New Roman"/>
          <w:b/>
          <w:sz w:val="16"/>
        </w:rPr>
      </w:pPr>
      <w:r>
        <w:rPr>
          <w:rFonts w:ascii="Times New Roman" w:hAnsi="Times New Roman"/>
          <w:b/>
          <w:sz w:val="16"/>
        </w:rPr>
        <w:t xml:space="preserve">Irvine, CA 92618 </w:t>
      </w:r>
    </w:p>
    <w:p>
      <w:pPr>
        <w:pStyle w:val="TextBody"/>
        <w:bidi w:val="0"/>
        <w:spacing w:before="0" w:after="0"/>
        <w:jc w:val="center"/>
        <w:rPr>
          <w:rFonts w:ascii="Times New Roman" w:hAnsi="Times New Roman"/>
          <w:b/>
          <w:sz w:val="16"/>
        </w:rPr>
      </w:pPr>
      <w:r>
        <w:rPr>
          <w:rFonts w:ascii="Times New Roman" w:hAnsi="Times New Roman"/>
          <w:b/>
          <w:sz w:val="16"/>
        </w:rPr>
        <w:t xml:space="preserve">(949) 409-3700 </w:t>
      </w:r>
    </w:p>
    <w:p>
      <w:pPr>
        <w:pStyle w:val="TextBody"/>
        <w:bidi w:val="0"/>
        <w:spacing w:before="0" w:after="0"/>
        <w:jc w:val="center"/>
        <w:rPr>
          <w:rFonts w:ascii="Times New Roman" w:hAnsi="Times New Roman"/>
          <w:sz w:val="16"/>
        </w:rPr>
      </w:pPr>
      <w:r>
        <w:rPr>
          <w:rFonts w:ascii="Times New Roman" w:hAnsi="Times New Roman"/>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Arthur Kuan </w:t>
      </w:r>
    </w:p>
    <w:p>
      <w:pPr>
        <w:pStyle w:val="TextBody"/>
        <w:bidi w:val="0"/>
        <w:spacing w:before="0" w:after="0"/>
        <w:jc w:val="center"/>
        <w:rPr>
          <w:rFonts w:ascii="Times New Roman" w:hAnsi="Times New Roman"/>
          <w:b/>
          <w:sz w:val="16"/>
        </w:rPr>
      </w:pPr>
      <w:r>
        <w:rPr>
          <w:rFonts w:ascii="Times New Roman" w:hAnsi="Times New Roman"/>
          <w:b/>
          <w:sz w:val="16"/>
        </w:rPr>
        <w:t xml:space="preserve">Chairman and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400 Spectrum Center Drive, Suite 2040 </w:t>
      </w:r>
    </w:p>
    <w:p>
      <w:pPr>
        <w:pStyle w:val="TextBody"/>
        <w:bidi w:val="0"/>
        <w:spacing w:before="0" w:after="0"/>
        <w:jc w:val="center"/>
        <w:rPr>
          <w:rFonts w:ascii="Times New Roman" w:hAnsi="Times New Roman"/>
          <w:b/>
          <w:sz w:val="16"/>
        </w:rPr>
      </w:pPr>
      <w:r>
        <w:rPr>
          <w:rFonts w:ascii="Times New Roman" w:hAnsi="Times New Roman"/>
          <w:b/>
          <w:sz w:val="16"/>
        </w:rPr>
        <w:t xml:space="preserve">Irvine, CA 92618 </w:t>
      </w:r>
    </w:p>
    <w:p>
      <w:pPr>
        <w:pStyle w:val="TextBody"/>
        <w:bidi w:val="0"/>
        <w:spacing w:before="0" w:after="0"/>
        <w:jc w:val="center"/>
        <w:rPr>
          <w:rFonts w:ascii="Times New Roman" w:hAnsi="Times New Roman"/>
          <w:b/>
          <w:sz w:val="16"/>
        </w:rPr>
      </w:pPr>
      <w:r>
        <w:rPr>
          <w:rFonts w:ascii="Times New Roman" w:hAnsi="Times New Roman"/>
          <w:b/>
          <w:sz w:val="16"/>
        </w:rPr>
        <w:t xml:space="preserve">(949) 409-3700 </w:t>
      </w:r>
    </w:p>
    <w:p>
      <w:pPr>
        <w:pStyle w:val="TextBody"/>
        <w:bidi w:val="0"/>
        <w:spacing w:before="0" w:after="0"/>
        <w:jc w:val="center"/>
        <w:rPr>
          <w:rFonts w:ascii="Times New Roman" w:hAnsi="Times New Roman"/>
          <w:sz w:val="16"/>
        </w:rPr>
      </w:pPr>
      <w:r>
        <w:rPr>
          <w:rFonts w:ascii="Times New Roman" w:hAnsi="Times New Roman"/>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i/>
          <w:sz w:val="16"/>
        </w:rPr>
      </w:pPr>
      <w:r>
        <w:rPr>
          <w:rFonts w:ascii="Times New Roman" w:hAnsi="Times New Roman"/>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Cheston J. Larson</w:t>
            </w:r>
          </w:p>
          <w:p>
            <w:pPr>
              <w:pStyle w:val="TableContents"/>
              <w:bidi w:val="0"/>
              <w:spacing w:before="0" w:after="0"/>
              <w:jc w:val="center"/>
              <w:rPr>
                <w:rFonts w:ascii="Times New Roman" w:hAnsi="Times New Roman"/>
                <w:b/>
                <w:sz w:val="16"/>
              </w:rPr>
            </w:pPr>
            <w:r>
              <w:rPr>
                <w:rFonts w:ascii="Times New Roman" w:hAnsi="Times New Roman"/>
                <w:b/>
                <w:sz w:val="16"/>
              </w:rPr>
              <w:t>Matthew T. Bush</w:t>
            </w:r>
          </w:p>
          <w:p>
            <w:pPr>
              <w:pStyle w:val="TableContents"/>
              <w:bidi w:val="0"/>
              <w:spacing w:before="0" w:after="0"/>
              <w:jc w:val="center"/>
              <w:rPr>
                <w:rFonts w:ascii="Times New Roman" w:hAnsi="Times New Roman"/>
                <w:b/>
                <w:sz w:val="16"/>
              </w:rPr>
            </w:pPr>
            <w:r>
              <w:rPr>
                <w:rFonts w:ascii="Times New Roman" w:hAnsi="Times New Roman"/>
                <w:b/>
                <w:sz w:val="16"/>
              </w:rPr>
              <w:t>Anthony Gostanian</w:t>
            </w:r>
          </w:p>
          <w:p>
            <w:pPr>
              <w:pStyle w:val="TableContents"/>
              <w:bidi w:val="0"/>
              <w:spacing w:before="0" w:after="0"/>
              <w:jc w:val="center"/>
              <w:rPr>
                <w:rFonts w:ascii="Times New Roman" w:hAnsi="Times New Roman"/>
                <w:b/>
                <w:sz w:val="16"/>
              </w:rPr>
            </w:pPr>
            <w:r>
              <w:rPr>
                <w:rFonts w:ascii="Times New Roman" w:hAnsi="Times New Roman"/>
                <w:b/>
                <w:sz w:val="16"/>
              </w:rPr>
              <w:t>Latham &amp; Watkins LLP</w:t>
            </w:r>
          </w:p>
          <w:p>
            <w:pPr>
              <w:pStyle w:val="TableContents"/>
              <w:bidi w:val="0"/>
              <w:spacing w:before="0" w:after="0"/>
              <w:jc w:val="center"/>
              <w:rPr>
                <w:rFonts w:ascii="Times New Roman" w:hAnsi="Times New Roman"/>
                <w:b/>
                <w:sz w:val="16"/>
              </w:rPr>
            </w:pPr>
            <w:r>
              <w:rPr>
                <w:rFonts w:ascii="Times New Roman" w:hAnsi="Times New Roman"/>
                <w:b/>
                <w:sz w:val="16"/>
              </w:rPr>
              <w:t>12670 High Bluff Drive</w:t>
            </w:r>
          </w:p>
          <w:p>
            <w:pPr>
              <w:pStyle w:val="TableContents"/>
              <w:bidi w:val="0"/>
              <w:spacing w:before="0" w:after="0"/>
              <w:jc w:val="center"/>
              <w:rPr>
                <w:rFonts w:ascii="Times New Roman" w:hAnsi="Times New Roman"/>
                <w:b/>
                <w:sz w:val="16"/>
              </w:rPr>
            </w:pPr>
            <w:r>
              <w:rPr>
                <w:rFonts w:ascii="Times New Roman" w:hAnsi="Times New Roman"/>
                <w:b/>
                <w:sz w:val="16"/>
              </w:rPr>
              <w:t>San Diego, CA 92130</w:t>
            </w:r>
          </w:p>
          <w:p>
            <w:pPr>
              <w:pStyle w:val="TableContents"/>
              <w:bidi w:val="0"/>
              <w:spacing w:before="0" w:after="20"/>
              <w:jc w:val="center"/>
              <w:rPr>
                <w:rFonts w:ascii="Times New Roman" w:hAnsi="Times New Roman"/>
                <w:b/>
                <w:sz w:val="16"/>
              </w:rPr>
            </w:pPr>
            <w:r>
              <w:rPr>
                <w:rFonts w:ascii="Times New Roman" w:hAnsi="Times New Roman"/>
                <w:b/>
                <w:sz w:val="16"/>
              </w:rPr>
              <w:t>(858) 523-5400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Charles S. Kim</w:t>
            </w:r>
          </w:p>
          <w:p>
            <w:pPr>
              <w:pStyle w:val="TableContents"/>
              <w:bidi w:val="0"/>
              <w:spacing w:before="0" w:after="0"/>
              <w:jc w:val="center"/>
              <w:rPr>
                <w:rFonts w:ascii="Times New Roman" w:hAnsi="Times New Roman"/>
                <w:b/>
                <w:sz w:val="16"/>
              </w:rPr>
            </w:pPr>
            <w:r>
              <w:rPr>
                <w:rFonts w:ascii="Times New Roman" w:hAnsi="Times New Roman"/>
                <w:b/>
                <w:sz w:val="16"/>
              </w:rPr>
              <w:t>Denny Won</w:t>
            </w:r>
          </w:p>
          <w:p>
            <w:pPr>
              <w:pStyle w:val="TableContents"/>
              <w:bidi w:val="0"/>
              <w:spacing w:before="0" w:after="0"/>
              <w:jc w:val="center"/>
              <w:rPr>
                <w:rFonts w:ascii="Times New Roman" w:hAnsi="Times New Roman"/>
                <w:b/>
                <w:sz w:val="16"/>
              </w:rPr>
            </w:pPr>
            <w:r>
              <w:rPr>
                <w:rFonts w:ascii="Times New Roman" w:hAnsi="Times New Roman"/>
                <w:b/>
                <w:sz w:val="16"/>
              </w:rPr>
              <w:t>Kristin VanderPas</w:t>
            </w:r>
          </w:p>
          <w:p>
            <w:pPr>
              <w:pStyle w:val="TableContents"/>
              <w:bidi w:val="0"/>
              <w:spacing w:before="0" w:after="0"/>
              <w:jc w:val="center"/>
              <w:rPr>
                <w:rFonts w:ascii="Times New Roman" w:hAnsi="Times New Roman"/>
                <w:b/>
                <w:sz w:val="16"/>
              </w:rPr>
            </w:pPr>
            <w:r>
              <w:rPr>
                <w:rFonts w:ascii="Times New Roman" w:hAnsi="Times New Roman"/>
                <w:b/>
                <w:sz w:val="16"/>
              </w:rPr>
              <w:t>Dave Peinsipp</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10265 Science Center Drive</w:t>
            </w:r>
          </w:p>
          <w:p>
            <w:pPr>
              <w:pStyle w:val="TableContents"/>
              <w:bidi w:val="0"/>
              <w:spacing w:before="0" w:after="0"/>
              <w:jc w:val="center"/>
              <w:rPr>
                <w:rFonts w:ascii="Times New Roman" w:hAnsi="Times New Roman"/>
                <w:b/>
                <w:sz w:val="16"/>
              </w:rPr>
            </w:pPr>
            <w:r>
              <w:rPr>
                <w:rFonts w:ascii="Times New Roman" w:hAnsi="Times New Roman"/>
                <w:b/>
                <w:sz w:val="16"/>
              </w:rPr>
              <w:t>San Diego, CA 92121</w:t>
            </w:r>
          </w:p>
          <w:p>
            <w:pPr>
              <w:pStyle w:val="TableContents"/>
              <w:bidi w:val="0"/>
              <w:spacing w:before="0" w:after="20"/>
              <w:jc w:val="center"/>
              <w:rPr>
                <w:rFonts w:ascii="Times New Roman" w:hAnsi="Times New Roman"/>
                <w:b/>
                <w:sz w:val="16"/>
              </w:rPr>
            </w:pPr>
            <w:r>
              <w:rPr>
                <w:rFonts w:ascii="Times New Roman" w:hAnsi="Times New Roman"/>
                <w:b/>
                <w:sz w:val="16"/>
              </w:rPr>
              <w:t>(858) 550-6000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As soon as practicable after this Registration Statement is declared effective. </w:t>
      </w:r>
    </w:p>
    <w:p>
      <w:pPr>
        <w:pStyle w:val="TextBody"/>
        <w:bidi w:val="0"/>
        <w:spacing w:before="120" w:after="0"/>
        <w:jc w:val="both"/>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6"/>
        <w:gridCol w:w="102"/>
        <w:gridCol w:w="2551"/>
        <w:gridCol w:w="102"/>
        <w:gridCol w:w="2552"/>
        <w:gridCol w:w="102"/>
        <w:gridCol w:w="2450"/>
      </w:tblGrid>
      <w:tr>
        <w:trPr/>
        <w:tc>
          <w:tcPr>
            <w:tcW w:w="23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Large accelerated filer  ☐</w:t>
            </w:r>
          </w:p>
        </w:tc>
        <w:tc>
          <w:tcPr>
            <w:tcW w:w="102" w:type="dxa"/>
            <w:tcBorders/>
            <w:vAlign w:val="bottom"/>
          </w:tcPr>
          <w:p>
            <w:pPr>
              <w:pStyle w:val="TableContents"/>
              <w:bidi w:val="0"/>
              <w:spacing w:before="0" w:after="283"/>
              <w:jc w:val="left"/>
              <w:rPr/>
            </w:pPr>
            <w:r>
              <w:rPr/>
              <w:t> </w:t>
            </w:r>
          </w:p>
        </w:tc>
        <w:tc>
          <w:tcPr>
            <w:tcW w:w="2551" w:type="dxa"/>
            <w:tcBorders/>
          </w:tcPr>
          <w:p>
            <w:pPr>
              <w:pStyle w:val="TableContents"/>
              <w:bidi w:val="0"/>
              <w:spacing w:before="0" w:after="283"/>
              <w:jc w:val="left"/>
              <w:rPr/>
            </w:pPr>
            <w:r>
              <w:rPr/>
              <w:t>Accelerated filer  ☐</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Non-accelerated filer  ☒</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Smaller reporting company  ☒</w:t>
            </w:r>
          </w:p>
        </w:tc>
      </w:tr>
    </w:tbl>
    <w:p>
      <w:pPr>
        <w:pStyle w:val="TextBody"/>
        <w:bidi w:val="0"/>
        <w:spacing w:before="120" w:after="0"/>
        <w:jc w:val="left"/>
        <w:rPr>
          <w:rFonts w:ascii="Times New Roman" w:hAnsi="Times New Roman"/>
          <w:sz w:val="16"/>
        </w:rPr>
      </w:pPr>
      <w:r>
        <w:rPr>
          <w:rFonts w:ascii="Times New Roman" w:hAnsi="Times New Roman"/>
          <w:sz w:val="16"/>
        </w:rPr>
        <w:t xml:space="preserve">Emerging growth company  ☒ </w:t>
      </w:r>
    </w:p>
    <w:p>
      <w:pPr>
        <w:pStyle w:val="TextBody"/>
        <w:bidi w:val="0"/>
        <w:spacing w:before="120" w:after="0"/>
        <w:jc w:val="both"/>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8" w:space="1" w:color="000000"/>
        </w:pBdr>
        <w:bidi w:val="0"/>
        <w:spacing w:lineRule="atLeast" w:line="142" w:before="0" w:after="0"/>
        <w:jc w:val="left"/>
        <w:rPr/>
      </w:pPr>
      <w:r>
        <w:rPr/>
        <w:t> </w:t>
      </w:r>
    </w:p>
    <w:p>
      <w:pPr>
        <w:pStyle w:val="TextBody"/>
        <w:pBdr>
          <w:bottom w:val="single" w:sz="24"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Arial Narrow" w:hAnsi="Arial Narrow"/>
          <w:b/>
          <w:color w:val="CC062A"/>
          <w:sz w:val="17"/>
        </w:rPr>
      </w:pPr>
      <w:r>
        <w:rPr>
          <w:rFonts w:ascii="Arial Narrow" w:hAnsi="Arial Narrow"/>
          <w:b/>
          <w:color w:val="CC062A"/>
          <w:sz w:val="17"/>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CC062A"/>
          <w:sz w:val="20"/>
        </w:rPr>
      </w:pPr>
      <w:r>
        <w:rPr>
          <w:rFonts w:ascii="Times New Roman" w:hAnsi="Times New Roman"/>
          <w:b/>
          <w:color w:val="CC062A"/>
          <w:sz w:val="20"/>
        </w:rPr>
        <w:t xml:space="preserve">SUBJECT TO COMPLETION, DATED JANUARY 18, 2024 </w:t>
      </w:r>
    </w:p>
    <w:p>
      <w:pPr>
        <w:pStyle w:val="TextBody"/>
        <w:bidi w:val="0"/>
        <w:spacing w:before="240" w:after="0"/>
        <w:jc w:val="center"/>
        <w:rPr>
          <w:rFonts w:ascii="Times New Roman" w:hAnsi="Times New Roman"/>
          <w:b/>
          <w:sz w:val="36"/>
        </w:rPr>
      </w:pPr>
      <w:r>
        <w:rPr>
          <w:rFonts w:ascii="Times New Roman" w:hAnsi="Times New Roman"/>
          <w:b/>
          <w:sz w:val="36"/>
        </w:rPr>
        <w:t xml:space="preserve">11,800,000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800" cy="59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 cy="590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This is an initial public offering of shares of common stock of CG Oncology, Inc.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11,800,000 shares of our common stock. Prior to this offering, there has been no public market for our common stock. We anticipate that the initial public offering price will be between $16.00 and $18.00 per share. We have applied to list our common stock on the Nasdaq Global Select Market (Nasdaq) under the symbol CGON, and this offering is contingent upon obtaining approval of such listing. </w:t>
      </w:r>
    </w:p>
    <w:p>
      <w:pPr>
        <w:pStyle w:val="TextBody"/>
        <w:bidi w:val="0"/>
        <w:spacing w:before="240" w:after="0"/>
        <w:jc w:val="both"/>
        <w:rPr>
          <w:rFonts w:ascii="Times New Roman" w:hAnsi="Times New Roman"/>
          <w:sz w:val="20"/>
        </w:rPr>
      </w:pPr>
      <w:r>
        <w:rPr>
          <w:rFonts w:ascii="Times New Roman" w:hAnsi="Times New Roman"/>
          <w:sz w:val="20"/>
        </w:rPr>
        <w:t xml:space="preserve">We are an emerging growth company and a smaller reporting company under the federal securities laws and, as such, have elected to comply with certain reduced public company reporting requirements.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pPr>
      <w:r>
        <w:rPr>
          <w:rFonts w:ascii="Times New Roman" w:hAnsi="Times New Roman"/>
          <w:b/>
          <w:sz w:val="20"/>
        </w:rPr>
        <w:t>Investing in our common stock involves a high degree of risk. See the section titled </w:t>
      </w:r>
      <w:hyperlink w:anchor="toc551455_2">
        <w:r>
          <w:rPr>
            <w:rStyle w:val="InternetLink"/>
            <w:rFonts w:ascii="Times New Roman" w:hAnsi="Times New Roman"/>
            <w:b/>
            <w:sz w:val="20"/>
          </w:rPr>
          <w:t>Risk Factors</w:t>
        </w:r>
      </w:hyperlink>
      <w:r>
        <w:rPr>
          <w:rFonts w:ascii="Times New Roman" w:hAnsi="Times New Roman"/>
          <w:b/>
          <w:sz w:val="20"/>
        </w:rPr>
        <w:t xml:space="preserve"> beginning on page 14.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8"/>
        <w:gridCol w:w="226"/>
        <w:gridCol w:w="140"/>
        <w:gridCol w:w="787"/>
        <w:gridCol w:w="60"/>
        <w:gridCol w:w="226"/>
        <w:gridCol w:w="140"/>
        <w:gridCol w:w="1265"/>
        <w:gridCol w:w="63"/>
      </w:tblGrid>
      <w:tr>
        <w:trPr/>
        <w:tc>
          <w:tcPr>
            <w:tcW w:w="729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9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7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Underwriting discounts and commissions(1)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the section titled Underwriting for additional disclosure regarding the estimated underwriting discounts and commissions and estimated offering expenses.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granted the underwriters an option for a period of 30 days to purchase up to an additional 1,770,000 shares of our common stock solely to cover over-allotments, if any.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expect to deliver the shares of common stock to purchasers on                 , 2024.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4"/>
        <w:gridCol w:w="4185"/>
        <w:gridCol w:w="204"/>
        <w:gridCol w:w="2653"/>
      </w:tblGrid>
      <w:tr>
        <w:trPr/>
        <w:tc>
          <w:tcPr>
            <w:tcW w:w="29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Morgan Stanley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b/>
              </w:rPr>
            </w:pPr>
            <w:r>
              <w:rPr>
                <w:b/>
              </w:rPr>
              <w:t>Goldman Sachs &amp; Co. LLC</w:t>
            </w:r>
          </w:p>
        </w:tc>
        <w:tc>
          <w:tcPr>
            <w:tcW w:w="204"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LifeSci Capital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10230" cy="520001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520001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3">
                                    <w:r>
                                      <w:rPr>
                                        <w:rStyle w:val="InternetLink"/>
                                        <w:rFonts w:ascii="Times New Roman" w:hAnsi="Times New Roman"/>
                                        <w:sz w:val="20"/>
                                      </w:rPr>
                                      <w:t>Special Note Regarding Forward-Looking</w:t>
                                    </w:r>
                                  </w:hyperlink>
                                  <w:r>
                                    <w:rPr>
                                      <w:rFonts w:ascii="Times New Roman" w:hAnsi="Times New Roman"/>
                                      <w:sz w:val="20"/>
                                    </w:rPr>
                                    <w:t xml:space="preserve"> </w:t>
                                  </w:r>
                                  <w:hyperlink w:anchor="toc551455_3">
                                    <w:r>
                                      <w:rPr>
                                        <w:rStyle w:val="InternetLink"/>
                                        <w:rFonts w:ascii="Times New Roman" w:hAnsi="Times New Roman"/>
                                        <w:sz w:val="20"/>
                                      </w:rPr>
                                      <w:t xml:space="preserve">Statements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9">
                                    <w:r>
                                      <w:rPr>
                                        <w:rStyle w:val="InternetLink"/>
                                        <w:rFonts w:ascii="Times New Roman" w:hAnsi="Times New Roman"/>
                                        <w:sz w:val="20"/>
                                      </w:rPr>
                                      <w:t>Managements Discussion and Analysis of</w:t>
                                    </w:r>
                                  </w:hyperlink>
                                  <w:r>
                                    <w:rPr>
                                      <w:rFonts w:ascii="Times New Roman" w:hAnsi="Times New Roman"/>
                                      <w:sz w:val="20"/>
                                    </w:rPr>
                                    <w:t xml:space="preserve"> </w:t>
                                  </w:r>
                                  <w:hyperlink w:anchor="toc551455_9">
                                    <w:r>
                                      <w:rPr>
                                        <w:rStyle w:val="InternetLink"/>
                                        <w:rFonts w:ascii="Times New Roman" w:hAnsi="Times New Roman"/>
                                        <w:sz w:val="20"/>
                                      </w:rPr>
                                      <w:t>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134</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9.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3">
                              <w:r>
                                <w:rPr>
                                  <w:rStyle w:val="InternetLink"/>
                                  <w:rFonts w:ascii="Times New Roman" w:hAnsi="Times New Roman"/>
                                  <w:sz w:val="20"/>
                                </w:rPr>
                                <w:t>Special Note Regarding Forward-Looking</w:t>
                              </w:r>
                            </w:hyperlink>
                            <w:r>
                              <w:rPr>
                                <w:rFonts w:ascii="Times New Roman" w:hAnsi="Times New Roman"/>
                                <w:sz w:val="20"/>
                              </w:rPr>
                              <w:t xml:space="preserve"> </w:t>
                            </w:r>
                            <w:hyperlink w:anchor="toc551455_3">
                              <w:r>
                                <w:rPr>
                                  <w:rStyle w:val="InternetLink"/>
                                  <w:rFonts w:ascii="Times New Roman" w:hAnsi="Times New Roman"/>
                                  <w:sz w:val="20"/>
                                </w:rPr>
                                <w:t xml:space="preserve">Statements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9">
                              <w:r>
                                <w:rPr>
                                  <w:rStyle w:val="InternetLink"/>
                                  <w:rFonts w:ascii="Times New Roman" w:hAnsi="Times New Roman"/>
                                  <w:sz w:val="20"/>
                                </w:rPr>
                                <w:t>Managements Discussion and Analysis of</w:t>
                              </w:r>
                            </w:hyperlink>
                            <w:r>
                              <w:rPr>
                                <w:rFonts w:ascii="Times New Roman" w:hAnsi="Times New Roman"/>
                                <w:sz w:val="20"/>
                              </w:rPr>
                              <w:t xml:space="preserve"> </w:t>
                            </w:r>
                            <w:hyperlink w:anchor="toc551455_9">
                              <w:r>
                                <w:rPr>
                                  <w:rStyle w:val="InternetLink"/>
                                  <w:rFonts w:ascii="Times New Roman" w:hAnsi="Times New Roman"/>
                                  <w:sz w:val="20"/>
                                </w:rPr>
                                <w:t>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oc551455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134</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677735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67773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2">
                                    <w:r>
                                      <w:rPr>
                                        <w:rStyle w:val="InternetLink"/>
                                        <w:rFonts w:ascii="Times New Roman" w:hAnsi="Times New Roman"/>
                                        <w:sz w:val="20"/>
                                      </w:rPr>
                                      <w:t>Executive and 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3">
                                    <w:r>
                                      <w:rPr>
                                        <w:rStyle w:val="InternetLink"/>
                                        <w:rFonts w:ascii="Times New Roman" w:hAnsi="Times New Roman"/>
                                        <w:sz w:val="20"/>
                                      </w:rPr>
                                      <w:t>Certain Relationships and Related Person</w:t>
                                    </w:r>
                                  </w:hyperlink>
                                  <w:r>
                                    <w:rPr>
                                      <w:rFonts w:ascii="Times New Roman" w:hAnsi="Times New Roman"/>
                                      <w:sz w:val="20"/>
                                    </w:rPr>
                                    <w:t xml:space="preserve"> </w:t>
                                  </w:r>
                                  <w:hyperlink w:anchor="toc551455_13">
                                    <w:r>
                                      <w:rPr>
                                        <w:rStyle w:val="InternetLink"/>
                                        <w:rFonts w:ascii="Times New Roman" w:hAnsi="Times New Roman"/>
                                        <w:sz w:val="20"/>
                                      </w:rPr>
                                      <w:t xml:space="preserve">Transactions </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168</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174</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7">
                                    <w:r>
                                      <w:rPr>
                                        <w:rStyle w:val="InternetLink"/>
                                        <w:rFonts w:ascii="Times New Roman" w:hAnsi="Times New Roman"/>
                                        <w:sz w:val="20"/>
                                      </w:rPr>
                                      <w:t>Material United States Federal Income Tax</w:t>
                                    </w:r>
                                  </w:hyperlink>
                                  <w:r>
                                    <w:rPr>
                                      <w:rFonts w:ascii="Times New Roman" w:hAnsi="Times New Roman"/>
                                      <w:sz w:val="20"/>
                                    </w:rPr>
                                    <w:t xml:space="preserve"> </w:t>
                                  </w:r>
                                  <w:hyperlink w:anchor="toc551455_17">
                                    <w:r>
                                      <w:rPr>
                                        <w:rStyle w:val="InternetLink"/>
                                        <w:rFonts w:ascii="Times New Roman" w:hAnsi="Times New Roman"/>
                                        <w:sz w:val="20"/>
                                      </w:rPr>
                                      <w:t>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1">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2">
                                    <w:r>
                                      <w:rPr>
                                        <w:rStyle w:val="InternetLink"/>
                                        <w:rFonts w:ascii="Times New Roman" w:hAnsi="Times New Roman"/>
                                        <w:sz w:val="20"/>
                                      </w:rPr>
                                      <w:t>Index to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3.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2">
                              <w:r>
                                <w:rPr>
                                  <w:rStyle w:val="InternetLink"/>
                                  <w:rFonts w:ascii="Times New Roman" w:hAnsi="Times New Roman"/>
                                  <w:sz w:val="20"/>
                                </w:rPr>
                                <w:t>Executive and 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3">
                              <w:r>
                                <w:rPr>
                                  <w:rStyle w:val="InternetLink"/>
                                  <w:rFonts w:ascii="Times New Roman" w:hAnsi="Times New Roman"/>
                                  <w:sz w:val="20"/>
                                </w:rPr>
                                <w:t>Certain Relationships and Related Person</w:t>
                              </w:r>
                            </w:hyperlink>
                            <w:r>
                              <w:rPr>
                                <w:rFonts w:ascii="Times New Roman" w:hAnsi="Times New Roman"/>
                                <w:sz w:val="20"/>
                              </w:rPr>
                              <w:t xml:space="preserve"> </w:t>
                            </w:r>
                            <w:hyperlink w:anchor="toc551455_13">
                              <w:r>
                                <w:rPr>
                                  <w:rStyle w:val="InternetLink"/>
                                  <w:rFonts w:ascii="Times New Roman" w:hAnsi="Times New Roman"/>
                                  <w:sz w:val="20"/>
                                </w:rPr>
                                <w:t xml:space="preserve">Transactions </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168</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174</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7">
                              <w:r>
                                <w:rPr>
                                  <w:rStyle w:val="InternetLink"/>
                                  <w:rFonts w:ascii="Times New Roman" w:hAnsi="Times New Roman"/>
                                  <w:sz w:val="20"/>
                                </w:rPr>
                                <w:t>Material United States Federal Income Tax</w:t>
                              </w:r>
                            </w:hyperlink>
                            <w:r>
                              <w:rPr>
                                <w:rFonts w:ascii="Times New Roman" w:hAnsi="Times New Roman"/>
                                <w:sz w:val="20"/>
                              </w:rPr>
                              <w:t xml:space="preserve"> </w:t>
                            </w:r>
                            <w:hyperlink w:anchor="toc551455_17">
                              <w:r>
                                <w:rPr>
                                  <w:rStyle w:val="InternetLink"/>
                                  <w:rFonts w:ascii="Times New Roman" w:hAnsi="Times New Roman"/>
                                  <w:sz w:val="20"/>
                                </w:rPr>
                                <w:t>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1">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oc551455_22">
                              <w:r>
                                <w:rPr>
                                  <w:rStyle w:val="InternetLink"/>
                                  <w:rFonts w:ascii="Times New Roman" w:hAnsi="Times New Roman"/>
                                  <w:sz w:val="20"/>
                                </w:rPr>
                                <w:t>Index to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551455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CG Oncology, the Company, we, us, and our refer to CG Oncology,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the end of 2024.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Cretostimogene has shown clinical benefit and has been generally well-tolerated as both a monotherapy and in combination with other therapies in clinical trials to date. Interim data for BOND-003 was reported at the 24th Annual Meeting of Society of Urologic Oncology (SUO) on November 30, 2023. As of the October 5, 2023 efficacy data cutoff, 50 of the 66 (75.7%; 95% CI: 63-85%) evaluable patients achieved a complete response (CR), generally meaning no evidence of bladder cancer,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Of those 50 patients who achieved a CR at any time, 42 out of 50 (84.0%) maintained their response for at least three months and 32 out of 43 (74.4%) maintained their response for at least six months. Seven patients had yet to reach the minimum duration of response (DOR) evaluation and were excluded from the assessment for durable CR lasting at least six months. A DOR is the length of time from the first response until the time the patient no longer meets the definition for a CR. Cretostimogene was generally well-tolerated in this trial as of the September 8, 2023 safety data cutoff, with mostly Grade 1 or Grade 2 adverse events reported and no Grade 3 or higher treatment-related adverse events (TRAEs) reported. There were no treatment discontinuations due to TRAEs and no deaths were reported. Two patients (1.8%) had serious adverse events (SAEs), including Grade 2 noninfective cystitis, which is the inflammation of the bladder not caused by a bacteria or other infectious agent, and Grade 2 clot retention, both of which resolved. In addition, in our ongoing open-label Phase 2 CORE-001 clinical trial of cretostimogene in combination with pembrolizumab in high-risk BCG-unresponsive NMIBC, 29 of the 34 (85%; 95% CI: 68-94%) patients evaluable as of the March 3,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Grade 2 SAE (urinary retention) deemed related to cretostimogene and two Grade 3 SAEs related to pembrolizumab (adrenal insufficiency and immune-mediated hepatitis), all of which resolved. Cretostimogene has received fast track designation from the FDA for the treatment of BCG-unresponsive, high risk NMIBC patients with carcinoma in-situ with or without Ta or T1 papillary tumors to improve CR. Fast track designation may not lead to a faster development or regulatory review or approval process, and does not increase the likelihood that cretostimogene will receive marketing approval. We have presented the confidence interval (CI) for CR at any time above and elsewhere in this prospectus. CI is a range of values in which, statistically, there is a specified level of confidence where the result lies. The lower bound of the 95% CI around the observed CR rate provides support that such rate may be clinically meaningful. Interim results from these trials may differ from future results of the trials as more patient data become available.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intend to evaluate cretostimogene for use in a variety of bladder cancer treatment settings, as shown in our pipeline below. </w:t>
      </w:r>
    </w:p>
    <w:p>
      <w:pPr>
        <w:pStyle w:val="TextBody"/>
        <w:bidi w:val="0"/>
        <w:spacing w:before="36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Our Cretostimogene Pipeline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945" cy="31496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5945" cy="31496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 </w:t>
            </w:r>
          </w:p>
        </w:tc>
        <w:tc>
          <w:tcPr>
            <w:tcW w:w="10001"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Planned clinical trial to be conducted under existing Investigational New Drug application (IND) previously cleared by the FDA.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our product candidate is differentiated by several strengths that support our vision of cretostimogene as a potential backbone therapy in bladder cancer,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Demonstrated monotherapy clinical utility and durability of response, with a 75.7% (95% CI: 63-85%) CR at any time, in addition to 74.4% of evaluable responders maintaining their response for at least six months as of October 5, 2023 in our ongoing Phase 3 BOND-003 cretostimogene monotherapy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Observed tolerability, with no Grade 3 or higher TRAEs or patient discontinuations due to TRAEs as of September 8, 2023 in our ongoing Phase 3 BOND-003 cretostimogene monotherapy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deploying cretostimogene in combination with other therapies due to its observed tolerability and novel mechanism of action, supported by 85% (95% CI: 68-94%) of patients having shown a CR at any time in our ongoing Phase 2 CORE-001 clinical trial of cretostimogene in combination with the checkpoint inhibitor (CPI) pembrolizumab as of March 3,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Bladder Cancer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 </w:t>
      </w:r>
    </w:p>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The Anatomy of the Bladder Wall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485" cy="32575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78485" cy="325755"/>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American Cancer Society estimates that in 2023, more than 82,000 people will be diagnosed with bladder cancer in the United States and that it will result in nearly 17,000 deaths. Notable is the disease prevalence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estimated 725,000 people in the United States living with the disease. The relatively high prevalence rate is driven in part by chances of recurrence, which can be very high for NMIBC. It is estimated that approximately 15% to 61% of high-risk patients with NMIBC will develop recurrence within one year following treatment and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Bladder cancer patients are generally from high-risk populations, with 74% of patients over 65 years old and a median age of 73 years old. The global bladder cancer treatment market has been forecast to be approximately $9.9 billion by 2028, according to Evaluate Pharma.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non-papillary. Papillary UC involves tumors configured as finger-like projections extending from the transitional epithelium into the bladder lumen. Non-papillary, or flat, UC, also known as carcinoma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situ</w:t>
      </w:r>
      <w:r>
        <w:rPr>
          <w:rFonts w:ascii="Times New Roman" w:hAnsi="Times New Roman"/>
          <w:sz w:val="20"/>
          <w:bdr w:val="single" w:sz="8" w:space="1" w:color="000000"/>
        </w:rPr>
        <w:t xml:space="preserve"> (CIS), which means the cancer is confined to the transitional epithelium, is generally difficult to treat via resection. The 5% of bladder cancer that is not UC includes squamous cell carcinomas, adenocarcinomas, sarcomas and small cell carcinomas.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 </w:t>
      </w:r>
    </w:p>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Bladder Cancer is Classified as either NMIBC or MIBC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15290" cy="30099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15290" cy="300990"/>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NMIBC have high-risk disease. Intermediate-risk NMIBC includes mostly low-grade Ta tumors that recur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Current Treatment for NMIBC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intravesically through a catheter inserted directly into the bladder, also referred to as IVE delivery.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BCG therapy involves the use of a live, attenuated mycobacterium to induce a non-specific anti-tumor immune response in the bladder mucosa and provides meaningful therapeutic utility in the treatment of NMIBC.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and guidance published jointly by the American Urological Association and the Society of Urologic Oncology.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Current Treatment Paradigm in High-Risk BCG-unresponsive Disease and Its Limitations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Current treatment for high-risk NMIBC typically involves TURBT followed by the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for BCG-unresponsive patients, only approximately 6% of NMIBC patients elect to undergo the procedure in light of the significant social, functional and emotional burden associated with it. In addition, there are only two FDA-approved agents for BCG-unresponsive disease with limited utilization.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Team and Investors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management team includes industry executives with extensive biopharmaceutical experience. Arthur Kuan, our Chairman and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 treatment, nadofaragene. Ambaw was also the President of Photocure, a company focused on the diagnosis and treatment of bladder cancer and has also held several global leadership positions with biotech and medical device companies. Our Chief Financial Officer, Corleen Roche, has over 30 years of experience in the biotech and life sciences industry, where she has an extensive track record of serving in executive financial leadership roles in publicly-traded companies, including serving as Chief Financial Officer of Immunome, Inc. and U.S. CFO of Biogen Inc. Our Chief Medical Officer, Vijay Kasturi, M.D., previously served as Vice President,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 of experience amongst our management team will enable us to bolster the cretostimogene development strategy and, if approved, its commercialization.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intend to become a leading company in the development and commercialization of innovative therapeutics to treat cancer, with an initial focus on bladder cancer. Key elements of our strategy to accomplish this objective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Complete the ongoing BOND-003 Phase 3 trial of cretostimogene as monotherapy in high-risk BCG-unresponsive NMIBC and pursue FDA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Expand the development of cretostimogene monotherapy as a potential backbone therapy across NMIBC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to evaluate cretostimogene in combination with other therapies, such as CPIs, to potentially further enhance its clinical utility across various stages of bladder cancer.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Build our operational capabilities to successfully commercialize cretostimogene.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Leverage our chemistry, manufacturing and controls (CMC) expertise and relationships to scale commercialization efforts.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Risks Associated with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ability to execute our business strategy is subject to numerous risks and uncertainties that you should consider before investing in us, as more fully described in the section titled Risk Factors immediately following this Prospectus Summary. These risks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based on a novel approach to the treatment of cancer, which makes it difficult to predict the time and cost of product candidate development and subsequently obtaining regulatory approval,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and preclinical drug development involves a lengthy and expensive process with uncertain timelines and outcomes, and results of prior preclinical studies and early clinical trials are not necessarily predictive of future results. Cretostimogene or any future product candidates may not achieve favorable results in clinical trials or preclinical studies or receive regulatory approval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face significant competition, and if our competitors develop and commercialize technologies or product candidates more rapidly than we do, or their technologies or product candidates are more effective, safer, or less expensive than cretostimogene or any future product candidates we develop, our business and our ability to develop and successfully commercialize products will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third parties to conduct our clinical trials and preclinical studies, and these third parties may not perform satisfactorily,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are unable to obtain, maintain,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and Other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originally founded as a California corporation on September 24, 2010 under the name Cold Genesys, Inc. On November 30, 2017, we reincorporated as a Delaware corporation, and on March 31, 2020, we changed our name to CG Oncology, Inc. Our principal executive offices are located at 400 Spectrum Center Drive, Suite 2040, Irvine, CA 92618, and our telephone number is (949) 409-3700. Our website address is https://cgoncology.com. The information contained in, or accessible through, our website does not constitute part of this prospectus. We have included our website address as an inactive textual reference only.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use our trademarks in this prospectus, as well as trademarks, tradenames and service marks that are the property of other organizations. Solely for convenience, trademarks and tradenames referred to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2029.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62"/>
        <w:gridCol w:w="121"/>
        <w:gridCol w:w="4922"/>
      </w:tblGrid>
      <w:tr>
        <w:trPr/>
        <w:tc>
          <w:tcPr>
            <w:tcW w:w="51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11,800,000 shares.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Underwriters over-allotment option of common stock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1,770,000 shares.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55,282,511 shares (or 57,052,511 shares if the underwriters exercise their over-allotment option in full).</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to us from this offering will be approximately $181.1 million (or approximately $209.0 million if the underwriters exercise their over-allotment option in full), based on the assumed initial public offering price of $17.00 per share, which is the midpoint of the price range set forth on the cover page of this prospectus, and after deducting the estimated underwriting discounts and commissions and estimated offering expenses payable by us.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We currently intend to use the net proceeds of this offering, together with our existing cash, cash equivalents and marketable securities, to fund the research and development of cretostimogene and for working capital and other general corporate purposes, including pre-commercial activities. See the section titled Use of Proceeds.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both"/>
              <w:rPr>
                <w:rFonts w:ascii="Times New Roman" w:hAnsi="Times New Roman"/>
                <w:sz w:val="20"/>
              </w:rPr>
            </w:pPr>
            <w:r>
              <w:rPr>
                <w:rFonts w:ascii="Times New Roman" w:hAnsi="Times New Roman"/>
                <w:sz w:val="20"/>
              </w:rPr>
              <w:t>Investing in our common stock involves a high degree of risk. See the section titled Risk Factors and other information included in this prospectus for a discussion of risks you should consider carefully before deciding to invest in our common stock.</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Proposed Nasdaq Global Select Market trading symbol</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CGON</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set forth above is based on 43,482,511 shares of our common stock outstanding as of September 30, 2023, after giving effect to the automatic conversion of all outstanding shares of our redeemable convertible preferred stock into 38,413,913 shares of our common stock immediately prior to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4,688,990 shares of common stock issuable upon the exercise of stock options outstanding as of September 30, 2023, with a weighted-average exercise price of $3.05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1,029,871 shares of common stock issuable upon the exercise of stock options granted subsequent to September 30, 2023, with a weighted-average exercise price of $8.57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494,807 shares of common stock issuable upon the exercise of stock options (the IPO Grants) to be granted in connection with this offering under our 2024 Incentive Award Plan (the 2024 Plan), which will become effective in connection with this offering, to certain of our employees at an exercise price equal to the initial public offering price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2024 Plan (which number includes the IPO Grants), which will equal the sum of (1) a number of shares equal to 10%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2024 Employee Stock Purchase Plan (the ESPP)), plus (2) 124,136 shares of common stock remaining available for future issuance under our 2022 Incentive Award Plan (the 2022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ESPP, which will become effective in connection with this offering, which will equal the sum of (1)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ESPP), plus (2) any potential evergreen increases pursuant to the terms of the ESPP.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contained in this prospectus assumes or gives effect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and effectiveness of our amended and restated certificate of incorporation and the adoption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automatic conversion of all outstanding shares of our redeemable convertible preferred stock into 38,413,913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one-for-9.535 reverse stock split of our common stock, which we effected on January 16,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outstanding stock options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over-allotment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Financial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a summary of our historical financial data as of, and for the periods ended on, the dates indicated. We have derived the summary statements of operations and comprehensive loss data for the years ended December 31, 2021 and 2022 from our audited financial statements included elsewhere in this prospectus. We have derived the summary statements of operations and comprehensive loss data for the nine months ended September 30, 2022 and 2023 and the summary balance sheet data as of September 30, 2023 from our unaudited condensed financial statements included elsewhere in this prospectus. The unaudited condensed financial statements have been prepared on a basis consistent with our audited financial statements included in this prospectus and, in the opinion of management, reflect all adjustments, consisting only of normal recurring adjustments, necessary to fairly state the financial information in those statements.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 and our interim results are not necessarily indicative of our expected results for the year ended December 31, 2023.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41"/>
        <w:gridCol w:w="323"/>
        <w:gridCol w:w="140"/>
        <w:gridCol w:w="1010"/>
        <w:gridCol w:w="155"/>
        <w:gridCol w:w="275"/>
        <w:gridCol w:w="140"/>
        <w:gridCol w:w="1106"/>
        <w:gridCol w:w="155"/>
        <w:gridCol w:w="275"/>
        <w:gridCol w:w="140"/>
        <w:gridCol w:w="1010"/>
        <w:gridCol w:w="155"/>
        <w:gridCol w:w="275"/>
        <w:gridCol w:w="140"/>
        <w:gridCol w:w="1106"/>
        <w:gridCol w:w="159"/>
      </w:tblGrid>
      <w:tr>
        <w:trPr/>
        <w:tc>
          <w:tcPr>
            <w:tcW w:w="364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4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082" w:type="dxa"/>
            <w:gridSpan w:val="14"/>
            <w:tcBorders/>
            <w:vAlign w:val="bottom"/>
          </w:tcPr>
          <w:p>
            <w:pPr>
              <w:pStyle w:val="TableContents"/>
              <w:bidi w:val="0"/>
              <w:spacing w:before="0" w:after="283"/>
              <w:jc w:val="center"/>
              <w:rPr>
                <w:b/>
              </w:rPr>
            </w:pPr>
            <w:r>
              <w:rPr>
                <w:b/>
              </w:rPr>
              <w:t>(in thousands, except for share and per share data)</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826"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Statements of Operations and Comprehensive Loss Data:</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10,358</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203</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18,319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29,029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21,371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29,837</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4,645</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6,408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4,751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6,883</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22,964</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35,437</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26,122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36,720</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(12,606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(35,246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(25,931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(36,517</w:t>
            </w:r>
          </w:p>
        </w:tc>
        <w:tc>
          <w:tcPr>
            <w:tcW w:w="15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(451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4,084</w:t>
            </w:r>
          </w:p>
        </w:tc>
        <w:tc>
          <w:tcPr>
            <w:tcW w:w="15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4,026</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(12,839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(27,051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(32,491</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(410</w:t>
            </w:r>
          </w:p>
        </w:tc>
        <w:tc>
          <w:tcPr>
            <w:tcW w:w="15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(5,544</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(7,871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(4,162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(12,846</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(18,383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(43,788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(31,626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(45,747</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(11.71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(8.50</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(11.29</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stock outstanding, basic and diluted(1)</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3,650,543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3,740,892</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3,721,600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4,053,280</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 (unaudited)(2)</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stock outstanding, basic and diluted (unaudited)(2)</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33,699,977</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43,482,511</w:t>
            </w:r>
          </w:p>
        </w:tc>
        <w:tc>
          <w:tcPr>
            <w:tcW w:w="159" w:type="dxa"/>
            <w:tcBorders/>
            <w:vAlign w:val="bottom"/>
          </w:tcPr>
          <w:p>
            <w:pPr>
              <w:pStyle w:val="TableContents"/>
              <w:bidi w:val="0"/>
              <w:spacing w:before="0" w:after="283"/>
              <w:jc w:val="left"/>
              <w:rPr/>
            </w:pPr>
            <w:r>
              <w:rPr/>
              <w:t> </w:t>
            </w:r>
          </w:p>
        </w:tc>
      </w:tr>
      <w:tr>
        <w:trPr/>
        <w:tc>
          <w:tcPr>
            <w:tcW w:w="364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Note 2 and Note 11 to our audited financial statements and to our unaudited condensed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Unaudited pro forma net loss per share, basic and diluted, attributable to common stockholders, is calculated giving effect to the conversion of all outstanding shares of our redeemable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2022 and the nine months ended September 30, 2023 was calculated using the weighted-average number of shares of common stock outstanding, including the pro forma effect of the conversion of all outstanding shares of our redeemable convertible preferred stock into shares of our common stock, as if such conversion had occurred at the beginning of the period, or their issuance dates, if later.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098"/>
        <w:gridCol w:w="403"/>
        <w:gridCol w:w="140"/>
        <w:gridCol w:w="879"/>
        <w:gridCol w:w="155"/>
        <w:gridCol w:w="302"/>
        <w:gridCol w:w="232"/>
        <w:gridCol w:w="1512"/>
        <w:gridCol w:w="155"/>
        <w:gridCol w:w="302"/>
        <w:gridCol w:w="259"/>
        <w:gridCol w:w="1608"/>
        <w:gridCol w:w="160"/>
      </w:tblGrid>
      <w:tr>
        <w:trPr/>
        <w:tc>
          <w:tcPr>
            <w:tcW w:w="4098"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55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2023</w:t>
            </w:r>
          </w:p>
        </w:tc>
        <w:tc>
          <w:tcPr>
            <w:tcW w:w="160"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Forma(1)(3)</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Adjusted(2)(3)</w:t>
            </w:r>
          </w:p>
        </w:tc>
        <w:tc>
          <w:tcPr>
            <w:tcW w:w="160"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74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867"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5544" w:type="dxa"/>
            <w:gridSpan w:val="10"/>
            <w:tcBorders/>
            <w:vAlign w:val="bottom"/>
          </w:tcPr>
          <w:p>
            <w:pPr>
              <w:pStyle w:val="TableContents"/>
              <w:bidi w:val="0"/>
              <w:spacing w:before="0" w:after="283"/>
              <w:jc w:val="center"/>
              <w:rPr>
                <w:b/>
              </w:rPr>
            </w:pPr>
            <w:r>
              <w:rPr>
                <w:b/>
              </w:rPr>
              <w:t>(in thousands, except for share data)</w:t>
            </w:r>
          </w:p>
        </w:tc>
        <w:tc>
          <w:tcPr>
            <w:tcW w:w="160"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5544" w:type="dxa"/>
            <w:gridSpan w:val="10"/>
            <w:tcBorders/>
            <w:vAlign w:val="bottom"/>
          </w:tcPr>
          <w:p>
            <w:pPr>
              <w:pStyle w:val="TableContents"/>
              <w:bidi w:val="0"/>
              <w:spacing w:before="0" w:after="283"/>
              <w:jc w:val="center"/>
              <w:rPr>
                <w:b/>
              </w:rPr>
            </w:pPr>
            <w:r>
              <w:rPr>
                <w:b/>
              </w:rPr>
              <w:t>(unaudited)</w:t>
            </w:r>
          </w:p>
        </w:tc>
        <w:tc>
          <w:tcPr>
            <w:tcW w:w="160"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203,749</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512" w:type="dxa"/>
            <w:tcBorders/>
            <w:vAlign w:val="bottom"/>
          </w:tcPr>
          <w:p>
            <w:pPr>
              <w:pStyle w:val="TableContents"/>
              <w:bidi w:val="0"/>
              <w:spacing w:before="0" w:after="283"/>
              <w:jc w:val="right"/>
              <w:rPr/>
            </w:pPr>
            <w:r>
              <w:rPr/>
              <w:t>203,749</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608" w:type="dxa"/>
            <w:tcBorders/>
            <w:vAlign w:val="bottom"/>
          </w:tcPr>
          <w:p>
            <w:pPr>
              <w:pStyle w:val="TableContents"/>
              <w:bidi w:val="0"/>
              <w:spacing w:before="0" w:after="283"/>
              <w:jc w:val="right"/>
              <w:rPr/>
            </w:pPr>
            <w:r>
              <w:rPr/>
              <w:t>384,807</w:t>
            </w:r>
          </w:p>
        </w:tc>
        <w:tc>
          <w:tcPr>
            <w:tcW w:w="160"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capital(4)</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198,007</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12" w:type="dxa"/>
            <w:tcBorders/>
            <w:shd w:fill="CCEEFF" w:val="clear"/>
            <w:vAlign w:val="bottom"/>
          </w:tcPr>
          <w:p>
            <w:pPr>
              <w:pStyle w:val="TableContents"/>
              <w:bidi w:val="0"/>
              <w:spacing w:before="0" w:after="283"/>
              <w:jc w:val="right"/>
              <w:rPr/>
            </w:pPr>
            <w:r>
              <w:rPr/>
              <w:t>198,007</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08" w:type="dxa"/>
            <w:tcBorders/>
            <w:shd w:fill="CCEEFF" w:val="clear"/>
            <w:vAlign w:val="bottom"/>
          </w:tcPr>
          <w:p>
            <w:pPr>
              <w:pStyle w:val="TableContents"/>
              <w:bidi w:val="0"/>
              <w:spacing w:before="0" w:after="283"/>
              <w:jc w:val="right"/>
              <w:rPr/>
            </w:pPr>
            <w:r>
              <w:rPr/>
              <w:t>379,064</w:t>
            </w:r>
          </w:p>
        </w:tc>
        <w:tc>
          <w:tcPr>
            <w:tcW w:w="160"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211,885</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211,885</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08" w:type="dxa"/>
            <w:tcBorders/>
            <w:vAlign w:val="bottom"/>
          </w:tcPr>
          <w:p>
            <w:pPr>
              <w:pStyle w:val="TableContents"/>
              <w:bidi w:val="0"/>
              <w:spacing w:before="0" w:after="283"/>
              <w:jc w:val="right"/>
              <w:rPr/>
            </w:pPr>
            <w:r>
              <w:rPr/>
              <w:t>392,943</w:t>
            </w:r>
          </w:p>
        </w:tc>
        <w:tc>
          <w:tcPr>
            <w:tcW w:w="160"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307,890</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1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0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(113,826</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(113,826</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08" w:type="dxa"/>
            <w:tcBorders/>
            <w:vAlign w:val="bottom"/>
          </w:tcPr>
          <w:p>
            <w:pPr>
              <w:pStyle w:val="TableContents"/>
              <w:bidi w:val="0"/>
              <w:spacing w:before="0" w:after="283"/>
              <w:jc w:val="right"/>
              <w:rPr/>
            </w:pPr>
            <w:r>
              <w:rPr/>
              <w:t>(113,826</w:t>
            </w:r>
          </w:p>
        </w:tc>
        <w:tc>
          <w:tcPr>
            <w:tcW w:w="160"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(108,023</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c>
          <w:tcPr>
            <w:tcW w:w="1512" w:type="dxa"/>
            <w:tcBorders/>
            <w:shd w:fill="CCEEFF" w:val="clear"/>
          </w:tcPr>
          <w:p>
            <w:pPr>
              <w:pStyle w:val="TableContents"/>
              <w:bidi w:val="0"/>
              <w:spacing w:before="0" w:after="283"/>
              <w:jc w:val="right"/>
              <w:rPr/>
            </w:pPr>
            <w:r>
              <w:rPr/>
              <w:t>199,867</w:t>
            </w:r>
          </w:p>
        </w:tc>
        <w:tc>
          <w:tcPr>
            <w:tcW w:w="155" w:type="dxa"/>
            <w:tcBorders/>
            <w:shd w:fill="CCEEFF" w:val="clear"/>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08" w:type="dxa"/>
            <w:tcBorders/>
            <w:shd w:fill="CCEEFF" w:val="clear"/>
            <w:vAlign w:val="bottom"/>
          </w:tcPr>
          <w:p>
            <w:pPr>
              <w:pStyle w:val="TableContents"/>
              <w:bidi w:val="0"/>
              <w:spacing w:before="0" w:after="283"/>
              <w:jc w:val="right"/>
              <w:rPr/>
            </w:pPr>
            <w:r>
              <w:rPr/>
              <w:t>380,925</w:t>
            </w:r>
          </w:p>
        </w:tc>
        <w:tc>
          <w:tcPr>
            <w:tcW w:w="1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amounts give effect to the automatic conversion of all outstanding shares of our redeemable convertible preferred stock into an aggregate of 38,413,913 shares of our common stock and the related reclassification of the carrying value of the redeemable convertible preferred stock to permanent equity immediately prior to the closing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as adjusted amounts give effect to (i) the pro forma adjustments set forth in footnote (1) above, and (ii) the issuance and sale of 11,800,000 shares of our common stock in this offering at the initial public offering price of $17.00 per share, the midpoint of the price range set forth on the cover page of this prospectus, after deducting the estimated underwriting discounts and commissions and estimated offering expenses payable by us. Each $1.00 increase or decrease in the assumed initial public offering price of $17.00 per share would increase or decrease, as applicable, the pro forma as adjusted amount of each of our cash, cash equivalents and marketable securities, working capital, total assets and total stockholders (deficit) equity by approximately $ 11.0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$17.00 per share would increase or decrease, as applicable, the pro forma as adjusted amounts of each of our cash, cash equivalents and marketable securities, working capital, total assets and total stockholders (deficit) equity by approximately $15.8 million,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pro forma and pro forma as adjusted information discussed above is illustrative only and will be adjusted based on actual initial public offering price and other terms of this offering determined at pricing.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We define working capital as current assets less current liabilities. See our financial statements and the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551455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Position and Capital Requirements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p>
      <w:pPr>
        <w:pStyle w:val="TextBody"/>
        <w:bidi w:val="0"/>
        <w:spacing w:before="120" w:after="0"/>
        <w:jc w:val="both"/>
        <w:rPr>
          <w:rFonts w:ascii="Times New Roman" w:hAnsi="Times New Roman"/>
          <w:sz w:val="20"/>
        </w:rPr>
      </w:pPr>
      <w:r>
        <w:rPr>
          <w:rFonts w:ascii="Times New Roman" w:hAnsi="Times New Roman"/>
          <w:sz w:val="20"/>
        </w:rPr>
        <w:t xml:space="preserve">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2010, have no products approved for commercial sale and have not generated any revenue from the sale of our products. To date, we have focused primarily on organizing and staffing our company, business planning, raising capital, conducting research, preclinical studies and clinical trials for our product candidate, cretostimogene, establishing our intellectual property portfolio, establishing arrangements with third parties for the manufacture of cretostimogene and supply of related raw materials, and providing general and administrative support for these operations. We have not yet demonstrated the ability to successfully complete any clinical trial beyond Phase 2, obtain regulatory approvals, manufacture products at commercial scale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operating losses since our inception and expect to incur significant losses for the foreseeable future. We do not have any products approved for sale and have not generated any revenue from product sales. If we are unable to successfully develop, obtain requisite approval for and commercialize cretostimogene or any future product candidates, we may never generate revenue. Our net losses were $12.8 million and $35.4 million for the years ended December 31, 2021 and 2022, respectively, and $32.5 million for the nine months ended September 30, 2023. As of September 30, 2023, we had an accumulated deficit of $113.8 million. Substantially all of our losses have resulted from expenses incurred in connection with our research and development activities and from general and administrative costs associated with our operations. Cretostimogene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cretostimogene and any future product candidates, as well as operate as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and preclinical studies of cretostimogene and any future product candidates, acquiring additional product candidates, obtaining regulatory approval for cretostimogene and any future product candidates, and manufacturing, marketing, and selling any products for which we may obtain regulatory approval. We are only in the preliminary stages of most of these activities.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development of biopharmaceutical product candidates,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of cretostimogene and potentially seek regulatory approval for cretostimogene and any future product candidates we may develop. In addition, if we are able to progress cretostimogene through development and commercialization, we expect to be required to make milestone and royalty payments pursuant to various license or collaboration agreements with third parties. If we obtain regulatory approval for cretostimogene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capital necessary to successfully complete the development and commercialization of cretostimogene or any future product candidates. Furthermore, following the completion of this offering, we expect to incur additional costs associated with operating as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believe that the net proceeds from this offering, together with our existing cash, cash equivalents and marketable securities, will be sufficient to fund our operations into the second half of 2027. In particular, we expect that the net proceeds from this offering and our existing cash, cash equivalents and marketable securities will allow us to complete the ongoing BOND-003 and CORE-001 clinical trials, complete enrollment for the PIVOT-006 clinical trial, and initiate and report topline data for our planned CORE-008 clinical trial.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cretostimogene, or any future product candidates, and after this offering, we will require substantial capital in order to advance cretostimogene and any future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cretostimogene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manufacturing for cretostimogene or any future product candidate, including commercial manufacturing at sufficient scale, if any product candidate is approved, including as a result of inflation, any supply chain issues or component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regulatory meetings and reviews of cretostimogene or any future product candidates in any jurisdictions in which we or our current or any future collaborators may seek approval for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hiring additional personnel and consultants as our business grows, including additional executive officers and clinical development, regulatory, chemistry, CMC, quality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payment of milestone, royalty or other payments we must make pursuant to our existing and potential future license or collaboration agreements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establishing or securing sales and marketing capabilities if cretostimogene or any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strategic decision to develop future product candidates other than cretostimogene, and the timing of such development,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Conducting clinical trials and preclinical studies and potentially identifying future product candidates is a time-consuming, expensive and uncertain process that takes years to complete, and we may never generate the necessary data or results required to obtain regulatory approval and commercialize cretostimogene or any future product candidates. If approved, cretostimogene and any future product candidates may not achieve commercial success. We expect that our commercial revenue, if any, will initially be derived from sales of cretostimogene, which we do not expect to be commercially available for several years, if at all. </w:t>
      </w:r>
    </w:p>
    <w:p>
      <w:pPr>
        <w:pStyle w:val="TextBody"/>
        <w:bidi w:val="0"/>
        <w:spacing w:before="240" w:after="0"/>
        <w:jc w:val="both"/>
        <w:rPr>
          <w:rFonts w:ascii="Times New Roman" w:hAnsi="Times New Roman"/>
          <w:sz w:val="20"/>
        </w:rPr>
      </w:pPr>
      <w:r>
        <w:rPr>
          <w:rFonts w:ascii="Times New Roman" w:hAnsi="Times New Roman"/>
          <w:sz w:val="20"/>
        </w:rPr>
        <w:t xml:space="preserve">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Raising additional capital may cause dilution to our stockholders, including purchasers of common stock in this offering, restrict our operations or require us to relinquish rights to our technologies or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w:t>
      </w:r>
    </w:p>
    <w:p>
      <w:pPr>
        <w:pStyle w:val="TextBody"/>
        <w:bidi w:val="0"/>
        <w:spacing w:before="240" w:after="0"/>
        <w:jc w:val="both"/>
        <w:rPr>
          <w:rFonts w:ascii="Times New Roman" w:hAnsi="Times New Roman"/>
          <w:sz w:val="20"/>
        </w:rPr>
      </w:pPr>
      <w:r>
        <w:rPr>
          <w:rFonts w:ascii="Times New Roman" w:hAnsi="Times New Roman"/>
          <w:sz w:val="20"/>
        </w:rPr>
        <w:t xml:space="preserve">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and Regulatory Approval of Our Product Candidates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We currently only have one product candidate, cretostimogene, which is in Phase 3 clinical development. Our business presently depends entirely on our ability to successfully develop, obtain regulatory approval for, and commercialize cretostimogene in a timely manner. This may make an investment in our company riskier than similar companies that have multiple product candidates in active development and may be able to better sustain the delay or failure of a lead product candidate. The success of cretostimogene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successful initiation and enrollment of clinical trials and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regulatory submissions by the FDA or comparable foreign regulatory authorities for the conduct of clinical trials of cretostimogene and of our proposed designs of planned clinical trials of cretostimogene;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frequency and severity of adverse events observed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and establishing relationships with contract research organizations (CROs) and clinical sites for the clinical development of cretostimogene, and ability of such CROs and clinical sites to comply with clinical trial protocols, Good Clinical Practices (GCPs)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demonstrating the safety, purity and potency (or efficacy) of cretostimogene to the satisfaction of applicable regulatory authorities, including by establishing a safety database of a size satisfactory to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and maintenance of regulatory approvals from applicable regulatory authorities, including approvals of BLAs from the FDA;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relationships with our third-party manufacturers and their ability to comply with current Good Manufacturing Practices (cGMPs) as well as timely making arrangements with our third-party manufacturers for, or establishing our own, commercial manufacturing capabilities at a cost and scale sufficient to support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establishing sales, marketing and distribution capabilities and launching commercial sales of cretostimogene,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maintaining, protecting and enforcing patent and any potential trade secret protection or regulatory exclusivity for cretostimogene;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 acceptable safety profile of cretostimogene following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and growing an organization of people who can develop and, if approved, commercialize, market and sell cretostimogene;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our products, if approved, by patients, the medical community and third-party payors.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are unable to develop, obtain regulatory approval for, or if approved, successfully manufacture and commercialize cretostimogene, or if we experience delays as a result of any of the above factors or otherwise, our business would be materially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Cretostimogene is based on a novel approach to the treatment of cancer, which makes it difficult to predict the time and cost of product candidate development and subsequently obtaining regulatory approval, if at all. </w:t>
      </w:r>
    </w:p>
    <w:p>
      <w:pPr>
        <w:pStyle w:val="TextBody"/>
        <w:bidi w:val="0"/>
        <w:spacing w:before="120" w:after="0"/>
        <w:jc w:val="both"/>
        <w:rPr>
          <w:rFonts w:ascii="Times New Roman" w:hAnsi="Times New Roman"/>
          <w:sz w:val="20"/>
        </w:rPr>
      </w:pPr>
      <w:r>
        <w:rPr>
          <w:rFonts w:ascii="Times New Roman" w:hAnsi="Times New Roman"/>
          <w:sz w:val="20"/>
        </w:rPr>
        <w:t xml:space="preserve">We have concentrated our research and development efforts on cretostimogene, and our future success largely depends on the successful development of the oncolytic approach underlying this product candidate. In particular, cretostimogene is an engineered adenovirus designed to replicate and eliminate cancer cells while also stimulating an anti-tumor immune response. To our knowledge, there are no FDA-approved products for the treatment of cancer that utilize a replication-competent adenovirus. </w:t>
      </w:r>
    </w:p>
    <w:p>
      <w:pPr>
        <w:pStyle w:val="TextBody"/>
        <w:bidi w:val="0"/>
        <w:spacing w:before="240" w:after="0"/>
        <w:jc w:val="both"/>
        <w:rPr>
          <w:rFonts w:ascii="Times New Roman" w:hAnsi="Times New Roman"/>
          <w:sz w:val="20"/>
        </w:rPr>
      </w:pPr>
      <w:r>
        <w:rPr>
          <w:rFonts w:ascii="Times New Roman" w:hAnsi="Times New Roman"/>
          <w:sz w:val="20"/>
        </w:rPr>
        <w:t xml:space="preserve">We expect the novel nature of cretostimogene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cretostimogene.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cretostimogene is a live, gene-modified virus for which the FDA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 </w:t>
      </w:r>
    </w:p>
    <w:p>
      <w:pPr>
        <w:pStyle w:val="TextBody"/>
        <w:bidi w:val="0"/>
        <w:spacing w:before="360" w:after="0"/>
        <w:jc w:val="both"/>
        <w:rPr>
          <w:rFonts w:ascii="Times New Roman" w:hAnsi="Times New Roman"/>
          <w:b/>
          <w:i/>
          <w:sz w:val="20"/>
        </w:rPr>
      </w:pPr>
      <w:r>
        <w:rPr>
          <w:rFonts w:ascii="Times New Roman" w:hAnsi="Times New Roman"/>
          <w:b/>
          <w:i/>
          <w:sz w:val="20"/>
        </w:rPr>
        <w:t xml:space="preserve">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 </w:t>
      </w:r>
    </w:p>
    <w:p>
      <w:pPr>
        <w:pStyle w:val="TextBody"/>
        <w:bidi w:val="0"/>
        <w:spacing w:before="120" w:after="0"/>
        <w:jc w:val="both"/>
        <w:rPr>
          <w:rFonts w:ascii="Times New Roman" w:hAnsi="Times New Roman"/>
          <w:sz w:val="20"/>
        </w:rPr>
      </w:pPr>
      <w:r>
        <w:rPr>
          <w:rFonts w:ascii="Times New Roman" w:hAnsi="Times New Roman"/>
          <w:sz w:val="20"/>
        </w:rPr>
        <w:t xml:space="preserve">Drug development is expensive and can take many years to complete, and its outcome is inherently uncertain. We cannot guarantee that any clinical trials or preclinical studies will be conducted as planned,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whether we are able to meet expected timeframes for data readouts, or completed on schedule, if at all, and failure can occur at any time during the trial or study process, including due to factors that are beyond our control. Despite promising preclinical or clinical results, cretostimogene or any other future product candidate can unexpectedly fail at any stage of clinical or preclinical development. The historical failure rate for product candidates in our industry is high. </w:t>
      </w:r>
    </w:p>
    <w:p>
      <w:pPr>
        <w:pStyle w:val="TextBody"/>
        <w:bidi w:val="0"/>
        <w:spacing w:before="240" w:after="0"/>
        <w:jc w:val="both"/>
        <w:rPr>
          <w:rFonts w:ascii="Times New Roman" w:hAnsi="Times New Roman"/>
          <w:sz w:val="20"/>
        </w:rPr>
      </w:pPr>
      <w:r>
        <w:rPr>
          <w:rFonts w:ascii="Times New Roman" w:hAnsi="Times New Roman"/>
          <w:sz w:val="20"/>
        </w:rPr>
        <w:t xml:space="preserve">The results from preclinical studies or clinical trials of cretostimogene, any future product candidate, or a competitors product candidate in the same class may not predict the results of later clinical trials of cretostimogene or any future product candidate, and interim, topline or preliminary results of a clinical trial are not necessarily indicative of final results. Cretostimogene or any future product candidate in later stages of clinical trials may fail to show the desired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w:t>
      </w:r>
    </w:p>
    <w:p>
      <w:pPr>
        <w:pStyle w:val="TextBody"/>
        <w:bidi w:val="0"/>
        <w:spacing w:before="240" w:after="0"/>
        <w:jc w:val="both"/>
        <w:rPr>
          <w:rFonts w:ascii="Times New Roman" w:hAnsi="Times New Roman"/>
          <w:sz w:val="20"/>
        </w:rPr>
      </w:pPr>
      <w:r>
        <w:rPr>
          <w:rFonts w:ascii="Times New Roman" w:hAnsi="Times New Roman"/>
          <w:sz w:val="20"/>
        </w:rPr>
        <w:t xml:space="preserve">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current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cannot be certain that our ongoing and planned clinical trials or preclinical studies will be successful. Any safety concerns observed in any one of our clinical trials in our targeted indications could limit the prospects for regulatory approval of cretostimogene in those and other indications, which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 </w:t>
      </w:r>
    </w:p>
    <w:p>
      <w:pPr>
        <w:pStyle w:val="TextBody"/>
        <w:bidi w:val="0"/>
        <w:spacing w:before="120" w:after="0"/>
        <w:jc w:val="both"/>
        <w:rPr>
          <w:rFonts w:ascii="Times New Roman" w:hAnsi="Times New Roman"/>
          <w:sz w:val="20"/>
        </w:rPr>
      </w:pPr>
      <w:r>
        <w:rPr>
          <w:rFonts w:ascii="Times New Roman" w:hAnsi="Times New Roman"/>
          <w:sz w:val="20"/>
        </w:rPr>
        <w:t xml:space="preserve">Before obtaining approval from regulatory authorities for the sale of cretostimogene or any future product candidates, we must conduct extensive clinical trials to demonstrate the safety, purity and potency (or efficacy) of the product candidates in humans. In addition, before we can initiate clinical development for any future preclinical product candidates, we must submit the results of preclinical studies to the FDA or comparable foreign regulatory authorities along with other information, including information about product candidate CMC and our proposed clinical trial protocol, as part of an IND or similar regulatory submission, and we are also required to submit comparable applications to foreign regulatory authorities for clinical trials outside of the United States. The FDA or comparable foreign regulatory authorities may require us to conduct additional preclinical studies for any future product candidates before it allows us to initiate clinical trials under any IND or similar regulatory submission, which may lead to delays or increase the costs of developing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Moreover, issues may arise that could cause regulatory authorities to suspend or terminate our ongoing or planned clinical trials. Any such delays in the commencement or completion, or the termination or suspension, of our ongoing and planned clinical trials or preclinical studies could significantly affect our product development timelines and product development costs. </w:t>
      </w:r>
    </w:p>
    <w:p>
      <w:pPr>
        <w:pStyle w:val="TextBody"/>
        <w:bidi w:val="0"/>
        <w:spacing w:before="240" w:after="0"/>
        <w:jc w:val="both"/>
        <w:rPr>
          <w:rFonts w:ascii="Times New Roman" w:hAnsi="Times New Roman"/>
          <w:sz w:val="20"/>
        </w:rPr>
      </w:pPr>
      <w:r>
        <w:rPr>
          <w:rFonts w:ascii="Times New Roman" w:hAnsi="Times New Roman"/>
          <w:sz w:val="20"/>
        </w:rPr>
        <w:t xml:space="preserve">We do not know whether our planned clinical trials or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inability to obtain animals or materials to initiate and generate sufficient preclinical, toxicology, or other in vivo or in vitro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allowance from regulatory authorities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or comparable foreign regulatory authorities disagreeing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approval from one or more institutional review boards (IRBs) or ethics committees (ECs) at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IRBs/ECs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to the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by our CROs to perform in accordance with GCP requirements or applicable regulatory requirements or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sufficient quantities of cretostimogene or any future product candidates and related raw materials and n-Dodecyl-ß-D-maltoside (DDM) or obtaining sufficient quantities of combination therapies or other materials needed for use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failing to enroll or remain in our trials at the rate we expect, or failing to return for post-treatment follow-up, including patients failing to remain in our trials due to movement restrictions, health reasons or otherwise resulting from any future public health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choosing alternative treatments for the indications for which we are developing cretostimogene or any future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lack of adequate funding to continue the clinical trials or preclinical studies or costs being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experiencing severe or serious unexpected drug-related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occurrence of serious adverse events in trials of the same class of agents conducted by other companies that could be considered similar to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 of manufacturing processes to larger-scale facilities operated by third-party manufacturers, delays or failure by our third-party manufacturers or us to make any necessary changes to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manufacturing process, or failure of such third-party manufacturers to produce clinical trial materials in accordance with cGMP regulations or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third parties being unwilling or unable to satisfy their contractual obligations to us in a timely manner.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both"/>
        <w:rPr>
          <w:rFonts w:ascii="Times New Roman" w:hAnsi="Times New Roman"/>
          <w:sz w:val="20"/>
        </w:rPr>
      </w:pPr>
      <w:r>
        <w:rPr>
          <w:rFonts w:ascii="Times New Roman" w:hAnsi="Times New Roman"/>
          <w:sz w:val="20"/>
        </w:rPr>
        <w:t xml:space="preserve">Further, we and our collaborators are currently conducting, and we, our collaborators and any future collaborators may in the future conduct, clinical trials in foreign countries, which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0"/>
        <w:jc w:val="both"/>
        <w:rPr>
          <w:rFonts w:ascii="Times New Roman" w:hAnsi="Times New Roman"/>
          <w:sz w:val="20"/>
        </w:rPr>
      </w:pPr>
      <w:r>
        <w:rPr>
          <w:rFonts w:ascii="Times New Roman" w:hAnsi="Times New Roman"/>
          <w:sz w:val="20"/>
        </w:rPr>
        <w:t xml:space="preserve">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cretostimogene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make formulation or manufacturing changes to cretostimogene or any future product candidate, in which case we may need to conduct additional preclinical studies or clinical trials to bridge our current version of cretostimogene or future product candidate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which could delay our programs. For example, in our ongoing studies of cretostimogene we are utilizing materials produced by a different third-party manufacturer than the third-party manufacturer that produced cretostimogene during the initial clinical trials for cretostimogene, and we are unable to demonstrate full comparability between lots produced previously and those produced by our current manufacturer. As a result, we may be required to gather additional data utilizing material produced by our current third-party manufacturer before we are able to submit a BLA for cretostimogene, if ever. </w:t>
      </w:r>
    </w:p>
    <w:p>
      <w:pPr>
        <w:pStyle w:val="TextBody"/>
        <w:bidi w:val="0"/>
        <w:spacing w:before="240" w:after="0"/>
        <w:jc w:val="both"/>
        <w:rPr>
          <w:rFonts w:ascii="Times New Roman" w:hAnsi="Times New Roman"/>
          <w:sz w:val="20"/>
        </w:rPr>
      </w:pPr>
      <w:r>
        <w:rPr>
          <w:rFonts w:ascii="Times New Roman" w:hAnsi="Times New Roman"/>
          <w:sz w:val="20"/>
        </w:rPr>
        <w:t xml:space="preserve">Many of the factors that cause, or lead to, the termination or suspension of, or a delay in the commencement or completion of, clinical trials may also ultimately lead to the denial of regulatory approval of a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candidate. Any delays to our clinical trials that occur as a result could shorten any period during which we may have the exclusive right to commercialize cretostimogene or our future product candidates. In such cases, our competitors may be able to bring products to market before we do, and the commercial viability of cretostimogene or our future product candidates could be significantly reduced. Any of these occurrences may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find it difficult to enroll patients in our clinical trials. If we encounter difficulties or delays enrolling patients in our clinical trials, our clinical development activities could be delayed or otherwise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Successful and timely completion of clinical trials will require that we identify and enroll a specified number of patients for each of our clinical trials. We may not be able to initiate or continue certain clinical trials for cretostimogene or any future product candidates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 </w:t>
      </w:r>
    </w:p>
    <w:p>
      <w:pPr>
        <w:pStyle w:val="TextBody"/>
        <w:bidi w:val="0"/>
        <w:spacing w:before="240" w:after="0"/>
        <w:jc w:val="both"/>
        <w:rPr>
          <w:rFonts w:ascii="Times New Roman" w:hAnsi="Times New Roman"/>
          <w:sz w:val="20"/>
        </w:rPr>
      </w:pPr>
      <w:r>
        <w:rPr>
          <w:rFonts w:ascii="Times New Roman" w:hAnsi="Times New Roman"/>
          <w:sz w:val="20"/>
        </w:rPr>
        <w:t xml:space="preserve">Additionally, other pharmaceutical companies targeting bladder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cretostimogene or any future product candidates may be delayed. Our inability to enroll a sufficient number of patients for any of our future clinical trials would result in significant delays or may require us to abandon one or more clinical trials altogether.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Use of cretostimogene or any future product candidates could be associated with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 </w:t>
      </w:r>
    </w:p>
    <w:p>
      <w:pPr>
        <w:pStyle w:val="TextBody"/>
        <w:bidi w:val="0"/>
        <w:spacing w:before="120" w:after="0"/>
        <w:jc w:val="both"/>
        <w:rPr>
          <w:rFonts w:ascii="Times New Roman" w:hAnsi="Times New Roman"/>
          <w:sz w:val="20"/>
        </w:rPr>
      </w:pPr>
      <w:r>
        <w:rPr>
          <w:rFonts w:ascii="Times New Roman" w:hAnsi="Times New Roman"/>
          <w:sz w:val="20"/>
        </w:rPr>
        <w:t xml:space="preserve">As is the case with oncology drugs generally, it is likely that there may be side effects and adverse events associated with use of cretostimogene or any future product candidates use. Results of our, our collaborators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 </w:t>
      </w:r>
    </w:p>
    <w:p>
      <w:pPr>
        <w:pStyle w:val="TextBody"/>
        <w:bidi w:val="0"/>
        <w:spacing w:before="240" w:after="0"/>
        <w:jc w:val="both"/>
        <w:rPr>
          <w:rFonts w:ascii="Times New Roman" w:hAnsi="Times New Roman"/>
          <w:sz w:val="20"/>
        </w:rPr>
      </w:pPr>
      <w:r>
        <w:rPr>
          <w:rFonts w:ascii="Times New Roman" w:hAnsi="Times New Roman"/>
          <w:sz w:val="20"/>
        </w:rPr>
        <w:t xml:space="preserve">Moreover, if cretostimogene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cretostimogene or any future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 </w:t>
      </w:r>
    </w:p>
    <w:p>
      <w:pPr>
        <w:pStyle w:val="TextBody"/>
        <w:bidi w:val="0"/>
        <w:spacing w:before="240" w:after="0"/>
        <w:jc w:val="both"/>
        <w:rPr>
          <w:rFonts w:ascii="Times New Roman" w:hAnsi="Times New Roman"/>
          <w:sz w:val="20"/>
        </w:rPr>
      </w:pPr>
      <w:r>
        <w:rPr>
          <w:rFonts w:ascii="Times New Roman" w:hAnsi="Times New Roman"/>
          <w:sz w:val="20"/>
        </w:rPr>
        <w:t xml:space="preserve">It is possible that as we, our collaborators or any future collaborators test cretostimogene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are studying cretostimogene in combination with other therapies and may do so for future product candidates, which may exacerbate adverse events associated with such product candidate. Patients treated with cretostimogene or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our collaborators or any future collaborators clinical trials may result in deaths or other adverse medical events due to other therapies or medications that such patients may be using or due to the gravity of such patients illnesses. For example, we expect that some of the patients enrolled in our, our collaborators or any future collaborators clinical trials will die or experience major clinical events either during the course of such clinical trials or after participating in such trials.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cretostimogene or any future product candidate receives regulatory approval, and we or others later identify undesirable side effects caused by such product,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recall a product or change the way such product is administered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authorities may require additional warnings on the label, such as a black box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implement a Risk Evaluation and Mitigation Strategy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change the way a product is distributed or administered, conduct additional clinical trials or change the labeling of a product or be required to conduct additional post-marketing studies or surveillance;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the product may decrease significantly or the product could become less competitive;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of these events could prevent us from achieving or maintaining market acceptance and/or physician adoption of the particular product candidate, if approved, and could significantly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Although we have completed a Phase 2 clinical trial for cretostimogene, we have not as an organization completed later-stage or pivotal clinical trials or submitted a BLA, and we may be unable to do so for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will need to successfully complete later-stage and pivotal clinical trials in order to obtain FDA or comparable foreign regulatory approval to market cretostimogene or any future product candidates. Carrying out later-stage clinical trials and the submission of a successful BLA or other comparable foreign regulatory submission is a complicated process. As an organization, we have completed one Phase 2 clinical trial of cretostimogene, and are conducting and plan to conduct additional Phase 3 clinical trials for cretostimogene. We also plan to conduct a number of additional clinical trials of cretostimogene in parallel over the next several years, which may be a difficult process to manage with our limited resources and which may divert attention of management. We have not yet completed any later-stage or pivotal clinical trials for cretostimogene or any other product candidate. We also have limited experience as a company in preparing and submitting marketing applications and have not previously submitted a BLA or other comparable foreign regulatory submission for any product candidate. In addition, we have had limited interactions with the FDA and cannot be certain how many additional clinical trials of cretostimogene or any future product candidate will be required or how such additional trials should be designed. Consequently, we may be unable to successfully and efficiently execute and complete necessary clinical trials in a way that leads to submission of a BLA and regulatory approval of any of our product candidates. We may require more time and incur greater costs than our competitors and may not succeed in obtaining regulatory approvals of product candidates that we develop. Failure to commence or complete, or delays in, our ongoing or planned clinical trials could prevent us from or delay us in submitting BLAs or other comparable foreign regulatory submissions for and commercializing our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intend to develop cretostimogene and future product candidates in combination with other therapies, which exposes us to additional risks. </w:t>
      </w:r>
    </w:p>
    <w:p>
      <w:pPr>
        <w:pStyle w:val="TextBody"/>
        <w:bidi w:val="0"/>
        <w:spacing w:before="120" w:after="0"/>
        <w:jc w:val="both"/>
        <w:rPr>
          <w:rFonts w:ascii="Times New Roman" w:hAnsi="Times New Roman"/>
          <w:sz w:val="20"/>
        </w:rPr>
      </w:pPr>
      <w:r>
        <w:rPr>
          <w:rFonts w:ascii="Times New Roman" w:hAnsi="Times New Roman"/>
          <w:sz w:val="20"/>
        </w:rPr>
        <w:t xml:space="preserve">We intend to develop cretostimogene and any future product candidates for use in combination with one or more currently approved cancer therapies. Even if cretostimogene or any future product candidate we develop was to receive regulatory approval or be commercialized for use in combination with other existing therapies, we would continue to bear the risks that the FDA or similar foreign regulatory authorities could revoke approval of the therapy used in combination with cretostimogene or a future product candidate or that safety, efficacy, manufacturing or supply issues could arise with these existing therapies. The known side effect profile of approved drugs, such as the checkpoint inhibitors we use in combination with cretostimogene, may otherwise negatively affect the results of our trials and could limit the number of patients and physicians who choose to adopt cretostimogene, if approved for use as combination therapy with such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Combination therapies are commonly used for the treatment of cancer, and we would be subject to similar risks if we develop cretostimogene or any future product candidate for use in combination with other drugs or biologics. Developing combination therapies using approved therapeutics, as we plan to do for cretostimogene and our future product candidates, also exposes us to additional clinical risks, such as the requirement that we demonstrate the safety, purity and potency (or efficacy) of each active component of any combination regimen we may develop. </w:t>
      </w:r>
    </w:p>
    <w:p>
      <w:pPr>
        <w:pStyle w:val="TextBody"/>
        <w:bidi w:val="0"/>
        <w:spacing w:before="240" w:after="0"/>
        <w:jc w:val="both"/>
        <w:rPr>
          <w:rFonts w:ascii="Times New Roman" w:hAnsi="Times New Roman"/>
          <w:sz w:val="20"/>
        </w:rPr>
      </w:pPr>
      <w:r>
        <w:rPr>
          <w:rFonts w:ascii="Times New Roman" w:hAnsi="Times New Roman"/>
          <w:sz w:val="20"/>
        </w:rPr>
        <w:t xml:space="preserve">If the FDA or similar foreign regulatory authorities revoke the approval of combination agents, or if safety, efficacy, manufacturing, or supply issues arise with the drugs we choose to evaluate in combination with cretostimogene or any future product candidate, we may be unable to obtain approval of or market cretostimogene or any future product candidate for combination therapy regimens. </w:t>
      </w:r>
    </w:p>
    <w:p>
      <w:pPr>
        <w:pStyle w:val="TextBody"/>
        <w:bidi w:val="0"/>
        <w:spacing w:before="240" w:after="0"/>
        <w:jc w:val="both"/>
        <w:rPr>
          <w:rFonts w:ascii="Times New Roman" w:hAnsi="Times New Roman"/>
          <w:sz w:val="20"/>
        </w:rPr>
      </w:pPr>
      <w:r>
        <w:rPr>
          <w:rFonts w:ascii="Times New Roman" w:hAnsi="Times New Roman"/>
          <w:sz w:val="20"/>
        </w:rPr>
        <w:t xml:space="preserve">Additionally, if the third-party providers of therapies or therapies in development used in combination with cretostimogene or any future product candidate are unable to produce sufficient quantities for clinical trials or for commercialization of cretostimogene or any future product candidate, or if the cost of combination therapies are prohibitive, our development and commercialization efforts would be impaired, which would have an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Negative developments in the field of immuno-oncology and, in particular, viral immunotherapy, could damage public perception of any cretostimogene or any future oncolytic product candidates and negatively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commercial success of cretostimogene and any future adenovirus-based product candidates will depend in part on public acceptance of the use of immuno-oncology, and, in particular, viral immunotherapy. Adverse events in clinical trials of cretostimogene or any other adenovirus-based product candidates which we may develop, or in clinical trials of other biopharmaceutical companies developing similar products and the resulting publicity, as well as any other negative developments in the field of immuno-oncology that may occur in the future, including in connection with competitor therapies, could result in a decrease in demand for cretostimogene or any other adenovirus-based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our collaborators or any future collaborators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As a result, we may not be able to continue or may be delayed in conducting our development programs. </w:t>
      </w:r>
    </w:p>
    <w:p>
      <w:pPr>
        <w:pStyle w:val="TextBody"/>
        <w:bidi w:val="0"/>
        <w:spacing w:before="240" w:after="0"/>
        <w:jc w:val="both"/>
        <w:rPr>
          <w:rFonts w:ascii="Times New Roman" w:hAnsi="Times New Roman"/>
          <w:sz w:val="20"/>
        </w:rPr>
      </w:pPr>
      <w:r>
        <w:rPr>
          <w:rFonts w:ascii="Times New Roman" w:hAnsi="Times New Roman"/>
          <w:sz w:val="20"/>
        </w:rPr>
        <w:t xml:space="preserve">Adverse developments in clinical trials of other immunotherapy products based on viruses, like oncolytic viruses, may result in a disproportionately negative effect for cretostimogene or any future product candidates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cretostimogene or any future product candidates. Any increased scrutiny could delay or increase the costs of obtaining marketing approval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not be successful in our efforts to investigate cretostimogene in additional indications. We may expend our limited resources to pursue a new product candidate or a particular indication for cretostimogene and fail to capitalize on product candidates or indications that may be more profitable or for which there is a greater likelihood of success. </w:t>
      </w:r>
    </w:p>
    <w:p>
      <w:pPr>
        <w:pStyle w:val="TextBody"/>
        <w:bidi w:val="0"/>
        <w:spacing w:before="120" w:after="0"/>
        <w:jc w:val="both"/>
        <w:rPr>
          <w:rFonts w:ascii="Times New Roman" w:hAnsi="Times New Roman"/>
          <w:sz w:val="20"/>
        </w:rPr>
      </w:pPr>
      <w:r>
        <w:rPr>
          <w:rFonts w:ascii="Times New Roman" w:hAnsi="Times New Roman"/>
          <w:sz w:val="20"/>
        </w:rPr>
        <w:t xml:space="preserve">Because we have limited financial and managerial resources, we focus on the development of cretostimogene for specific indications. We may fail to generate additional clinical development opportunities for cretostimogene for a number of reasons, including that cretostimogene may, in indications we are seeking or may seek in the future, be shown to have harmful side effects, limited to no efficacy or other characteristics that suggest it is unlikely to receive marketing approval and/or achieve market acceptance in such potential indications. Our resource allocation and other decisions may cause us to fail to identify and capitalize on viable potential product candidates or additional indications for cretostimogene. Our spending on current and future research and development programs for new product candidates or additional indications for cretostimogene may not yield any commercially viable product candidates or indications. If we do not accurately evaluate the commercial potential or target market for a particular indication or product candidate, we may fail to develop such product candidate or indication, or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negotiate less advantageous terms for any such arrangements than is optimal.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currently conducting and may in the future conduct certain of our clinical trials for cretostimogene or any future product candidate outside of the United States. However, the FDA and other foreign equivalents may not accept data from such trials, in which case our development plans will be delayed, which could materially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currently conducting, and we or our current or any future collaborators may in the future conduct, one or more of our clinical trials for cretostimogene or any future product candidate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cretostimogene or any future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candidate, it would likely result in the need for additional clinical trials, which would be costly and time-consuming and delay or permanently halt our development of such product candidate. </w:t>
      </w:r>
    </w:p>
    <w:p>
      <w:pPr>
        <w:pStyle w:val="TextBody"/>
        <w:bidi w:val="0"/>
        <w:spacing w:before="240" w:after="0"/>
        <w:jc w:val="both"/>
        <w:rPr>
          <w:rFonts w:ascii="Times New Roman" w:hAnsi="Times New Roman"/>
          <w:sz w:val="20"/>
        </w:rPr>
      </w:pPr>
      <w:r>
        <w:rPr>
          <w:rFonts w:ascii="Times New Roman" w:hAnsi="Times New Roman"/>
          <w:sz w:val="20"/>
        </w:rPr>
        <w:t xml:space="preserve">Conducting clinical trials outside the United States also exposes us to additional risks, including risks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additional foreign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inconsistent standards for reporting and evaluating clinical data and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 health concerns or political instability, civil unrest, war or similar events that may jeopardize our ability to commence, conduct or complete a clinical trial and evaluate resulting data.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cretostimogene and any future product candidates may be harmed, which could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methods of the manufacturing or formulation of cretostimogene or any future product candidates may result in additional costs or delay. </w:t>
      </w:r>
    </w:p>
    <w:p>
      <w:pPr>
        <w:pStyle w:val="TextBody"/>
        <w:bidi w:val="0"/>
        <w:spacing w:before="120" w:after="0"/>
        <w:jc w:val="both"/>
        <w:rPr>
          <w:rFonts w:ascii="Times New Roman" w:hAnsi="Times New Roman"/>
          <w:sz w:val="20"/>
        </w:rPr>
      </w:pPr>
      <w:r>
        <w:rPr>
          <w:rFonts w:ascii="Times New Roman" w:hAnsi="Times New Roman"/>
          <w:sz w:val="20"/>
        </w:rPr>
        <w:t xml:space="preserve">As cretostimogene and any future product candidates progress through clinical trials to regulatory approval and commercialization, it is common that various aspects of the development program, such as manufacturing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methods and formulation, are altered along the way in an effort to optimize safety, efficacy, yield and manufacturing batch size, minimize costs and achieve consistent quality and results. There can be no assurance that any future manufacturing or formulation changes we may make will achieve their intended objectives, and such changes may also cause cretostimogene or any future product candidates to perform differently and affect the results of future clinical trials conducted with the altered materials. Such changes or related unfavorable clinical trial results or changes in the CMOs we use to manufacture cretostimogene or any future product candidates could delay initiation or completion of clinical trials, require the conduct of bridging studies or additional clinical trials or the repetition of one or more studies or clinical trials, increase development costs, delay or prevent potential regulatory approval and jeopardize our ability to commercialize cretostimogene or any future product candidates, if approved, and generate revenue. </w:t>
      </w:r>
    </w:p>
    <w:p>
      <w:pPr>
        <w:pStyle w:val="TextBody"/>
        <w:bidi w:val="0"/>
        <w:spacing w:before="360" w:after="0"/>
        <w:jc w:val="both"/>
        <w:rPr>
          <w:rFonts w:ascii="Times New Roman" w:hAnsi="Times New Roman"/>
          <w:b/>
          <w:i/>
          <w:sz w:val="20"/>
        </w:rPr>
      </w:pPr>
      <w:r>
        <w:rPr>
          <w:rFonts w:ascii="Times New Roman" w:hAnsi="Times New Roman"/>
          <w:b/>
          <w:i/>
          <w:sz w:val="20"/>
        </w:rPr>
        <w:t xml:space="preserve">A Breakthrough Therapy designation from the FDA may not lead to a faster development or regulatory review or approval process, and does not increase the likelihood that cretostimogene or any future product candidates will receive FDA approval. </w:t>
      </w:r>
    </w:p>
    <w:p>
      <w:pPr>
        <w:pStyle w:val="TextBody"/>
        <w:bidi w:val="0"/>
        <w:spacing w:before="120" w:after="0"/>
        <w:jc w:val="both"/>
        <w:rPr>
          <w:rFonts w:ascii="Times New Roman" w:hAnsi="Times New Roman"/>
          <w:sz w:val="20"/>
        </w:rPr>
      </w:pPr>
      <w:r>
        <w:rPr>
          <w:rFonts w:ascii="Times New Roman" w:hAnsi="Times New Roman"/>
          <w:sz w:val="20"/>
        </w:rPr>
        <w:t xml:space="preserve">We have obtained Breakthrough Therapy designation from the FDA for cretostimogene for the treatment of BCG-unresponsive, high risk NMIBC patients with carcinoma in-situ with or without Ta or T1 papillary tumors to improve complete response (CR) and for cretostimogene in combination with pembrolizumab for the treatment of NMIBC unresponsive to BCG, and we may seek additional Breakthrough Therapy designations for cretostimogene or for any future product candidates where we believe the clinical data support such a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Biologics designated as Breakthrough Therapies also receive the same benefits associated with fast track designation, including eligibility for rolling review of a submitted BLA, if the relevant criteria are met. </w:t>
      </w:r>
    </w:p>
    <w:p>
      <w:pPr>
        <w:pStyle w:val="TextBody"/>
        <w:bidi w:val="0"/>
        <w:spacing w:before="240" w:after="0"/>
        <w:jc w:val="both"/>
        <w:rPr>
          <w:rFonts w:ascii="Times New Roman" w:hAnsi="Times New Roman"/>
          <w:sz w:val="20"/>
        </w:rPr>
      </w:pPr>
      <w:r>
        <w:rPr>
          <w:rFonts w:ascii="Times New Roman" w:hAnsi="Times New Roman"/>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cretostimogene or any future product candidate may not result in a faster development process, review or approval compared to biologics considered for approval under standard FDA review procedures and does not ensure ultimate approval by the FDA. In addition, though cretostimogene currently qualifies as a Breakthrough Therapy for the treatment of NMIBC unresponsive BGC, the FDA may later decide that cretostimogene no longer meets the conditions for qualification and rescind the designation.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Fast track designation by the FDA for cretostimogene may not lead to a faster development or regulatory review or approval process, and does not increase the likelihood that cretostimogene or any future product candidate which may receive fast track designation will receive regulatory approval. </w:t>
      </w:r>
    </w:p>
    <w:p>
      <w:pPr>
        <w:pStyle w:val="TextBody"/>
        <w:bidi w:val="0"/>
        <w:spacing w:before="120" w:after="0"/>
        <w:jc w:val="both"/>
        <w:rPr>
          <w:rFonts w:ascii="Times New Roman" w:hAnsi="Times New Roman"/>
          <w:sz w:val="20"/>
        </w:rPr>
      </w:pPr>
      <w:r>
        <w:rPr>
          <w:rFonts w:ascii="Times New Roman" w:hAnsi="Times New Roman"/>
          <w:sz w:val="20"/>
        </w:rPr>
        <w:t xml:space="preserve">The FDA has granted a fast track designation for cretostimogene for the treatment of BCG-unresponsive, high risk NMIBC patients with carcinoma in-situ with or without Ta or T1 papillary tumors to improve CR, and we may seek fast track designations for other indications or future product candidates. The fast track program is intended to expedite or facilitate the process for reviewing product candidates that meet certain criteria. Specifically,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both"/>
        <w:rPr>
          <w:rFonts w:ascii="Times New Roman" w:hAnsi="Times New Roman"/>
          <w:sz w:val="20"/>
        </w:rPr>
      </w:pPr>
      <w:r>
        <w:rPr>
          <w:rFonts w:ascii="Times New Roman" w:hAnsi="Times New Roman"/>
          <w:sz w:val="20"/>
        </w:rPr>
        <w:t xml:space="preserve">The FDA has broad discretion whether or not to grant this designation. Even if we believe a particular product candidate or development program is eligible for this designation, we cannot assure you that the FDA would decide to grant it. Although we have received fast track designation for cretostimogene for the treatment of BCG-unresponsive, high risk NMIBC patients with carcinoma in-situ with or without Ta or T1 papillary tumors to improve CR, and even if we receive additional fast track designations for other indications or any future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cretostimogene or any future product candidate that may be granted fast track designation will receive marketing approval in the United States. Many product candidates that have received fast track designation have ultimately failed to obtain approval.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 </w:t>
      </w:r>
    </w:p>
    <w:p>
      <w:pPr>
        <w:pStyle w:val="TextBody"/>
        <w:bidi w:val="0"/>
        <w:spacing w:before="120" w:after="0"/>
        <w:jc w:val="both"/>
        <w:rPr>
          <w:rFonts w:ascii="Times New Roman" w:hAnsi="Times New Roman"/>
          <w:sz w:val="20"/>
        </w:rPr>
      </w:pPr>
      <w:r>
        <w:rPr>
          <w:rFonts w:ascii="Times New Roman" w:hAnsi="Times New Roman"/>
          <w:sz w:val="20"/>
        </w:rPr>
        <w:t xml:space="preserve">We may in the future seek an accelerated approval for cretostimogene or our future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0"/>
        <w:jc w:val="both"/>
        <w:rPr>
          <w:rFonts w:ascii="Times New Roman" w:hAnsi="Times New Roman"/>
          <w:sz w:val="20"/>
        </w:rPr>
      </w:pPr>
      <w:r>
        <w:rPr>
          <w:rFonts w:ascii="Times New Roman" w:hAnsi="Times New Roman"/>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the Food and Drug Omnibus Reform Act of 2022 was enacted, which, among other things, provided the FDA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 </w:t>
      </w:r>
    </w:p>
    <w:p>
      <w:pPr>
        <w:pStyle w:val="TextBody"/>
        <w:bidi w:val="0"/>
        <w:spacing w:before="240" w:after="0"/>
        <w:jc w:val="both"/>
        <w:rPr>
          <w:rFonts w:ascii="Times New Roman" w:hAnsi="Times New Roman"/>
          <w:sz w:val="20"/>
        </w:rPr>
      </w:pPr>
      <w:r>
        <w:rPr>
          <w:rFonts w:ascii="Times New Roman" w:hAnsi="Times New Roman"/>
          <w:sz w:val="20"/>
        </w:rPr>
        <w:t xml:space="preserve">Prior to seeking approval for cretostimogene or any future product candidate we intend to seek feedback from the FDA and will otherwise evaluate our ability to seek and receive accelerated approval. There can be no assurance that after our evaluation of the feedback and other factors we will decide to pursue or submit a BLA for accelerated approval or obtain any other form of expedited development, review, or approval. Furthermore, if we decide to submit an application for accelerated approval for cretostimogene or any future product candidate,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cretostimogene or any future product candidate would result in a longer time period to commercialization of such product candidate, if any, could increase the cost of development of such product candidate, and could harm our competitive position in the marketplace. </w:t>
      </w:r>
    </w:p>
    <w:p>
      <w:pPr>
        <w:pStyle w:val="TextBody"/>
        <w:bidi w:val="0"/>
        <w:spacing w:before="360" w:after="0"/>
        <w:jc w:val="both"/>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or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w:t>
      </w:r>
    </w:p>
    <w:p>
      <w:pPr>
        <w:pStyle w:val="TextBody"/>
        <w:bidi w:val="0"/>
        <w:spacing w:before="240" w:after="0"/>
        <w:jc w:val="both"/>
        <w:rPr>
          <w:rFonts w:ascii="Times New Roman" w:hAnsi="Times New Roman"/>
          <w:sz w:val="20"/>
        </w:rPr>
      </w:pPr>
      <w:r>
        <w:rPr>
          <w:rFonts w:ascii="Times New Roman" w:hAnsi="Times New Roman"/>
          <w:sz w:val="20"/>
        </w:rPr>
        <w:t xml:space="preserve">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 </w:t>
      </w:r>
    </w:p>
    <w:p>
      <w:pPr>
        <w:pStyle w:val="TextBody"/>
        <w:bidi w:val="0"/>
        <w:spacing w:before="120" w:after="0"/>
        <w:jc w:val="both"/>
        <w:rPr>
          <w:rFonts w:ascii="Times New Roman" w:hAnsi="Times New Roman"/>
          <w:sz w:val="20"/>
        </w:rPr>
      </w:pPr>
      <w:r>
        <w:rPr>
          <w:rFonts w:ascii="Times New Roman" w:hAnsi="Times New Roman"/>
          <w:sz w:val="20"/>
        </w:rPr>
        <w:t xml:space="preserve">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cretostimogene and any future product candidates in clinical development. Regulatory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 </w:t>
      </w:r>
    </w:p>
    <w:p>
      <w:pPr>
        <w:pStyle w:val="TextBody"/>
        <w:bidi w:val="0"/>
        <w:spacing w:before="240" w:after="0"/>
        <w:jc w:val="both"/>
        <w:rPr>
          <w:rFonts w:ascii="Times New Roman" w:hAnsi="Times New Roman"/>
          <w:sz w:val="20"/>
        </w:rPr>
      </w:pPr>
      <w:r>
        <w:rPr>
          <w:rFonts w:ascii="Times New Roman" w:hAnsi="Times New Roman"/>
          <w:sz w:val="20"/>
        </w:rPr>
        <w:t xml:space="preserve">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have served and may in the future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comparable foreign regulatory authorities of any BLA we submit or any comparable submission. Any such delay or rejection could prevent us from receiving regulatory approval for, or commercializing cretostimogene and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 </w:t>
      </w:r>
    </w:p>
    <w:p>
      <w:pPr>
        <w:pStyle w:val="TextBody"/>
        <w:bidi w:val="0"/>
        <w:spacing w:before="120" w:after="0"/>
        <w:jc w:val="both"/>
        <w:rPr>
          <w:rFonts w:ascii="Times New Roman" w:hAnsi="Times New Roman"/>
          <w:sz w:val="20"/>
        </w:rPr>
      </w:pPr>
      <w:r>
        <w:rPr>
          <w:rFonts w:ascii="Times New Roman" w:hAnsi="Times New Roman"/>
          <w:sz w:val="20"/>
        </w:rPr>
        <w:t xml:space="preserve">We do not own or operate manufacturing facilities and have no plans to develop our own clinical or commercial-scale manufacturing capabilities. We rely on a third-party manufacturer for the production of cretostimogene and a third-party manufacturer for the production of DDM, and expect to continue to rely on third-party manufacturers for commercial manufacture if cretostimogene or any future product candidates receive regulatory approval. The facilities used by third-party manufacturers to manufacture cretostimogene or any future product candidate must be approved for the manufacture of such product candidate by the FDA and any comparable foreign regulatory authority pursuant to inspections that will be conducted after we submit a BLA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quality control, quality assurance and qualified personnel. If the FDA or any comparable foreign regulatory authority does not approve these facilities for the manufacture of cretostimogene or any future product candidates or if it withdraws any such approval in the future, we may need to find alternative manufacturing facilities, which would significantly impact our ability to develop, obtain regulatory approval for or market cretostimogene or any future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cretostimogene or any future product candidates, operating restrictions and criminal prosecutions, any of which could significantly and adversely affect supplies of cretostimogene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Our or a third partys failure to execute on our manufacturing requirements on commercially reasonable terms, in a timely manner and in compliance with cGMP or other regulatory requirements could adversely affect our business in a number of ways,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inability to initiate or continue clinical trials of cretostimogene or any future product candidates, or a hold on clinical trials of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 in submitting regulatory applications, or receiving regulatory approvals, for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requirements to cease development or to recall batches of cretostimogene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approval to market and commercialize cretostimogene or any future product candidates, an inability to meet commercial demands for cretostimogene or any future product candidates.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example, our IND for cretostimogene was previously placed on partial clinical hold by the FDA that was lifted in March 2020, primarily due to CMC-related issues attributable to product supplied by our prior third-party manufacturer, who was purchased by another third-party supplier, resulting in clinical development delays. In addition,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cretostimogene or such quantities at an acceptable cost.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manufacture our product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obtain adequate raw materials and other materials required for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manufacture our product according to our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successfully scale up manufacturing capacity,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misappropriation of our proprietary information, including our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Further, cretostimogene and any future product candidates that we may develop may compete with other product candidates and products for access to manufacturing facilities.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a third party to store and transport cretostimogene at temperatures within a certain range, which is known as strict cold chain storage and transportation. Any failure by this third party to store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transport cretostimogene at the appropriate temperature could impair the quality of cretostimogene or cause cretostimogene to become unsuitable for use, which could result in lost inventories, increased costs or delays in clinical development. </w:t>
      </w:r>
    </w:p>
    <w:p>
      <w:pPr>
        <w:pStyle w:val="TextBody"/>
        <w:bidi w:val="0"/>
        <w:spacing w:before="240" w:after="0"/>
        <w:jc w:val="both"/>
        <w:rPr>
          <w:rFonts w:ascii="Times New Roman" w:hAnsi="Times New Roman"/>
          <w:sz w:val="20"/>
        </w:rPr>
      </w:pPr>
      <w:r>
        <w:rPr>
          <w:rFonts w:ascii="Times New Roman" w:hAnsi="Times New Roman"/>
          <w:sz w:val="20"/>
        </w:rPr>
        <w:t xml:space="preserve">Any performance failure on the part of our existing or future manufacturers, suppliers or vendors could delay clinical development or regulatory approval, and any related remedial measures may be costly or time consuming to implement. We do not currently have arrangements in place for redundant manufacturing of cretostimogene and DDM. In addition, there are a limited number of manufacturers capable of manufacturing viral therapies such as cretostimogene, and therefore any need to switch third-party manufacturers may result in development and commercialization delays and increase our operating costs. If our existing or future third-party manufacturers and suppliers cannot perform as agreed or cannot fulfill our commercial supply requirements, we may be required to replace such manufacturers or suppliers and we may be unable to replace them on a timely basis or at all. If we later switch third-party manufacturers, we may be unable to demonstrate comparability between lots produced previously and those produced by such new third-party manufacturers, in which case we may be required to gather additional data utilizing material produced by such new third-party manufacturers before we are able to submit a BLA for cretostimogene, if ever.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current and anticipated future dependence upon others for the manufacture of cretostimogene or any future product candidates may adversely affect our future profit margins and our ability to commercialize any products that receive regulatory approval on a timely and competitive basis.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reliance on third parties requires us to share our trade secrets, which increases the possibility that a competitor or other third party will discover them or that our trade secrets will be misappropriated or disclosed. </w:t>
      </w:r>
    </w:p>
    <w:p>
      <w:pPr>
        <w:pStyle w:val="TextBody"/>
        <w:bidi w:val="0"/>
        <w:spacing w:before="120" w:after="0"/>
        <w:jc w:val="both"/>
        <w:rPr>
          <w:rFonts w:ascii="Times New Roman" w:hAnsi="Times New Roman"/>
          <w:sz w:val="20"/>
        </w:rPr>
      </w:pPr>
      <w:r>
        <w:rPr>
          <w:rFonts w:ascii="Times New Roman" w:hAnsi="Times New Roman"/>
          <w:sz w:val="20"/>
        </w:rPr>
        <w:t xml:space="preserve">Because we currently rely on third parties to manufacture cretostimogene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entered into, and may in the future enter into, collaboration agreements and strategic alliances to maximize the potential of cretostimogene, and we may not realize the anticipated benefits of such collaborations or alliances. We may continue to form collaborations or alliances in the future with respect to cretostimogene or any future product candidates, but may be unable to do so or to realize the potential benefits of such transactions, which may cause us to alter or delay our development and commercialization plans.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and may in the future seek to enter into, collaborations, joint ventures, licenses and other similar arrangements for the development or, if approved, commercialization of cretostimogene and any future product candidates due to capital costs required to develop or commercialize such product candidates or otherwise. For example, we have entered into license and collaboration agreements with Lepu Biotech Co., Ltd. (Lepu) and Kissei Pharmaceutical Co., Ltd. (Kissei), pursuant to which we granted Lepu exclusive rights to develop and commercialize cretostimogene and/or DDM in Greater China, including Hong Kong and Macau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Lepu Territory), and granted Kissei exclusive rights to develop and commercialize cretostimogene in combination with DDM in Japan and other Asian counties (excluding the Lepu territory). We may not be successful in our efforts to establish or maintain such collaborations because our research and development pipeline may be insufficient, future product candidates may be deemed to be at too early of a stage of development for collaborative effort or third parties may not view cretostimogene or any future product candidates as having the requisite potential to demonstrate safety, purity and potency (or efficacy), or significant commercial opportunity. 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programs, intellectual property, cretostimogene or any future product candidates, or grant licenses on terms that may not be favorable to us, as part of any such arrangement, and such arrangements may restrict us from entering into additional agreements with other potential collaborators. In addition, our current collaborations limit, and potential future collaborations may limit, our control over the amount and timing of resources that our collaborators will dedicate to the development or commercialization of cretostimogene or any future product candidates. Our ability to generate revenue from these arrangements will depend on any current or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cretostimogene or any future product candidate is delayed, the safety of any such product candidate is questioned, or the sales of cretostimogene, if approved, or an approved future product candidate, are unsatisfactory.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current collaborations are, and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cretostimogene or any future product candidates, and may not conduct those activities in the same manner as we do. Any termination of collaborations we enter into in the future, or any delay in entering into collaborations related to cretostimogene or any future product candidates, could delay the development and, if approved, commercialization of such product candidates, and reduce their competitiveness if they reach the market, which could have a material adverse effect on our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Cretostimogene and any Future Product Candidates </w:t>
      </w:r>
    </w:p>
    <w:p>
      <w:pPr>
        <w:pStyle w:val="TextBody"/>
        <w:bidi w:val="0"/>
        <w:spacing w:before="240" w:after="0"/>
        <w:jc w:val="both"/>
        <w:rPr>
          <w:rFonts w:ascii="Times New Roman" w:hAnsi="Times New Roman"/>
          <w:b/>
          <w:i/>
          <w:sz w:val="20"/>
        </w:rPr>
      </w:pPr>
      <w:r>
        <w:rPr>
          <w:rFonts w:ascii="Times New Roman" w:hAnsi="Times New Roman"/>
          <w:b/>
          <w:i/>
          <w:sz w:val="20"/>
        </w:rPr>
        <w:t xml:space="preserve">Even if we receive regulatory approval for cretostimogene or any future product candidates, we will be subject to ongoing regulatory obligations and continued regulatory review, which may result in significant additional expense. </w:t>
      </w:r>
    </w:p>
    <w:p>
      <w:pPr>
        <w:pStyle w:val="TextBody"/>
        <w:bidi w:val="0"/>
        <w:spacing w:before="120" w:after="0"/>
        <w:jc w:val="both"/>
        <w:rPr>
          <w:rFonts w:ascii="Times New Roman" w:hAnsi="Times New Roman"/>
          <w:sz w:val="20"/>
        </w:rPr>
      </w:pPr>
      <w:r>
        <w:rPr>
          <w:rFonts w:ascii="Times New Roman" w:hAnsi="Times New Roman"/>
          <w:sz w:val="20"/>
        </w:rPr>
        <w:t xml:space="preserve">Any regulatory approvals that we may receive for cretostimogene or any future product candidates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cretostimogene or any future product candidates,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before="240" w:after="0"/>
        <w:jc w:val="both"/>
        <w:rPr>
          <w:rFonts w:ascii="Times New Roman" w:hAnsi="Times New Roman"/>
          <w:sz w:val="20"/>
        </w:rPr>
      </w:pPr>
      <w:r>
        <w:rPr>
          <w:rFonts w:ascii="Times New Roman" w:hAnsi="Times New Roman"/>
          <w:sz w:val="20"/>
        </w:rPr>
        <w:t>In addition, if the FDA or a comparable foreign regulatory authority approves cretostimogene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fines, restitutions, disgorgement of profits or revenue, warning letters, untitled letters, adverse publicity requirements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by the FDA or other regulatory authorities to approve pending applications or supplements to approved applications submitted by us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and the imposition of civil or criminal penalties.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occurrence of any event or penalty described above may inhibit our ability to commercialize cretostimogene or any future product candidates and generate revenue and could require us to expend significant time and resources in response and could generate negative publicity. </w:t>
      </w:r>
    </w:p>
    <w:p>
      <w:pPr>
        <w:pStyle w:val="TextBody"/>
        <w:bidi w:val="0"/>
        <w:spacing w:before="240" w:after="0"/>
        <w:jc w:val="both"/>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marketing authorization of cretostimogene or any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both"/>
        <w:rPr>
          <w:rFonts w:ascii="Times New Roman" w:hAnsi="Times New Roman"/>
          <w:sz w:val="20"/>
        </w:rPr>
      </w:pPr>
      <w:r>
        <w:rPr>
          <w:rFonts w:ascii="Times New Roman" w:hAnsi="Times New Roman"/>
          <w:sz w:val="20"/>
        </w:rPr>
        <w:t xml:space="preserve">The FDA and other regulatory agencies strictly regulate the promotional claims that may be made about prescription products, such as cretostimogene or any future product candidates, if approved. In particular, a product may not be promoted for uses that are not approved by the FDA or such other regulatory agencies as reflected in the products approved labeling. If we receive regulatory approval for cretostimogene or any future product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cretostimogene or any future product candidates, if approved, we could become subject to significant liability, which would materially adversely affect our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Any product candidates for which we intend to seek approval as biologic products may face competition sooner than anticipated </w:t>
      </w:r>
    </w:p>
    <w:p>
      <w:pPr>
        <w:pStyle w:val="TextBody"/>
        <w:bidi w:val="0"/>
        <w:spacing w:before="120" w:after="0"/>
        <w:jc w:val="both"/>
        <w:rPr>
          <w:rFonts w:ascii="Times New Roman" w:hAnsi="Times New Roman"/>
          <w:sz w:val="20"/>
        </w:rPr>
      </w:pPr>
      <w:r>
        <w:rPr>
          <w:rFonts w:ascii="Times New Roman" w:hAnsi="Times New Roman"/>
          <w:sz w:val="20"/>
        </w:rPr>
        <w:t xml:space="preserve">The Patient Protection and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(or efficacy) of its product.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any cretostimogene or any future product candidates, if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continue to develop.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commercial success of cretostimogene or any future product candidates will depend upon the degree of market acceptance of such product candidates by physicians, patients, healthcare payors, and others in the medical community.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and any future product candidates may not be commercially successful. Even if cretostimogene or any future product candidates receive regulatory approval, they may not gain market acceptance among physicians, patients, healthcare payors, or the medical community. The commercial success of cretostimogene or any future product candidates will depend significantly on the broad adoption and use of the resulting product by these individuals and organizations for approved indications. In particular, given a significant portion of large urology practices are concentrated in a relatively small number of urology physician groups, market adoption by such groups will be an important factor in potential commercial success. The degree of market acceptance of our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indications for which cretostimogene or any future product candidates are approved,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limitation of our targeted patient population and other limitations or warnings contained in any FDA-approved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pricing and cost-effectiveness of our products, as well as the cost of treatment with our products in relation to alternative treatments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restrictions on the use of our products,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market introduction of our products as well as availability, safety and efficacy of competitive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effectiveness of our or any current or future collaborators sales and marketing strategies;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cretostimogene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successful commercialization of cretostimogene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 </w:t>
      </w:r>
    </w:p>
    <w:p>
      <w:pPr>
        <w:pStyle w:val="TextBody"/>
        <w:bidi w:val="0"/>
        <w:spacing w:before="120" w:after="0"/>
        <w:jc w:val="both"/>
        <w:rPr>
          <w:rFonts w:ascii="Times New Roman" w:hAnsi="Times New Roman"/>
          <w:sz w:val="20"/>
        </w:rPr>
      </w:pPr>
      <w:r>
        <w:rPr>
          <w:rFonts w:ascii="Times New Roman" w:hAnsi="Times New Roman"/>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cretostimogene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w:t>
      </w:r>
    </w:p>
    <w:p>
      <w:pPr>
        <w:pStyle w:val="TextBody"/>
        <w:bidi w:val="0"/>
        <w:spacing w:before="240" w:after="0"/>
        <w:jc w:val="both"/>
        <w:rPr>
          <w:rFonts w:ascii="Times New Roman" w:hAnsi="Times New Roman"/>
          <w:sz w:val="20"/>
        </w:rPr>
      </w:pPr>
      <w:r>
        <w:rPr>
          <w:rFonts w:ascii="Times New Roman" w:hAnsi="Times New Roman"/>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240" w:after="0"/>
        <w:jc w:val="both"/>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cretostimogene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cretostimogene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TextBody"/>
        <w:bidi w:val="0"/>
        <w:spacing w:before="240" w:after="0"/>
        <w:jc w:val="both"/>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cretostimogene or any future product candidates and may adversely affect the prices we may set for additional related information.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cretostimogene. Cretostimogene and any future product candidates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are developing cretostimogene. In particular, there is intense competition in the oncology field. Our competitors include larger and better-funded 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future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 </w:t>
      </w:r>
    </w:p>
    <w:p>
      <w:pPr>
        <w:pStyle w:val="TextBody"/>
        <w:bidi w:val="0"/>
        <w:spacing w:before="240" w:after="0"/>
        <w:jc w:val="both"/>
        <w:rPr>
          <w:rFonts w:ascii="Times New Roman" w:hAnsi="Times New Roman"/>
          <w:sz w:val="20"/>
        </w:rPr>
      </w:pPr>
      <w:r>
        <w:rPr>
          <w:rFonts w:ascii="Times New Roman" w:hAnsi="Times New Roman"/>
          <w:sz w:val="20"/>
        </w:rPr>
        <w:t xml:space="preserve">If cretostimogene or any future product candidates are approved, they will compete with surgery, radiation, and drug therapy, including chemotherapy, BCG,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cretostimogene and any future product candidates. To the extent Merck &amp; Co. (Merck) or another manufacturer increases the supply of BCG, there may be less demand for alternative treatments such as cretostimogene in BCG-naïve or BCG-exposed patients. There are numerous companies that have commercialized or are developing treatments for NMIBC that we will compete with, including Bristol Meyers Squibb, enGene Inc., Gilead Sciences, Inc., Hoffman-La Roche AG (Roche), ImmunityBio Inc., Johnson &amp; Johnson Inc., Merck, Protara Therapeutics, Inc., Pfizer, Inc. and UroGen Pharma, Inc.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have significantly greater financial, technical, manufacturing, marketing, sales and supply resources or experience than we do. If we successfully obtain approval for cretostimogene or any future product candidate, we will face competition based on many different factors, including the safety and effectiveness of our product candidates, the ease with which our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cretostimogene or any future product candidates we develop obsolete or noncompetitive before we recover the expense of their development and commercialization. If we are unable to compete effectively, our opportunity to generate revenue from the sale of cretostimogene or any future product candidates we may develop, if approved, could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the market opportunities for cretostimogene or any future product candidates are smaller than we believe they are, our revenue may be adversely affected, and our business may suffer. </w:t>
      </w:r>
    </w:p>
    <w:p>
      <w:pPr>
        <w:pStyle w:val="TextBody"/>
        <w:bidi w:val="0"/>
        <w:spacing w:before="120" w:after="0"/>
        <w:jc w:val="both"/>
        <w:rPr>
          <w:rFonts w:ascii="Times New Roman" w:hAnsi="Times New Roman"/>
          <w:sz w:val="20"/>
        </w:rPr>
      </w:pPr>
      <w:r>
        <w:rPr>
          <w:rFonts w:ascii="Times New Roman" w:hAnsi="Times New Roman"/>
          <w:sz w:val="20"/>
        </w:rPr>
        <w:t xml:space="preserve">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cretostimogene or any future product candidate, even if approved, would be approved for second line or first line therapy. This could limit our potential market opportunity. In addition, we may have to conduct additional clinical trials prior to gaining approval for second line or first line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projections of both the number of people who have the cancers we are targeting, as well as the subset of people with these cancers in a position to receive later stage therapy and who have the potential to benefit from treatment with cretostimogene or any future product candidate,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business, financial condition, results of operations and prospects. Further, even if we obtain significant market share for cretostimogene or any future product candidate, because some of our potential target populations are very small, we may never achieve profitability despite obtaining such significant market share.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sell and distribute our products, we may not be able to generate product revenue. </w:t>
      </w:r>
    </w:p>
    <w:p>
      <w:pPr>
        <w:pStyle w:val="TextBody"/>
        <w:bidi w:val="0"/>
        <w:spacing w:before="120" w:after="0"/>
        <w:jc w:val="both"/>
        <w:rPr>
          <w:rFonts w:ascii="Times New Roman" w:hAnsi="Times New Roman"/>
          <w:sz w:val="20"/>
        </w:rPr>
      </w:pPr>
      <w:r>
        <w:rPr>
          <w:rFonts w:ascii="Times New Roman" w:hAnsi="Times New Roman"/>
          <w:sz w:val="20"/>
        </w:rPr>
        <w:t xml:space="preserve">We have no internal sales, marketing or distribution capabilities, nor have we ever commercialized a product. If cretostimogene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For example, if cretostimogene is approved, we will need to scale up a cost-effective and reliable cold chain distribution and logistics network, which we may be unable to accomplish and which will require us to rely on third-party distributors. Failure to scale up our cold chain supply logistics, by us or third parties, could in the future lead to additional manufacturing costs and delays in our ability to supply required quantities for commercial supply. </w:t>
      </w:r>
    </w:p>
    <w:p>
      <w:pPr>
        <w:pStyle w:val="TextBody"/>
        <w:bidi w:val="0"/>
        <w:spacing w:before="240" w:after="0"/>
        <w:jc w:val="both"/>
        <w:rPr>
          <w:rFonts w:ascii="Times New Roman" w:hAnsi="Times New Roman"/>
          <w:sz w:val="20"/>
        </w:rPr>
      </w:pPr>
      <w:r>
        <w:rPr>
          <w:rFonts w:ascii="Times New Roman" w:hAnsi="Times New Roman"/>
          <w:sz w:val="20"/>
        </w:rPr>
        <w:t xml:space="preserve">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future growth may depend, in part, on our ability to operate in foreign markets, where we would be subject to additional regulatory burdens and other 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Our future growth may depend, in part, on our ability to develop and commercialize cretostimogene or any future product candidates in foreign markets. We are not permitted to market or promote cretostimogene or any future product candidate before we receive regulatory approval from applicable regulatory authorities in foreign markets, and we may never receive such regulatory approvals for cretostimogene or any future product candidates. To obtain separate regulatory approval in many other countries we must comply with numerous and varying regulatory requirements regarding safety and efficacy and governing, among other things,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commercial sales, pricing and distribution of cretostimogene or any future product candidates. Approval procedures may be more onerous than those in the United States and may require that we conduct additional preclinical studies or clinical trials. If we obtain regulatory approval of cretostimogene or any future product candidates and ultimately commercialize our products in foreign markets, we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different regulatory requirements for approval of drugs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existence of additional third-party patent rights of potential relevance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export control and import laws and regulations and unexpected changes in tariffs, trade barriers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economic weakness, including inflation, or political instability in particular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currency fluctuations, which could result in increased operating expenses and reduced revenue, and other obligations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reimbursement, pricing, and insurance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business interruptions resulting from geopolitical actions, including war and terrorism, public health pandemics or epidemics, or natural disasters including earthquakes, typhoons, floods and fires.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and Industry </w:t>
      </w:r>
    </w:p>
    <w:p>
      <w:pPr>
        <w:pStyle w:val="TextBody"/>
        <w:bidi w:val="0"/>
        <w:spacing w:before="240" w:after="0"/>
        <w:jc w:val="both"/>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both"/>
        <w:rPr>
          <w:rFonts w:ascii="Times New Roman" w:hAnsi="Times New Roman"/>
          <w:sz w:val="20"/>
        </w:rPr>
      </w:pPr>
      <w:r>
        <w:rPr>
          <w:rFonts w:ascii="Times New Roman" w:hAnsi="Times New Roman"/>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cost of, and level of investment in, research, development, regulatory approval, and commercialization activities relating to cretostimogene or any future product candidates, which may change from time to time, including 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clinical trials and the timing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success or failure of preclinical studies or clinical trials for cretostimogene or any future product candidates or competing product candidates, or any other change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coverage and reimbursement policies with respect to cretostimogene or any future product candidates, if approved, and potential future drugs that compete with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manufacturing cretostimogene or any future product candidates, which may vary depending on the quantity of production and the terms of our agreements with third-party manufacturers;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expenditures that we may incur to acquire, in-license, develop, or commercialize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level of demand for any approved products, which may vary significantly and be difficult to predict;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commercialize cretostimogene or any future product candidates, if approved, inside and outside of the United States, either independently or working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collaborations, licensing or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accounting pronouncements or changes in our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amount of any milestone, royalty or other payments payable by us or due to us under any collaboration, licensing or other similar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0"/>
        <w:jc w:val="both"/>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success is dependent on our ability to attract and retain highly qualified management and other clinical and scientific personnel.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cretostimogene or any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40" w:after="0"/>
        <w:jc w:val="both"/>
        <w:rPr>
          <w:rFonts w:ascii="Times New Roman" w:hAnsi="Times New Roman"/>
          <w:sz w:val="20"/>
        </w:rPr>
      </w:pPr>
      <w:r>
        <w:rPr>
          <w:rFonts w:ascii="Times New Roman" w:hAnsi="Times New Roman"/>
          <w:sz w:val="20"/>
        </w:rPr>
        <w:t xml:space="preserve">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encounter difficulties in managing our growth and expanding our operations successfully, including our recent CFO transition, which could disrupt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27, 2023, we had 61 full-time employees. As we continue development and pursue the potential commercialization of cretostimogene or any future product candidates,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cretostimogene and any future product candidates and to compete effectively will depend, in part, on our ability to manage any future growth effectively.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January 2024, we appointed Corleen Roche as our Chief Financial Officer succeeding Stephen DiPalma. While we expect Mr. DiPalma to continue to provide consulting services to assist with the transition on a part-time basis, we may experience difficulties associated with timely and successfully executing a smooth transition of the Chief Financial Officer functions.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Health Insurance Portability and Accountability Act of 1996 (HIPAA), which imposes criminal and civil liability for, among other things, knowingly and willfully executing, or attempting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0"/>
        <w:jc w:val="both"/>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us to obtain coverage for and commercialize cretostimogene or any future product candidates and may adversely affect the prices we may set.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before="240" w:after="0"/>
        <w:jc w:val="both"/>
        <w:rPr>
          <w:rFonts w:ascii="Times New Roman" w:hAnsi="Times New Roman"/>
          <w:sz w:val="20"/>
        </w:rPr>
      </w:pPr>
      <w:r>
        <w:rPr>
          <w:rFonts w:ascii="Times New Roman" w:hAnsi="Times New Roman"/>
          <w:sz w:val="20"/>
        </w:rPr>
        <w:t xml:space="preserve">For example, in March 2010, the Patient Protection and Affordable Care Act, as amended by the Health Care and Education Reconciliation Act of 2010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w:t>
      </w:r>
    </w:p>
    <w:p>
      <w:pPr>
        <w:pStyle w:val="TextBody"/>
        <w:bidi w:val="0"/>
        <w:spacing w:before="240" w:after="0"/>
        <w:jc w:val="both"/>
        <w:rPr>
          <w:rFonts w:ascii="Times New Roman" w:hAnsi="Times New Roman"/>
          <w:sz w:val="20"/>
        </w:rPr>
      </w:pPr>
      <w:r>
        <w:rPr>
          <w:rFonts w:ascii="Times New Roman" w:hAnsi="Times New Roman"/>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until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w:t>
      </w:r>
    </w:p>
    <w:p>
      <w:pPr>
        <w:pStyle w:val="TextBody"/>
        <w:bidi w:val="0"/>
        <w:spacing w:before="240" w:after="0"/>
        <w:jc w:val="both"/>
        <w:rPr>
          <w:rFonts w:ascii="Times New Roman" w:hAnsi="Times New Roman"/>
          <w:sz w:val="20"/>
        </w:rPr>
      </w:pPr>
      <w:r>
        <w:rPr>
          <w:rFonts w:ascii="Times New Roman" w:hAnsi="Times New Roman"/>
          <w:sz w:val="20"/>
        </w:rPr>
        <w:t xml:space="preserve">Most recently, on August 16, 2022, President Biden signed the Inflation Reduction Act of 2022 (IRA) into law. This statute marks the most significant action by Congress with respect to the pharmaceutical industry since adoption of the ACA in 2010. Among other things, the IRA (i) directs HHS to negotiate the price of certain high-expenditure, single-source drugs and biologics covered under Medicare and (ii) imposes rebates under Medicare Part B and Medicare Part D to penalize price increases that outpace inflation.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product liability lawsuits are brought against us, we may incur substantial liabilities and may be required to limit, delay or cease commercialization of our products. </w:t>
      </w:r>
    </w:p>
    <w:p>
      <w:pPr>
        <w:pStyle w:val="TextBody"/>
        <w:bidi w:val="0"/>
        <w:spacing w:before="120" w:after="0"/>
        <w:jc w:val="both"/>
        <w:rPr>
          <w:rFonts w:ascii="Times New Roman" w:hAnsi="Times New Roman"/>
          <w:sz w:val="20"/>
        </w:rPr>
      </w:pPr>
      <w:r>
        <w:rPr>
          <w:rFonts w:ascii="Times New Roman" w:hAnsi="Times New Roman"/>
          <w:sz w:val="20"/>
        </w:rPr>
        <w:t xml:space="preserve">We face an inherent risk of product liability as a result of the clinical trials of cretostimogene and any future product candidates and will face an even greater risk if we commercialize cretostimogene or any future product candidates, if approved. For example, we may be sued if cretostimogene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w:t>
      </w:r>
    </w:p>
    <w:p>
      <w:pPr>
        <w:pStyle w:val="TextBody"/>
        <w:bidi w:val="0"/>
        <w:spacing w:before="240" w:after="0"/>
        <w:jc w:val="both"/>
        <w:rPr>
          <w:rFonts w:ascii="Times New Roman" w:hAnsi="Times New Roman"/>
          <w:sz w:val="20"/>
        </w:rPr>
      </w:pPr>
      <w:r>
        <w:rPr>
          <w:rFonts w:ascii="Times New Roman" w:hAnsi="Times New Roman"/>
          <w:sz w:val="20"/>
        </w:rPr>
        <w:t xml:space="preserve">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diversion of our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substantial monetary awards to trial participants or product recipients;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significant negative financial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commercialize cretostimogene or any future product candidate;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decline in our stock price.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currently hold approximately $10 million in product liability insurance coverage in the aggregate. We may need to increase our insurance coverage as we expand our clinical trials or if we commence commercialization of cretostimogene or any future product candidates. Insurance coverage is increasingly expensive. Our inability to obtain and retain sufficient product liability insurance at an acceptable cost to protect against potential product liability claims could prevent or inhibit the commercialization of cretostimogene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insurance policies are expensive and protect us from only some business risks, which will leave us exposed to significant uninsured liabilities. </w:t>
      </w:r>
    </w:p>
    <w:p>
      <w:pPr>
        <w:pStyle w:val="TextBody"/>
        <w:bidi w:val="0"/>
        <w:spacing w:before="120" w:after="0"/>
        <w:jc w:val="both"/>
        <w:rPr>
          <w:rFonts w:ascii="Times New Roman" w:hAnsi="Times New Roman"/>
          <w:sz w:val="20"/>
        </w:rPr>
      </w:pPr>
      <w:r>
        <w:rPr>
          <w:rFonts w:ascii="Times New Roman" w:hAnsi="Times New Roman"/>
          <w:sz w:val="20"/>
        </w:rPr>
        <w:t xml:space="preserve">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any of our current or potential future collaborators will be required to report to regulatory authorities if any of our approved products cause or contribute to adverse medical events, and any failure to do so would result in sanctions that would materially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If we or any of our current or potential future collaborators are successful in commercializing cretostimogene or any future product candidates,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or such collaborators become aware of the adverse event as well as the nature of the event. We and any of our current or potential future collaborators or CROs may fail to report adverse events within the prescribed timeframe. If we or any of our current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and our service providers maintain and will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information technology systems, or those of any of our service providers, may fail or suffer security incidents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(e.g.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240" w:after="0"/>
        <w:jc w:val="both"/>
        <w:rPr>
          <w:rFonts w:ascii="Times New Roman" w:hAnsi="Times New Roman"/>
          <w:sz w:val="20"/>
        </w:rPr>
      </w:pPr>
      <w:r>
        <w:rPr>
          <w:rFonts w:ascii="Times New Roman" w:hAnsi="Times New Roman"/>
          <w:sz w:val="20"/>
        </w:rPr>
        <w:t xml:space="preserve">We and certain of our service providers are from time to time subject to cyberattacks and security incidents. While we do not believe that we have experienced any material system failure, accident or security breach to date,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cretostimogene,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we could incur liability, the further development and commercialization of cretostimogene or any future product candidates could be delayed, and we could be subject to significant fines, penalties or liabilities for any noncompliance to certain privacy and security laws. </w:t>
      </w:r>
    </w:p>
    <w:p>
      <w:pPr>
        <w:pStyle w:val="TextBody"/>
        <w:bidi w:val="0"/>
        <w:spacing w:before="240" w:after="0"/>
        <w:jc w:val="both"/>
        <w:rPr>
          <w:rFonts w:ascii="Times New Roman" w:hAnsi="Times New Roman"/>
          <w:sz w:val="20"/>
        </w:rPr>
      </w:pPr>
      <w:r>
        <w:rPr>
          <w:rFonts w:ascii="Times New Roman" w:hAnsi="Times New Roman"/>
          <w:sz w:val="20"/>
        </w:rPr>
        <w:t xml:space="preserve">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is subject to risks arising from pandemics and epidemic diseases. </w:t>
      </w:r>
    </w:p>
    <w:p>
      <w:pPr>
        <w:pStyle w:val="TextBody"/>
        <w:bidi w:val="0"/>
        <w:spacing w:before="120" w:after="0"/>
        <w:jc w:val="both"/>
        <w:rPr>
          <w:rFonts w:ascii="Times New Roman" w:hAnsi="Times New Roman"/>
          <w:sz w:val="20"/>
        </w:rPr>
      </w:pPr>
      <w:r>
        <w:rPr>
          <w:rFonts w:ascii="Times New Roman" w:hAnsi="Times New Roman"/>
          <w:sz w:val="20"/>
        </w:rPr>
        <w:t xml:space="preserve">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cretostimogene or any future product candidates for use in our, our collaborators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future collaborators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results of operations and prospects.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could be affected by litigation, government investigations and enforcement actions. </w:t>
      </w:r>
    </w:p>
    <w:p>
      <w:pPr>
        <w:pStyle w:val="TextBody"/>
        <w:bidi w:val="0"/>
        <w:spacing w:before="120" w:after="0"/>
        <w:jc w:val="both"/>
        <w:rPr>
          <w:rFonts w:ascii="Times New Roman" w:hAnsi="Times New Roman"/>
          <w:sz w:val="20"/>
        </w:rPr>
      </w:pPr>
      <w:r>
        <w:rPr>
          <w:rFonts w:ascii="Times New Roman" w:hAnsi="Times New Roman"/>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240" w:after="0"/>
        <w:jc w:val="both"/>
        <w:rPr>
          <w:rFonts w:ascii="Times New Roman" w:hAnsi="Times New Roman"/>
          <w:sz w:val="20"/>
        </w:rPr>
      </w:pPr>
      <w:r>
        <w:rPr>
          <w:rFonts w:ascii="Times New Roman" w:hAnsi="Times New Roman"/>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employees and independent contractors, including collaborators, principal investigators, CROs, consultants and vendors, may engage in misconduct or other improper activities, including noncompliance with regulatory standards and requirements.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engage in strategic transactions that could impact our liquidity, increase our expenses, and present significant distractions to our management.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and collaborations,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ability to use net operating loss carryforwards and other tax attributes may be limited in connection with this offering or other ownership changes.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substantial losses during our history, do not expect to become profitable in the near future and may never achieve profitability. As of December 31, 2022, we had net operating loss (NOL) carryforwards, which may be available to offset our future taxable income, if any. Our NOL carryforwards and other tax attributes are subject to expiration, review and possible adjustment by the Internal Revenue Service (IRS) and state tax authorities.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recorded a full valuation allowance related to our NOL carryforwards and other deferred tax assets due to the uncertainty of the ultimate realization of the future benefits of those assets.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240" w:after="0"/>
        <w:jc w:val="both"/>
        <w:rPr>
          <w:rFonts w:ascii="Times New Roman" w:hAnsi="Times New Roman"/>
          <w:b/>
          <w:i/>
          <w:sz w:val="20"/>
        </w:rPr>
      </w:pPr>
      <w:r>
        <w:rPr>
          <w:rFonts w:ascii="Times New Roman" w:hAnsi="Times New Roman"/>
          <w:b/>
          <w:i/>
          <w:sz w:val="20"/>
        </w:rPr>
        <w:t xml:space="preserve">If we are unable to obtain, maintain, defend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We rely, and may in the future rely, upon a combination of patent, trade secret and trademark protection for cretostimogene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cretostimogene and any future product candidates and other proprietary technologies we may develop. We generally seek, and may in the future seek, to protect our proprietary position, in part, by filing patent applications in the United States and abroad relating to cretostimogene and any future product candidates and technology, manufacturing processes and methods of use. We may also seek to protect our proprietary position by acquiring or in-licensing relevant issued patents or pending patent applications from third parties. Currently we do not have composition of matter patents covering cretostimogene. We will endeavor to seek additional patent protection to cover features of the oncolytic virus and formulations in the future. If we are unable to obtain, maintain, expand, enforce and defend the scope, ownership or control, validity and enforceability of our intellectual property protection, our business, financial condition, results of operations and prospects could be materially harmed. </w:t>
      </w:r>
    </w:p>
    <w:p>
      <w:pPr>
        <w:pStyle w:val="TextBody"/>
        <w:bidi w:val="0"/>
        <w:spacing w:before="240" w:after="0"/>
        <w:jc w:val="both"/>
        <w:rPr>
          <w:rFonts w:ascii="Times New Roman" w:hAnsi="Times New Roman"/>
          <w:sz w:val="20"/>
        </w:rPr>
      </w:pPr>
      <w:r>
        <w:rPr>
          <w:rFonts w:ascii="Times New Roman" w:hAnsi="Times New Roman"/>
          <w:sz w:val="20"/>
        </w:rPr>
        <w:t xml:space="preserve">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cretostimogene or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the entity from which we purchased the intellectual property rights to cretostimogene were the first to invent the inventions claimed in any of our owned patents or pending patent applications, or that we or any future licensors were the first to file for patent protection of such other inventions. If a third party can establish that we were not the first to make or the first to file for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protection of such other inventions, our patents and patent applications may not issue as patents and even if issued, may be challenged and invalidated or rendered unenforceable.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 </w:t>
      </w:r>
    </w:p>
    <w:p>
      <w:pPr>
        <w:pStyle w:val="TextBody"/>
        <w:bidi w:val="0"/>
        <w:spacing w:before="240" w:after="0"/>
        <w:jc w:val="both"/>
        <w:rPr>
          <w:rFonts w:ascii="Times New Roman" w:hAnsi="Times New Roman"/>
          <w:sz w:val="20"/>
        </w:rPr>
      </w:pPr>
      <w:r>
        <w:rPr>
          <w:rFonts w:ascii="Times New Roman" w:hAnsi="Times New Roman"/>
          <w:sz w:val="20"/>
        </w:rPr>
        <w:t xml:space="preserve">Any issued patents may not afford sufficient protection of cretostimogene or any future product candidates or their intended uses against competitors, nor can there be any assurance that the issued patents will not be infringed, designed around, invalidated by third parties, or effectively prevent others from commercializing competitive technologies, products or cretostimogene or any future product candidates. Further, even if these patents are granted, they may be difficult to enforce. Obtaining and maintaining our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cretostimogene or any future product candidates could be narrowed or found invalid or unenforceable if challenged in court or before administrative bodies in the United States or other countries, including the U.S. Patent and Trademark Office (USPTO).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be inadequate to protect our competitive position on cretostimogene or any future product candidates for an adequate amount of time, and we may be subject to claims challenging the inventorship, ownership, validity, enforceability of our patents and/or other intellectual property. Changes in U.S. patent law, or laws in other countries, could diminish the value of patents in general, thereby impairing our ability to protect cretostimogene or any future product candidates. Further, if we encounter delays in our development and testing of cretostimogene or any future product candidates, clinical trials or regulatory review and approval of cretostimogene or any future product candidates, the period of time during which we could market cretostimogene or any future product candidates under patent protection may be reduced (i.e., patents protecting such product candidates might expire before or shortly after such product candidates are commercialized). Thus, our patents may not provide us with sufficient rights to exclude others from commercializing products similar or identical to ours or afford us any meaningful competitive advantage. </w:t>
      </w:r>
    </w:p>
    <w:p>
      <w:pPr>
        <w:pStyle w:val="TextBody"/>
        <w:bidi w:val="0"/>
        <w:spacing w:before="240" w:after="0"/>
        <w:jc w:val="both"/>
        <w:rPr>
          <w:rFonts w:ascii="Times New Roman" w:hAnsi="Times New Roman"/>
          <w:sz w:val="20"/>
        </w:rPr>
      </w:pPr>
      <w:r>
        <w:rPr>
          <w:rFonts w:ascii="Times New Roman" w:hAnsi="Times New Roman"/>
          <w:sz w:val="20"/>
        </w:rPr>
        <w:t xml:space="preserve">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cretostimogene or any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issuance of a patent is not conclusive as to its inventorship, ownership, scope, validity, or enforceability and our patent rights may be challenged in the courts or patent offices in the United States and abroad. We may be subject to a post-grant proceeding at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cretostimogene or any future product candidates and other proprietary technologies we may develop and compete directly with us. </w:t>
      </w:r>
    </w:p>
    <w:p>
      <w:pPr>
        <w:pStyle w:val="TextBody"/>
        <w:bidi w:val="0"/>
        <w:spacing w:before="240" w:after="0"/>
        <w:jc w:val="both"/>
        <w:rPr>
          <w:rFonts w:ascii="Times New Roman" w:hAnsi="Times New Roman"/>
          <w:sz w:val="20"/>
        </w:rPr>
      </w:pPr>
      <w:r>
        <w:rPr>
          <w:rFonts w:ascii="Times New Roman" w:hAnsi="Times New Roman"/>
          <w:sz w:val="20"/>
        </w:rPr>
        <w:t xml:space="preserve">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protect our intellectual property and proprietary rights throughout the world. </w:t>
      </w:r>
    </w:p>
    <w:p>
      <w:pPr>
        <w:pStyle w:val="TextBody"/>
        <w:bidi w:val="0"/>
        <w:spacing w:before="120" w:after="0"/>
        <w:jc w:val="both"/>
        <w:rPr>
          <w:rFonts w:ascii="Times New Roman" w:hAnsi="Times New Roman"/>
          <w:sz w:val="20"/>
        </w:rPr>
      </w:pPr>
      <w:r>
        <w:rPr>
          <w:rFonts w:ascii="Times New Roman" w:hAnsi="Times New Roman"/>
          <w:sz w:val="20"/>
        </w:rPr>
        <w:t xml:space="preserve">Filing, prosecuting, maintaining, enforcing and defending patents on cretostimogene or any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Proceedings to enforce our intellectual property and proprietary rights in the United States or other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w:t>
      </w:r>
    </w:p>
    <w:p>
      <w:pPr>
        <w:pStyle w:val="TextBody"/>
        <w:bidi w:val="0"/>
        <w:spacing w:before="240" w:after="0"/>
        <w:jc w:val="both"/>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before="120" w:after="0"/>
        <w:jc w:val="both"/>
        <w:rPr>
          <w:rFonts w:ascii="Times New Roman" w:hAnsi="Times New Roman"/>
          <w:sz w:val="20"/>
        </w:rPr>
      </w:pPr>
      <w:r>
        <w:rPr>
          <w:rFonts w:ascii="Times New Roman" w:hAnsi="Times New Roman"/>
          <w:sz w:val="20"/>
        </w:rPr>
        <w:t xml:space="preserve">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cretostimogene and any future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patent laws or their interpretations could diminish the value of patents in general, thereby impairing our ability to protect our products. </w:t>
      </w:r>
    </w:p>
    <w:p>
      <w:pPr>
        <w:pStyle w:val="TextBody"/>
        <w:bidi w:val="0"/>
        <w:spacing w:before="120" w:after="0"/>
        <w:jc w:val="both"/>
        <w:rPr>
          <w:rFonts w:ascii="Times New Roman" w:hAnsi="Times New Roman"/>
          <w:sz w:val="20"/>
        </w:rPr>
      </w:pPr>
      <w:r>
        <w:rPr>
          <w:rFonts w:ascii="Times New Roman" w:hAnsi="Times New Roman"/>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cretostimogene or any future product candidates and other proprietary technologies we may develop or (ii) invent any of the inventions claimed in our patents or patent applications. </w:t>
      </w:r>
    </w:p>
    <w:p>
      <w:pPr>
        <w:pStyle w:val="TextBody"/>
        <w:bidi w:val="0"/>
        <w:spacing w:before="240" w:after="0"/>
        <w:jc w:val="both"/>
        <w:rPr>
          <w:rFonts w:ascii="Times New Roman" w:hAnsi="Times New Roman"/>
          <w:sz w:val="20"/>
        </w:rPr>
      </w:pPr>
      <w:r>
        <w:rPr>
          <w:rFonts w:ascii="Times New Roman" w:hAnsi="Times New Roman"/>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hAnsi="Times New Roman"/>
          <w:i/>
          <w:sz w:val="20"/>
        </w:rPr>
        <w:t>Amgen v. Sanofi (2023)</w:t>
      </w:r>
      <w:r>
        <w:rPr>
          <w:rFonts w:ascii="Times New Roman" w:hAnsi="Times New Roman"/>
          <w:sz w:val="20"/>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cretostimogene and any future product candidates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 </w:t>
      </w:r>
    </w:p>
    <w:p>
      <w:pPr>
        <w:pStyle w:val="TextBody"/>
        <w:bidi w:val="0"/>
        <w:spacing w:before="360" w:after="0"/>
        <w:jc w:val="both"/>
        <w:rPr>
          <w:rFonts w:ascii="Times New Roman" w:hAnsi="Times New Roman"/>
          <w:b/>
          <w:i/>
          <w:sz w:val="20"/>
        </w:rPr>
      </w:pPr>
      <w:r>
        <w:rPr>
          <w:rFonts w:ascii="Times New Roman" w:hAnsi="Times New Roman"/>
          <w:b/>
          <w:i/>
          <w:sz w:val="20"/>
        </w:rPr>
        <w:t xml:space="preserve">Issued patents covering cretostimogene or any future product candidates could be found invalid or unenforceable if challenged in court or before administrative bodies in the United States or abroad. </w:t>
      </w:r>
    </w:p>
    <w:p>
      <w:pPr>
        <w:pStyle w:val="TextBody"/>
        <w:bidi w:val="0"/>
        <w:spacing w:before="120" w:after="0"/>
        <w:jc w:val="both"/>
        <w:rPr>
          <w:rFonts w:ascii="Times New Roman" w:hAnsi="Times New Roman"/>
          <w:sz w:val="20"/>
        </w:rPr>
      </w:pPr>
      <w:r>
        <w:rPr>
          <w:rFonts w:ascii="Times New Roman" w:hAnsi="Times New Roman"/>
          <w:sz w:val="20"/>
        </w:rPr>
        <w:t xml:space="preserve">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If we initiate legal proceedings against a third party to enforce a patent covering cretostimogene or any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patent rights or any patent rights we may obtain or license in the future in such a way that they no longer cover cretostimogene or any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cretostimogene or any future product candidates. Such a loss of patent protection would have a material adverse impact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Patent terms may be inadequate to protect the competitive position of cretostimogene or any future product candidates for an adequate amount of time. </w:t>
      </w:r>
    </w:p>
    <w:p>
      <w:pPr>
        <w:pStyle w:val="TextBody"/>
        <w:bidi w:val="0"/>
        <w:spacing w:before="120" w:after="0"/>
        <w:jc w:val="both"/>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cretostimogene or any future product candidates are obtained, once the patent has expired, we may be vulnerable to competition from competitive products, including generics. Given the amount of time required for the development, testing and regulatory review of cretostimogene or any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do not obtain patent term extension and equivalent extensions outside of the United States for cretostimogene or any future product candidates, our business may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Depending upon the timing, duration and specifics of any FDA regulatory approval of cretostimogene or any future product candidates,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We may be subject to claims that former employees, consultants, licensees, collaborators or other third parties have an interest in our patent rights, trade secrets, or other intellectual property as an inventor, co-inventor or owner of trade secrets. For example, we may have inventorship or ownership disputes arise from conflicting obligations of consultants or others who are involved in developing cretostimogene or any future product candidates and other proprietary technologies we may develop. Litigation may be necessary to defend against these and other claims challenging inventorship or ownership or our patent rights, trade secrets or other intellectual property. If we fail in defending any such claims, in addition to paying monetary damages, we may lose valuable intellectual property rights, such as ownership of, or the right to use intellectual property that is important to cretostimogene or any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seeking patent protection for cretostimogene or any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w:t>
      </w:r>
    </w:p>
    <w:p>
      <w:pPr>
        <w:pStyle w:val="TextBody"/>
        <w:bidi w:val="0"/>
        <w:spacing w:before="240" w:after="0"/>
        <w:jc w:val="both"/>
        <w:rPr>
          <w:rFonts w:ascii="Times New Roman" w:hAnsi="Times New Roman"/>
          <w:sz w:val="20"/>
        </w:rPr>
      </w:pPr>
      <w:r>
        <w:rPr>
          <w:rFonts w:ascii="Times New Roman" w:hAnsi="Times New Roman"/>
          <w:sz w:val="20"/>
        </w:rPr>
        <w:t xml:space="preserve">We may be subject to claims that third parties have an ownership interest in our trade secrets. For example, we may have disputes arise from conflicting obligations of our employees, consultants or others who are involved in developing cretostimogene or any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cretostimogene or any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to execute agreements assigning such intellectual property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cretostimogene or any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cretostimogene or any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cretostimogene or any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cretostimogene or any future product candidate.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cretostimogene or any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cretostimogene or any future product candidates that are held to be infringing. We might, if possible, also be forced to redesign cretostimogene or any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Third-party claims of intellectual property infringement, misappropriation, or other violations against us or our collaborators could be expensive and time consuming and may prevent or delay the development and commercialization of cretostimogene or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t>
      </w:r>
    </w:p>
    <w:p>
      <w:pPr>
        <w:pStyle w:val="TextBody"/>
        <w:bidi w:val="0"/>
        <w:spacing w:before="240" w:after="0"/>
        <w:jc w:val="both"/>
        <w:rPr>
          <w:rFonts w:ascii="Times New Roman" w:hAnsi="Times New Roman"/>
          <w:sz w:val="20"/>
        </w:rPr>
      </w:pPr>
      <w:r>
        <w:rPr>
          <w:rFonts w:ascii="Times New Roman" w:hAnsi="Times New Roman"/>
          <w:sz w:val="20"/>
        </w:rPr>
        <w:t xml:space="preserve">Numerous U.S. and foreign-issued patents and pending patent applications owned by third parties exist in the fields in which we plan to commercialize our therapeutic programs and in which we are developing other proprietary technologies.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cannot guarantee that our therapeutic programs and other proprietary technologies we develop will not infringe existing or future patents owned by third parties. We may not be aware of patents that have already been issued for which a third party, such as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cretostimogene or any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cretostimogene or any future product candidates or the use of cretostimogene or any such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cretostimogene or any future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become involved in lawsuits to protect or enforce our patents and other intellectual property rights, which could be expensive, time-consuming, and unsuccessful. </w:t>
      </w:r>
    </w:p>
    <w:p>
      <w:pPr>
        <w:pStyle w:val="TextBody"/>
        <w:bidi w:val="0"/>
        <w:spacing w:before="120" w:after="0"/>
        <w:jc w:val="both"/>
        <w:rPr>
          <w:rFonts w:ascii="Times New Roman" w:hAnsi="Times New Roman"/>
          <w:sz w:val="20"/>
        </w:rPr>
      </w:pPr>
      <w:r>
        <w:rPr>
          <w:rFonts w:ascii="Times New Roman" w:hAnsi="Times New Roman"/>
          <w:sz w:val="20"/>
        </w:rPr>
        <w:t xml:space="preserve">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cretostimogene or any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both"/>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be able to make products that are similar to cretostimogene or any future product candidates or utilize similar technology but that are not covered by the claims of the patents that we own or may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make the inventions covered by our current or future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file patent applications covering our or their inventions;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is possible that our pending and future patent applications that we own or may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issued patent that we own or license in the future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patents or other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choose not to file for patent protection in order to maintain certain trade secrets or know-how, and a third party may subsequently file a patent application covering such intellectual property or disclose information resulting in a loss of protection for such trade secret.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Should any of the foregoing occur, it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successful in obtaining or maintaining necessary rights to product components and processes for our development pipeline through acquisitions and in-licenses. </w:t>
      </w:r>
    </w:p>
    <w:p>
      <w:pPr>
        <w:pStyle w:val="TextBody"/>
        <w:bidi w:val="0"/>
        <w:spacing w:before="120" w:after="0"/>
        <w:jc w:val="both"/>
        <w:rPr>
          <w:rFonts w:ascii="Times New Roman" w:hAnsi="Times New Roman"/>
          <w:sz w:val="20"/>
        </w:rPr>
      </w:pPr>
      <w:r>
        <w:rPr>
          <w:rFonts w:ascii="Times New Roman" w:hAnsi="Times New Roman"/>
          <w:sz w:val="20"/>
        </w:rPr>
        <w:t xml:space="preserve">The growth of our business may depend in part on our ability to acquire, in-license or use third-party intellectual property and proprietary rights. For example, cretostimogene or any future product candidates may 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license, it may be non-exclusive, and our competitors may also receive access to the same technologies licensed to us. </w:t>
      </w:r>
    </w:p>
    <w:p>
      <w:pPr>
        <w:pStyle w:val="TextBody"/>
        <w:bidi w:val="0"/>
        <w:spacing w:before="240" w:after="0"/>
        <w:jc w:val="both"/>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cretostimogene or any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cretostimogene or any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240" w:after="0"/>
        <w:jc w:val="both"/>
        <w:rPr>
          <w:rFonts w:ascii="Times New Roman" w:hAnsi="Times New Roman"/>
          <w:b/>
          <w:i/>
          <w:sz w:val="20"/>
        </w:rPr>
      </w:pPr>
      <w:r>
        <w:rPr>
          <w:rFonts w:ascii="Times New Roman" w:hAnsi="Times New Roman"/>
          <w:b/>
          <w:i/>
          <w:sz w:val="20"/>
        </w:rPr>
        <w:t xml:space="preserve">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Although we have applied to list our common stock on the Nasdaq, an active trading market for 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completion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both"/>
        <w:rPr>
          <w:rFonts w:ascii="Times New Roman" w:hAnsi="Times New Roman"/>
          <w:sz w:val="20"/>
        </w:rPr>
      </w:pPr>
      <w:r>
        <w:rPr>
          <w:rFonts w:ascii="Times New Roman" w:hAnsi="Times New Roman"/>
          <w:sz w:val="20"/>
        </w:rPr>
        <w:t xml:space="preserve">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our clinical trials and preclinical studies, and the results of trials of our competitors or those of other companies in our market sector;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our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regulatory approval of cretostimogene or any future product candidates or additional indications thereof, or limitations to specific label indications or patient populations for its use, or changes or delays in the regulatory review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or failure of our efforts to develop, acquire, or license cretostimogene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innovations, clinical trial results, product approvals and other developments regarding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significant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manufacturing, supply, or distribution delays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changes to our relationship with any manufacturers, suppliers, collaborators or other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achievement of expected product sales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variations in our financial results or development timelines or those of companies that are perceived to be similar to us, including variations from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biopharmaceutical sector and issuance of securities analysts reports or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our stock by us, our insiders or our stockholders, as well as the anticipation of lock-up releases or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geopolitical and market conditions, such as military conflict or war, inflation and financial institution instability, or pandemic or epidemic disease outbreaks, many of which are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additions or departures of senior management, directors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intellectual property, product liability or other litigation against us or our inability to enforce our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our capital structure, such as future issuances of securities and the incurrence of additional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 will suffer immediate and substantial dilution in the net tangible book value of the common stock you purchase in this offering. </w:t>
      </w:r>
    </w:p>
    <w:p>
      <w:pPr>
        <w:pStyle w:val="TextBody"/>
        <w:bidi w:val="0"/>
        <w:spacing w:before="120" w:after="0"/>
        <w:jc w:val="both"/>
        <w:rPr>
          <w:rFonts w:ascii="Times New Roman" w:hAnsi="Times New Roman"/>
          <w:sz w:val="20"/>
        </w:rPr>
      </w:pPr>
      <w:r>
        <w:rPr>
          <w:rFonts w:ascii="Times New Roman" w:hAnsi="Times New Roman"/>
          <w:sz w:val="20"/>
        </w:rPr>
        <w:t xml:space="preserve">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 immediate dilution of approximately $10.11 per share, assuming an initial public offering price of $17.00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After this offering, our executive officers, directors, and principal stockholders, if they choose to act together, will continue to have the ability to significantly influence all matters submitted to stockholders for approval.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completion of this offering, our executive officers, directors and greater than 5% stockholders, in the aggregate, will own approximately 46.2% of our outstanding common stock (assuming no exercise of the underwriters over-allotment option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do not currently intend to pay dividends on our common stock, so any returns on your investment will be limited to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Sales of a substantial number of shares of our common stock by our existing stockholders in the public market could cause our stock price to fall.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on shares of common stock outstanding as of September 30, 2023, upon the completion of this offering, we will have a total of 55,282,511 shares of common stock outstanding, assuming no exercise of the underwriters over-allotment option and no exercise of outstanding options. Of these shares, only the 11,800,000 shares of common stock sold in this offering by us, plus any shares sold upon exercise of the underwriters over-allotment option, will be freely tradable, without restriction, in the public market immediately following this offering, unless they are purchased by one of our affiliates. </w:t>
      </w:r>
    </w:p>
    <w:p>
      <w:pPr>
        <w:pStyle w:val="TextBody"/>
        <w:bidi w:val="0"/>
        <w:spacing w:before="240" w:after="0"/>
        <w:jc w:val="both"/>
        <w:rPr>
          <w:rFonts w:ascii="Times New Roman" w:hAnsi="Times New Roman"/>
          <w:sz w:val="20"/>
        </w:rPr>
      </w:pPr>
      <w:r>
        <w:rPr>
          <w:rFonts w:ascii="Times New Roman" w:hAnsi="Times New Roman"/>
          <w:sz w:val="20"/>
        </w:rPr>
        <w:t xml:space="preserve">Our directors and executive officers and substantially all of our securityholders have entered into lock-up agreements with the representatives pursuant to which they may not, with limited exceptions, for a period of 180 days from the date of this prospectus, offer, sell or otherwise transfer or dispose of any of our securities, without the prior written consent of Morgan Stanley &amp; Co. LLC and Goldman Sachs &amp; Co. LLC. The underwriters may permit our officers, directors and other securityholders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up to an additional 43,636,185 shares of common stock will be eligible for sale in the public market, of which 9,887,099 shares will be held by directors, executive officers and other affiliates and will be subject to volume limitations under Rule 144 under the Securities Act, in each case based on shares of common stock outstanding as of September 30, 2023 and without giving effect to any potential purchases by such persons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of September 30, 2023, 4,688,990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w:t>
      </w:r>
    </w:p>
    <w:p>
      <w:pPr>
        <w:pStyle w:val="TextBody"/>
        <w:bidi w:val="0"/>
        <w:spacing w:before="240" w:after="0"/>
        <w:jc w:val="both"/>
        <w:rPr>
          <w:rFonts w:ascii="Times New Roman" w:hAnsi="Times New Roman"/>
          <w:sz w:val="20"/>
        </w:rPr>
      </w:pPr>
      <w:r>
        <w:rPr>
          <w:rFonts w:ascii="Times New Roman" w:hAnsi="Times New Roman"/>
          <w:sz w:val="20"/>
        </w:rPr>
        <w:t xml:space="preserve">After this offering, the holders of 38,413,913 shares of our outstanding common stock, or approximately 69.5% of our total outstanding common stock based on shares outstanding as of September 30,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in the assessment of our internal control over financial reporting pursuant to the Sarbanes-Oxley Act of 2002 (Sarbanes-Oxley);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shareholder approval of any golden parachute payments not previously approved.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both"/>
        <w:rPr>
          <w:rFonts w:ascii="Times New Roman" w:hAnsi="Times New Roman"/>
          <w:b/>
          <w:i/>
          <w:sz w:val="20"/>
        </w:rPr>
      </w:pPr>
      <w:r>
        <w:rPr>
          <w:rFonts w:ascii="Times New Roman" w:hAnsi="Times New Roman"/>
          <w:b/>
          <w:i/>
          <w:sz w:val="20"/>
        </w:rPr>
        <w:t xml:space="preserve">Provisions in our charter documents and under Delaware law could discourage a takeover that stockholders may consider favorable and may lead to entrenchment of management.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amended and restated bylaws that will be in effect immediately prior to the completion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classified board of directors with three-year staggered terms, which may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required approval of at least 66-2/3% of the shares entitled to vote to remove a director for cause, and the prohibition on removal of directors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our board of directors to alter our amended and restated bylaws without obtaining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required approval of at least 66-2/3% of the shares entitled to vote to adopt, amend or repeal our amended and restated bylaws or repeal the provisions of our amended and restated certificate of incorporation regarding the election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exclusive forum provision providing that the Court of Chancery of the State of Delaware will be the exclusive forum for certain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requirement that a special meeting of stockholders may be called only by the board of directors, which may delay the ability of our stockholders to force consideration of a proposal or to take action, including the removal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 </w:t>
      </w:r>
    </w:p>
    <w:p>
      <w:pPr>
        <w:pStyle w:val="TextBody"/>
        <w:bidi w:val="0"/>
        <w:spacing w:before="120" w:after="0"/>
        <w:jc w:val="both"/>
        <w:rPr>
          <w:rFonts w:ascii="Times New Roman" w:hAnsi="Times New Roman"/>
          <w:sz w:val="20"/>
        </w:rPr>
      </w:pPr>
      <w:r>
        <w:rPr>
          <w:rFonts w:ascii="Times New Roman" w:hAnsi="Times New Roman"/>
          <w:sz w:val="20"/>
        </w:rPr>
        <w:t xml:space="preserve">Our current amended and restated certificate of incorporation provides, and our amended and restated certificate of incorporation that will be in effect immediately prior to the completion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certificate of incorporation to be inapplicable or unenforceable in an action, we may incur additional costs associated with resolving such action in other jurisdictions, which could adversely affect our business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Participation in this offering by our existing stockholders and/or their affiliated entities may reduce the public float for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will incur significant increased costs as a result of operating as a public company, and our management will be required to devote substantial time to new compliance initiatives.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0"/>
        <w:jc w:val="both"/>
        <w:rPr>
          <w:rFonts w:ascii="Times New Roman" w:hAnsi="Times New Roman"/>
          <w:sz w:val="20"/>
        </w:rPr>
      </w:pPr>
      <w:r>
        <w:rPr>
          <w:rFonts w:ascii="Times New Roman" w:hAnsi="Times New Roman"/>
          <w:sz w:val="20"/>
        </w:rPr>
        <w:t xml:space="preserve">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We could face criminal liability and other serious consequences for violations, which could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w:t>
      </w:r>
    </w:p>
    <w:p>
      <w:pPr>
        <w:pStyle w:val="TextBody"/>
        <w:bidi w:val="0"/>
        <w:spacing w:before="240" w:after="0"/>
        <w:jc w:val="both"/>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both"/>
        <w:rPr>
          <w:rFonts w:ascii="Times New Roman" w:hAnsi="Times New Roman"/>
          <w:sz w:val="20"/>
        </w:rPr>
      </w:pPr>
      <w:r>
        <w:rPr>
          <w:rFonts w:ascii="Times New Roman" w:hAnsi="Times New Roman"/>
          <w:sz w:val="20"/>
        </w:rPr>
        <w:t xml:space="preserve">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any of our third-party manufacturers or suppliers may use potent chemical agents and hazardous materials, and any claims relating to improper handling, storage, or disposal of these materials could be time-consuming or costly. </w:t>
      </w:r>
    </w:p>
    <w:p>
      <w:pPr>
        <w:pStyle w:val="TextBody"/>
        <w:bidi w:val="0"/>
        <w:spacing w:before="120" w:after="0"/>
        <w:jc w:val="both"/>
        <w:rPr>
          <w:rFonts w:ascii="Times New Roman" w:hAnsi="Times New Roman"/>
          <w:sz w:val="20"/>
        </w:rPr>
      </w:pPr>
      <w:r>
        <w:rPr>
          <w:rFonts w:ascii="Times New Roman" w:hAnsi="Times New Roman"/>
          <w:sz w:val="20"/>
        </w:rPr>
        <w:t xml:space="preserve">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laws and regulations also may result in substantial fines, penalties or other sanctions or liabilities, which could materially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cretostimogene or any future product candidates and its components and on CROs and clinical sites to conduct our clinical trials, and do not have a redundant source of supply for all components of cretostimogene or any future product candidates. Our ability to obtain clinical or, if approved, commercial, supplies of cretostimogene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Irvine,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before="240" w:after="0"/>
        <w:jc w:val="both"/>
        <w:rPr>
          <w:rFonts w:ascii="Times New Roman" w:hAnsi="Times New Roman"/>
          <w:b/>
          <w:i/>
          <w:sz w:val="20"/>
        </w:rPr>
      </w:pPr>
      <w:r>
        <w:rPr>
          <w:rFonts w:ascii="Times New Roman" w:hAnsi="Times New Roman"/>
          <w:b/>
          <w:i/>
          <w:sz w:val="20"/>
        </w:rPr>
        <w:t xml:space="preserve">Unstable market and economic conditions and adverse developments with respect to financial institutions and associated liquidity risk may have serious adverse consequences on our business, financial condition and stock price.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Changes in tax law may materially adversely affect our financial condition, results of operations and cash flows, or adversely impact the value of an investment in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or interpreted, changed, modified or applied adversely to us, any of which could adversely affect our business operations and financial performance.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securities or industry analysts do not publish research or reports or publish unfavorable research or reports about our business, our stock price and trading volume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fail to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120" w:after="0"/>
        <w:jc w:val="both"/>
        <w:rPr>
          <w:rFonts w:ascii="Times New Roman" w:hAnsi="Times New Roman"/>
          <w:sz w:val="20"/>
        </w:rPr>
      </w:pPr>
      <w:r>
        <w:rPr>
          <w:rFonts w:ascii="Times New Roman" w:hAnsi="Times New Roman"/>
          <w:sz w:val="20"/>
        </w:rPr>
        <w:t xml:space="preserve">Pursuant to Section 404 of Sarbanes-Oxley, our management will be required to report upon the effectiveness of our internal control over financial reporting beginning with the second annual report following the completion of this offering.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both"/>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551455_3"/>
      <w:bookmarkEnd w:id="5"/>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under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551455_4"/>
      <w:bookmarkEnd w:id="6"/>
      <w:r>
        <w:rPr>
          <w:rFonts w:ascii="Times New Roman" w:hAnsi="Times New Roman"/>
          <w:b/>
          <w:sz w:val="20"/>
        </w:rPr>
        <w:t xml:space="preserve">MARKET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551455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to us from this offering will be approximately $181.1 million (or approximately $209.0 million if the underwriters exercise their over-allotment option in full), based on the assumed initial public offering price of $17.00 per share, which is the midpoint of the price range set forth on the cover page of this prospectus, and after deducting the estimated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$17.00 per share, which is the midpoint of the price range set forth on the cover page of this prospectus, would increase or decrease, as applicable, the net proceeds to us from this offering by approximately $11.0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after deducting the estimated underwriting discounts and commissions and estimated offering expenses payable by us, by approximately $15.8 million, assuming the assumed initial public offering price stays the same. The information discussed above is illustrative only and will adjust based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Combined with our cash, cash equivalents and marketable securities as of January 1, 2024, this additional $181.1 million will provide for capital resources of approximately $368.7 million. This estimate of our capital resources was prepared by management based upon internal reporting, is preliminary and unaudited, and may be revised as a result of managements further review of our results as of and for the year ended December 31, 2023, as well as the actual net proceeds received from this offering. We have not yet completed our normal audit procedures as of and for the year ended December 31, 2023.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this offering are to obtain additional capital to support our operations, to create a public market for our common stock and to facilitate our future access to the public equity markets. We currently intend to use approximately $155.0 million of the net proceeds from this offering, together with our existing cash, cash equivalents and marketable securities, to fund the research and development of cretostimogene, including certain manufacturing activities, and the remainder, if any, for working capital and other general corporate purposes, including pre-commercial activities. We expect the net proceeds from this offering and our existing cash, cash equivalents and marketable securities will allow us to complete the ongoing BOND-003 and CORE-001 clinical trials, complete enrollment for the PIVOT-006 clinical trial, and initiate and report topline data for our planned CORE-008 clinical trial. </w:t>
      </w:r>
    </w:p>
    <w:p>
      <w:pPr>
        <w:pStyle w:val="TextBody"/>
        <w:bidi w:val="0"/>
        <w:spacing w:before="240" w:after="0"/>
        <w:jc w:val="both"/>
        <w:rPr>
          <w:rFonts w:ascii="Times New Roman" w:hAnsi="Times New Roman"/>
          <w:sz w:val="20"/>
        </w:rPr>
      </w:pPr>
      <w:r>
        <w:rPr>
          <w:rFonts w:ascii="Times New Roman" w:hAnsi="Times New Roman"/>
          <w:sz w:val="20"/>
        </w:rPr>
        <w:t xml:space="preserve">We may also use a portion of the remaining net proceeds and our existing cash, cash equivalents and marketable securities to in-license, acquire, or invest in complementary businesses, technologies, products or assets. However, we have no current commitments or obligations to do so. </w:t>
      </w:r>
    </w:p>
    <w:p>
      <w:pPr>
        <w:pStyle w:val="TextBody"/>
        <w:bidi w:val="0"/>
        <w:spacing w:before="240" w:after="0"/>
        <w:jc w:val="both"/>
        <w:rPr>
          <w:rFonts w:ascii="Times New Roman" w:hAnsi="Times New Roman"/>
          <w:sz w:val="20"/>
        </w:rPr>
      </w:pPr>
      <w:r>
        <w:rPr>
          <w:rFonts w:ascii="Times New Roman" w:hAnsi="Times New Roman"/>
          <w:sz w:val="20"/>
        </w:rPr>
        <w:t xml:space="preserve">We believe, based on our current operating plan, that the net proceeds from this offering, together with our existing cash, cash equivalents and marketable securities, will be sufficient to fund our operations into the second half of 2027. We have based these estimates on assumptions that may prove to be wrong, and we could use our capital resources sooner than we currently expect. Additionally, our expected use of existing cash, cash equivalents and marketable securities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as well as the progress of any current or future collaborations that we may enter into with third parties for cretostimogene and any future product candidates, and the amount of cash used in our operations and any unforeseen cash needs as well as other factors described in the sections titled Risk Factors, Managements Discussion and Analysis of Financial Condition and Results of Operations and Special Note Regarding Forward-Looking Statements. The net proceeds from this offering, together with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existing cash, cash equivalents, and marketable securities will not be sufficient to complete development in all potential indications of cretostimogene and any future product candidates, and after this offering, we will require substantial capital in order to advance cretostimogene and any future product candidates through clinical trials, regulatory approval and commercialization. Until such time, if ever, as we can generate substantial product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w:t>
      </w:r>
    </w:p>
    <w:p>
      <w:pPr>
        <w:pStyle w:val="TextBody"/>
        <w:bidi w:val="0"/>
        <w:spacing w:before="24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Pending the uses described above, we plan to invest the net proceeds in a variety of capital preservation instruments, including short-term, interest-bearing obligations, investment-grade instruments, certificates of deposit and direct or guaranteed obligations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551455_6"/>
      <w:bookmarkEnd w:id="8"/>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551455_7"/>
      <w:bookmarkEnd w:id="9"/>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cash, cash equivalents and marketable securities and capitalization as of September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to reflect (i) the automatic conversion of all outstanding shares of our redeemable convertible preferred stock into 38,413,913 shares of our common stock and the related reclassification of the carrying value of the redeemable convertible preferred stock to permanent equity immediately prior to the closing of this offering, and (ii) the filing and effectiveness of our amended and restated certificate of incorporation immediately prior to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to give further effect to our issuance and sale of 11,800,000 shares of our common stock in this offering at an assumed initial public offering price of $17.00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2"/>
        <w:gridCol w:w="312"/>
        <w:gridCol w:w="174"/>
        <w:gridCol w:w="1120"/>
        <w:gridCol w:w="192"/>
        <w:gridCol w:w="277"/>
        <w:gridCol w:w="174"/>
        <w:gridCol w:w="1120"/>
        <w:gridCol w:w="192"/>
        <w:gridCol w:w="276"/>
        <w:gridCol w:w="234"/>
        <w:gridCol w:w="1462"/>
        <w:gridCol w:w="160"/>
      </w:tblGrid>
      <w:tr>
        <w:trPr/>
        <w:tc>
          <w:tcPr>
            <w:tcW w:w="4512"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1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5221" w:type="dxa"/>
            <w:gridSpan w:val="10"/>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September 30, 2023</w:t>
            </w:r>
          </w:p>
        </w:tc>
        <w:tc>
          <w:tcPr>
            <w:tcW w:w="160"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Adjusted(1)</w:t>
            </w:r>
          </w:p>
        </w:tc>
        <w:tc>
          <w:tcPr>
            <w:tcW w:w="160"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5221" w:type="dxa"/>
            <w:gridSpan w:val="10"/>
            <w:tcBorders/>
            <w:vAlign w:val="bottom"/>
          </w:tcPr>
          <w:p>
            <w:pPr>
              <w:pStyle w:val="TableContents"/>
              <w:bidi w:val="0"/>
              <w:spacing w:before="0" w:after="283"/>
              <w:jc w:val="center"/>
              <w:rPr>
                <w:b/>
              </w:rPr>
            </w:pPr>
            <w:r>
              <w:rPr>
                <w:b/>
              </w:rPr>
              <w:t>(in thousands, except par value and share data)</w:t>
            </w:r>
          </w:p>
        </w:tc>
        <w:tc>
          <w:tcPr>
            <w:tcW w:w="160"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center"/>
              <w:rPr>
                <w:b/>
              </w:rPr>
            </w:pPr>
            <w:r>
              <w:rPr>
                <w:b/>
              </w:rPr>
              <w:t>(unaudited)</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31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203,749</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203,749</w:t>
            </w:r>
          </w:p>
        </w:tc>
        <w:tc>
          <w:tcPr>
            <w:tcW w:w="192"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462" w:type="dxa"/>
            <w:tcBorders/>
            <w:shd w:fill="CCEEFF" w:val="clear"/>
            <w:vAlign w:val="bottom"/>
          </w:tcPr>
          <w:p>
            <w:pPr>
              <w:pStyle w:val="TableContents"/>
              <w:bidi w:val="0"/>
              <w:spacing w:before="0" w:after="283"/>
              <w:jc w:val="right"/>
              <w:rPr/>
            </w:pPr>
            <w:r>
              <w:rPr/>
              <w:t>384,807</w:t>
            </w:r>
          </w:p>
        </w:tc>
        <w:tc>
          <w:tcPr>
            <w:tcW w:w="160" w:type="dxa"/>
            <w:tcBorders/>
            <w:shd w:fill="CCEEFF" w:val="clear"/>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46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337,928,674 shares authorized, issued and outstanding, actual; no shares authorized, issued and outstanding, pro forma, and pro forma as adjusted</w:t>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307,890</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46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31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no shares authorized, issued and outstanding, actual; 70,000,000 shares authorized and no shares issued and outstanding, pro forma and pro forma as adjusted</w:t>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4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493,530,000 shares authorized, 5,068,598 shares issued and outstanding, actual; 700,000,000 shares authorized, 43,482,511 shares issued and outstanding, pro forma; 700,000,000 shares authorized, 55,282,511 shares issued and outstanding, pro forma as adjusted</w:t>
            </w:r>
          </w:p>
        </w:tc>
        <w:tc>
          <w:tcPr>
            <w:tcW w:w="31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w:t>
            </w:r>
          </w:p>
        </w:tc>
        <w:tc>
          <w:tcPr>
            <w:tcW w:w="192"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5,802</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313,689</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494,745</w:t>
            </w:r>
          </w:p>
        </w:tc>
        <w:tc>
          <w:tcPr>
            <w:tcW w:w="160"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(113,826</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(113,826</w:t>
            </w:r>
          </w:p>
        </w:tc>
        <w:tc>
          <w:tcPr>
            <w:tcW w:w="192"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(113,826</w:t>
            </w:r>
          </w:p>
        </w:tc>
        <w:tc>
          <w:tcPr>
            <w:tcW w:w="160" w:type="dxa"/>
            <w:tcBorders/>
            <w:shd w:fill="CCEEFF" w:val="clear"/>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(108,023</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199,867</w:t>
            </w:r>
          </w:p>
        </w:tc>
        <w:tc>
          <w:tcPr>
            <w:tcW w:w="19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462" w:type="dxa"/>
            <w:tcBorders/>
            <w:vAlign w:val="bottom"/>
          </w:tcPr>
          <w:p>
            <w:pPr>
              <w:pStyle w:val="TableContents"/>
              <w:bidi w:val="0"/>
              <w:spacing w:before="0" w:after="283"/>
              <w:jc w:val="right"/>
              <w:rPr/>
            </w:pPr>
            <w:r>
              <w:rPr/>
              <w:t>380,925</w:t>
            </w:r>
          </w:p>
        </w:tc>
        <w:tc>
          <w:tcPr>
            <w:tcW w:w="160" w:type="dxa"/>
            <w:tcBorders/>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1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199,867</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199,867</w:t>
            </w:r>
          </w:p>
        </w:tc>
        <w:tc>
          <w:tcPr>
            <w:tcW w:w="192"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462" w:type="dxa"/>
            <w:tcBorders/>
            <w:shd w:fill="CCEEFF" w:val="clear"/>
            <w:vAlign w:val="bottom"/>
          </w:tcPr>
          <w:p>
            <w:pPr>
              <w:pStyle w:val="TableContents"/>
              <w:bidi w:val="0"/>
              <w:spacing w:before="0" w:after="283"/>
              <w:jc w:val="right"/>
              <w:rPr/>
            </w:pPr>
            <w:r>
              <w:rPr/>
              <w:t>380,925</w:t>
            </w:r>
          </w:p>
        </w:tc>
        <w:tc>
          <w:tcPr>
            <w:tcW w:w="160" w:type="dxa"/>
            <w:tcBorders/>
            <w:shd w:fill="CCEEFF" w:val="clear"/>
            <w:vAlign w:val="bottom"/>
          </w:tcPr>
          <w:p>
            <w:pPr>
              <w:pStyle w:val="TableContents"/>
              <w:bidi w:val="0"/>
              <w:spacing w:before="0" w:after="283"/>
              <w:jc w:val="left"/>
              <w:rPr/>
            </w:pPr>
            <w:r>
              <w:rPr/>
              <w:t> </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46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Each $1.00 increase or decrease in the assumed initial public offering price of $17.00 per share, which is the midpoint of the price range set forth on the cover page of this prospectus, would increase or decrease, as applicable, the pro forma as adjusted amount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of our cash, cash equivalents and marketable securities, additional paid-in capital, total stockholders (deficit) equity and total capitalization by approximately $11.0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$17.00 per share would increase or decrease, as applicable, the pro forma as adjusted amount of each of our cash, cash equivalents and marketable securities, additional paid-in capital, total stockholders (deficit) equity and total capitalization by approximately $15.8 million,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over-allotment option is exercised in full, our pro forma as adjusted cash, cash equivalents and marketable securities, additional paid-in capital, total stockholders (deficit) equity, and total capitalization as of September 30, 2023, would be $412.8 million, $522.7 million, $408.9 million, and $408.9 million,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our common stock issued and outstanding, pro forma and pro forma as adjusted, in the table above is based on 43,482,511 shares of our common stock outstanding as of September 30, 2023, after giving effect to the automatic conversion of all outstanding shares of our redeemable convertible preferred stock into 38,413,913 shares of our common stock immediately prior to the closing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4,688,990 shares of common stock issuable upon the exercise of stock options outstanding as of September 30, 2023, with a weighted-average exercise price of $3.05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1,029,871 shares of common stock issuable upon the exercise of stock options granted subsequent to September 30, 2023, with a weighted-average exercise price of $8.57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494,807 shares of common stock issuable upon the exercise of the IPO Grants to be granted in connection with this offering under our 2024 Plan, which will become effective in connection with this offering, to certain of our employees at an exercise price equal to the initial public offering price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2024 Plan (which number includes the IPO Grants), which will become effective in connection with this offering, which will equal the sum of (1) a number of shares equal to 10%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ESPP), plus (2) 124,136 shares of common stock remaining available for future issuance under our 2022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ESPP, which will become effective in connection with this offering, which will equal the sum of (1)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ESPP), plus (2) any potential evergreen increases pursuant to the terms of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551455_8"/>
      <w:bookmarkEnd w:id="10"/>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our historical net tangible book value (deficit) was $(108.0) million, or $(21.31) per share of our common stock, based on 5,068,598 shares of common stock issued and outstanding as of such date. Our historical net tangible book value per share represents total tangible assets less total liabilities and redeemable convertible preferred stock, which is not included within permanent equity, divided by the number of shares of common stock outstanding at September 30, 2023. </w:t>
      </w:r>
    </w:p>
    <w:p>
      <w:pPr>
        <w:pStyle w:val="TextBody"/>
        <w:bidi w:val="0"/>
        <w:spacing w:before="240" w:after="0"/>
        <w:jc w:val="both"/>
        <w:rPr>
          <w:rFonts w:ascii="Times New Roman" w:hAnsi="Times New Roman"/>
          <w:sz w:val="20"/>
        </w:rPr>
      </w:pPr>
      <w:r>
        <w:rPr>
          <w:rFonts w:ascii="Times New Roman" w:hAnsi="Times New Roman"/>
          <w:sz w:val="20"/>
        </w:rPr>
        <w:t xml:space="preserve">On a pro forma basis, after giving effect to the automatic conversion of all outstanding shares of our redeemable convertible preferred stock into 38,413,913 shares of our common stock and the related reclassification of the carrying value of the redeemable convertible preferred stock to permanent equity immediately prior to the closing of this offering, our pro forma net tangible book value as of September 30, 2023 would have been approximately $199.9 million, or approximately $4.60 per share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the sale and issuance of 11,800,000 shares of our common stock in this offering at an assumed initial public offering price of $17.00 per share, which is the midpoint of the price range set forth on the cover page of this prospectus, and after deducting the estimated underwriting discounts and commissions and estimated offering expenses payable by us, our pro forma as adjusted net tangible book value as of September 30, 2023 would have been approximately $380.9 million, or approximately $6.89 per share. This amount represents an immediate increase in pro forma as adjusted net tangible book value of approximately $2.29 per share to our existing stockholders and an immediate dilution in pro forma as adjusted net tangible book value of approximately $10.11 per share to new investors purchasing shares of common stock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9"/>
        <w:gridCol w:w="322"/>
        <w:gridCol w:w="140"/>
        <w:gridCol w:w="733"/>
        <w:gridCol w:w="155"/>
        <w:gridCol w:w="322"/>
        <w:gridCol w:w="140"/>
        <w:gridCol w:w="560"/>
        <w:gridCol w:w="64"/>
      </w:tblGrid>
      <w:tr>
        <w:trPr/>
        <w:tc>
          <w:tcPr>
            <w:tcW w:w="776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(deficit) per share as of September 30, 2023</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increase in historical net tangible book value per share as of September 30, 2023 attributable to the pro forma adjustments described above</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25.91</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September 30, 2023</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4.60</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participating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6.89</w:t>
            </w:r>
          </w:p>
        </w:tc>
        <w:tc>
          <w:tcPr>
            <w:tcW w:w="64"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10.11</w:t>
            </w:r>
          </w:p>
        </w:tc>
        <w:tc>
          <w:tcPr>
            <w:tcW w:w="64"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$17.00 per share, which is the midpoint of the price range set forth on the cover page of this prospectus, would increase or decrease, as applicable, the pro forma as adjusted net tangible book value per share after this offering by approximately $0.20 per share, and dilution in pro forma as adjusted net tangible book value per share to new investors by approximately $0.80 per share, assuming that the number of shares offered by us, as set forth on the cover page of this prospectus, remains the same and after deducting the estimated underwriting discounts and commissions and the estimated offering expenses payable by us. Each increase or decrease of 1.0 million shares in the number of shares of common stock offered by us would increase or decrease, as applicable, our pro forma as adjusted net tangible book value per share after this offering by approximately $0.16 per share and decrease or increase,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applicable, the dilution to investors participating in this offering by approximately $0.16 per share, assuming that the assumed initial public offering price of $17.00 per share remains the same, and after deducting the estimated underwriting discounts and commissions and the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over-allotment option in full in this offering, the pro forma as adjusted net tangible book value after the offering would be approximately $7.17 per share, the increase in pro forma as adjusted net tangible book value per share to existing stockholders would be approximately $0.28 per share and the dilution per share to investors in this offering would be $9.83 per share, in each case assuming an initial public offering price of $17.00 per share, which is the midpoint of the price range set forth on the cover page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dilution information above is for illustration purposes only. Our pro forma as adjusted net tangible book value following the closing of this offering will depend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on the pro forma as adjusted basis described above, as of September 30,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 below are based on an assumed initial public offering price of $17.00 per share, the midpoint of the price range set forth on the cover page of this prospectus, before deducting the estimated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8"/>
        <w:gridCol w:w="182"/>
        <w:gridCol w:w="60"/>
        <w:gridCol w:w="1180"/>
        <w:gridCol w:w="60"/>
        <w:gridCol w:w="182"/>
        <w:gridCol w:w="77"/>
        <w:gridCol w:w="777"/>
        <w:gridCol w:w="275"/>
        <w:gridCol w:w="130"/>
        <w:gridCol w:w="140"/>
        <w:gridCol w:w="1322"/>
        <w:gridCol w:w="60"/>
        <w:gridCol w:w="181"/>
        <w:gridCol w:w="77"/>
        <w:gridCol w:w="777"/>
        <w:gridCol w:w="275"/>
        <w:gridCol w:w="130"/>
        <w:gridCol w:w="222"/>
        <w:gridCol w:w="891"/>
        <w:gridCol w:w="69"/>
      </w:tblGrid>
      <w:tr>
        <w:trPr/>
        <w:tc>
          <w:tcPr>
            <w:tcW w:w="313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138" w:type="dxa"/>
            <w:tcBorders/>
            <w:vAlign w:val="bottom"/>
          </w:tcPr>
          <w:p>
            <w:pPr>
              <w:pStyle w:val="TableContents"/>
              <w:bidi w:val="0"/>
              <w:spacing w:before="0" w:after="283"/>
              <w:jc w:val="left"/>
              <w:rPr/>
            </w:pPr>
            <w:r>
              <w:rPr/>
              <w:t> </w:t>
            </w:r>
          </w:p>
        </w:tc>
        <w:tc>
          <w:tcPr>
            <w:tcW w:w="182" w:type="dxa"/>
            <w:vMerge w:val="restart"/>
            <w:tcBorders/>
            <w:vAlign w:val="bottom"/>
          </w:tcPr>
          <w:p>
            <w:pPr>
              <w:pStyle w:val="TableContents"/>
              <w:bidi w:val="0"/>
              <w:spacing w:before="0" w:after="283"/>
              <w:jc w:val="left"/>
              <w:rPr/>
            </w:pPr>
            <w:r>
              <w:rPr/>
              <w:t>  </w:t>
            </w:r>
          </w:p>
        </w:tc>
        <w:tc>
          <w:tcPr>
            <w:tcW w:w="2336"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vMerge w:val="restart"/>
            <w:tcBorders/>
            <w:vAlign w:val="bottom"/>
          </w:tcPr>
          <w:p>
            <w:pPr>
              <w:pStyle w:val="TableContents"/>
              <w:bidi w:val="0"/>
              <w:spacing w:before="0" w:after="283"/>
              <w:jc w:val="left"/>
              <w:rPr/>
            </w:pPr>
            <w:r>
              <w:rPr/>
              <w:t> </w:t>
            </w:r>
          </w:p>
        </w:tc>
        <w:tc>
          <w:tcPr>
            <w:tcW w:w="130" w:type="dxa"/>
            <w:vMerge w:val="restart"/>
            <w:tcBorders/>
            <w:vAlign w:val="bottom"/>
          </w:tcPr>
          <w:p>
            <w:pPr>
              <w:pStyle w:val="TableContents"/>
              <w:bidi w:val="0"/>
              <w:spacing w:before="0" w:after="283"/>
              <w:jc w:val="left"/>
              <w:rPr/>
            </w:pPr>
            <w:r>
              <w:rPr/>
              <w:t> </w:t>
            </w:r>
          </w:p>
        </w:tc>
        <w:tc>
          <w:tcPr>
            <w:tcW w:w="2557"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vMerge w:val="restart"/>
            <w:tcBorders/>
            <w:vAlign w:val="bottom"/>
          </w:tcPr>
          <w:p>
            <w:pPr>
              <w:pStyle w:val="TableContents"/>
              <w:bidi w:val="0"/>
              <w:spacing w:before="0" w:after="283"/>
              <w:jc w:val="left"/>
              <w:rPr/>
            </w:pPr>
            <w:r>
              <w:rPr/>
              <w:t> </w:t>
            </w:r>
          </w:p>
        </w:tc>
        <w:tc>
          <w:tcPr>
            <w:tcW w:w="130" w:type="dxa"/>
            <w:vMerge w:val="restart"/>
            <w:tcBorders/>
            <w:vAlign w:val="bottom"/>
          </w:tcPr>
          <w:p>
            <w:pPr>
              <w:pStyle w:val="TableContents"/>
              <w:bidi w:val="0"/>
              <w:spacing w:before="0" w:after="283"/>
              <w:jc w:val="left"/>
              <w:rPr/>
            </w:pPr>
            <w:r>
              <w:rPr/>
              <w:t> </w:t>
            </w:r>
          </w:p>
        </w:tc>
        <w:tc>
          <w:tcPr>
            <w:tcW w:w="111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 Per</w:t>
              <w:br/>
              <w:t>Share</w:t>
            </w:r>
          </w:p>
        </w:tc>
        <w:tc>
          <w:tcPr>
            <w:tcW w:w="69" w:type="dxa"/>
            <w:vMerge w:val="restart"/>
            <w:tcBorders/>
            <w:vAlign w:val="bottom"/>
          </w:tcPr>
          <w:p>
            <w:pPr>
              <w:pStyle w:val="TableContents"/>
              <w:bidi w:val="0"/>
              <w:spacing w:before="0" w:after="283"/>
              <w:jc w:val="left"/>
              <w:rPr/>
            </w:pPr>
            <w:r>
              <w:rPr/>
              <w:t> </w:t>
            </w:r>
          </w:p>
        </w:tc>
      </w:tr>
      <w:tr>
        <w:trPr/>
        <w:tc>
          <w:tcPr>
            <w:tcW w:w="3138" w:type="dxa"/>
            <w:tcBorders/>
            <w:vAlign w:val="bottom"/>
          </w:tcPr>
          <w:p>
            <w:pPr>
              <w:pStyle w:val="TableContents"/>
              <w:bidi w:val="0"/>
              <w:spacing w:before="0" w:after="283"/>
              <w:jc w:val="left"/>
              <w:rPr/>
            </w:pPr>
            <w:r>
              <w:rPr/>
              <w:t> </w:t>
            </w:r>
          </w:p>
        </w:tc>
        <w:tc>
          <w:tcPr>
            <w:tcW w:w="182" w:type="dxa"/>
            <w:vMerge w:val="continue"/>
            <w:tcBorders/>
            <w:vAlign w:val="bottom"/>
          </w:tcPr>
          <w:p>
            <w:pPr>
              <w:pStyle w:val="Normal"/>
              <w:bidi w:val="0"/>
              <w:jc w:val="left"/>
              <w:rPr/>
            </w:pPr>
            <w:r>
              <w:rPr/>
            </w:r>
          </w:p>
        </w:tc>
        <w:tc>
          <w:tcPr>
            <w:tcW w:w="2336" w:type="dxa"/>
            <w:gridSpan w:val="6"/>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130" w:type="dxa"/>
            <w:vMerge w:val="continue"/>
            <w:tcBorders/>
            <w:vAlign w:val="bottom"/>
          </w:tcPr>
          <w:p>
            <w:pPr>
              <w:pStyle w:val="Normal"/>
              <w:bidi w:val="0"/>
              <w:jc w:val="left"/>
              <w:rPr/>
            </w:pPr>
            <w:r>
              <w:rPr/>
            </w:r>
          </w:p>
        </w:tc>
        <w:tc>
          <w:tcPr>
            <w:tcW w:w="2557" w:type="dxa"/>
            <w:gridSpan w:val="6"/>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30" w:type="dxa"/>
            <w:vMerge w:val="continue"/>
            <w:tcBorders/>
            <w:vAlign w:val="bottom"/>
          </w:tcPr>
          <w:p>
            <w:pPr>
              <w:pStyle w:val="Normal"/>
              <w:bidi w:val="0"/>
              <w:jc w:val="left"/>
              <w:rPr/>
            </w:pPr>
            <w:r>
              <w:rPr/>
            </w:r>
          </w:p>
        </w:tc>
        <w:tc>
          <w:tcPr>
            <w:tcW w:w="1113"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31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30" w:type="dxa"/>
            <w:vMerge w:val="continue"/>
            <w:tcBorders/>
            <w:vAlign w:val="bottom"/>
          </w:tcPr>
          <w:p>
            <w:pPr>
              <w:pStyle w:val="Normal"/>
              <w:bidi w:val="0"/>
              <w:jc w:val="left"/>
              <w:rPr/>
            </w:pPr>
            <w:r>
              <w:rPr/>
            </w:r>
          </w:p>
        </w:tc>
        <w:tc>
          <w:tcPr>
            <w:tcW w:w="1113"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31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54"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54"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13"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3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 before this offering</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43,482,511</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78.7</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310,284,602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60.7</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7.14</w:t>
            </w:r>
          </w:p>
        </w:tc>
        <w:tc>
          <w:tcPr>
            <w:tcW w:w="69" w:type="dxa"/>
            <w:tcBorders/>
            <w:shd w:fill="CCEEFF" w:val="clear"/>
            <w:vAlign w:val="bottom"/>
          </w:tcPr>
          <w:p>
            <w:pPr>
              <w:pStyle w:val="TableContents"/>
              <w:bidi w:val="0"/>
              <w:spacing w:before="0" w:after="283"/>
              <w:jc w:val="left"/>
              <w:rPr/>
            </w:pPr>
            <w:r>
              <w:rPr/>
              <w:t> </w:t>
            </w:r>
          </w:p>
        </w:tc>
      </w:tr>
      <w:tr>
        <w:trPr/>
        <w:tc>
          <w:tcPr>
            <w:tcW w:w="3138"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participating in this offering</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11,800,000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21.3</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200,600,000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39.3</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17.00</w:t>
            </w:r>
          </w:p>
        </w:tc>
        <w:tc>
          <w:tcPr>
            <w:tcW w:w="69" w:type="dxa"/>
            <w:tcBorders/>
            <w:vAlign w:val="bottom"/>
          </w:tcPr>
          <w:p>
            <w:pPr>
              <w:pStyle w:val="TableContents"/>
              <w:bidi w:val="0"/>
              <w:spacing w:before="0" w:after="283"/>
              <w:jc w:val="left"/>
              <w:rPr/>
            </w:pPr>
            <w:r>
              <w:rPr/>
              <w:t> </w:t>
            </w:r>
          </w:p>
        </w:tc>
      </w:tr>
      <w:tr>
        <w:trPr/>
        <w:tc>
          <w:tcPr>
            <w:tcW w:w="31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55,282,511</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510,884,602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1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over-allotment option in full: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percentage of shares of common stock held by existing stockholders will decrease to approximately 76.2% of the total number of shares of our common stock outstanding after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held by new investors participating in this offering will increase to 13,570,000, or approximately 23.8% of the total number of shares of our common stock outstanding after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(other than the historical net tangible book value calculations) are based on 43,482,511 shares of our common stock outstanding as of September 30, 2023, after giving effect to the automatic conversion of all outstanding shares of our redeemable convertible preferred stock into 38,413,913 shares of our common stock immediately prior to the closing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4,688,990 shares of common stock issuable upon the exercise of outstanding stock options as of September 30, 2023, with a weighted-average exercise price of $3.05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1,029,871 shares of common stock issuable upon the exercise of stock options subsequent to September 30, 2023, with a weighted-average exercise price of $8.57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494,807 shares of common stock issuable upon the exercise of the IPO Grants to be granted in connection with this offering under our 2024 Plan, which will become effective in connection with this offering, to certain of our employees at an exercise price equal to the initial public offering price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2024 Plan (which number includes the IPO Grants), which will become effective in connection with this offering, which will equal the sum of (1) a number of shares equal to 10%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ESPP), plus (2) 124,136 shares of common stock remaining available for future issuance under our 2022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shares of our common stock reserved for future issuance under our ESPP, which will become effective in connection with this offering, which will equal the sum of (1)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2024 Plan and the ESPP), plus (2) any potential evergreen increases pursuant to the terms of the ESPP.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any outstanding options are exercised, new options or other equity awards are issued under our equity incentive plans, or we issue additional equity or convertible securities in the future, there will be further dilution to new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551455_9"/>
      <w:bookmarkEnd w:id="11"/>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together with our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NMIBC who are unresponsive to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the end of 2024. If successful, we believe that this trial could serve as the basis for a BLA submission to the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We intend to evaluate the safety and efficacy of cretostimogene in: (1) intermediate-risk NMIBC patients following TURBT in our PIVOT-006 Phase 3 clinical trial; and (2) high-risk NMIBC patients in our planned CORE-008 open-label multi-cohort Phase 2 clinical trial.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rPr>
      </w:pPr>
      <w:r>
        <w:rPr>
          <w:rFonts w:ascii="Times New Roman" w:hAnsi="Times New Roman"/>
          <w:sz w:val="20"/>
        </w:rPr>
        <w:t xml:space="preserve">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operating losses and negative cash flows from operations since our inception. Our net losses were $12.8 million and $35.4 million for the years ended December 31, 2021 and 2022, and $27.1 million and $32.5 million for nine months ended September 30, 2022 and 2023, respectively. As of September 30, 2023, we had an accumulated deficit of $113.8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To date, we have primarily funded our operations with proceeds from the sale of shares of our redeemable convertible preferred stock and previously outstanding term debt. Through December 31, 2022, we have received aggregate gross proceeds of approximately $202.9 million from the sale of shares of our redeemable convertible preferred stock. In addition, through September 30, 2023, we have recognized $25.0 million in research and collaboration revenue pursuant to our license and collaboration agreements. As of September 30, 2023, we had cash, cash equivalents and marketable securities of $203.7 million. In July 2023, we received net proceeds of $104.6 million from the sale of shares of our Series F redeemable convertible preferred stock. Our ability to generate any product revenue and, in particular, our ability to generate product revenue sufficient to achieve profitability, will depend on the successful development and eventual commercialization of cretostimogene and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into the second half of 2027.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0"/>
        <w:jc w:val="both"/>
        <w:rPr>
          <w:rFonts w:ascii="Times New Roman" w:hAnsi="Times New Roman"/>
          <w:sz w:val="20"/>
        </w:rPr>
      </w:pPr>
      <w:r>
        <w:rPr>
          <w:rFonts w:ascii="Times New Roman" w:hAnsi="Times New Roman"/>
          <w:sz w:val="20"/>
        </w:rPr>
        <w:t xml:space="preserve">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in addition to the net proceeds from this offering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 </w:t>
      </w:r>
    </w:p>
    <w:p>
      <w:pPr>
        <w:pStyle w:val="TextBody"/>
        <w:bidi w:val="0"/>
        <w:spacing w:before="240" w:after="0"/>
        <w:jc w:val="both"/>
        <w:rPr>
          <w:rFonts w:ascii="Times New Roman" w:hAnsi="Times New Roman"/>
          <w:sz w:val="20"/>
        </w:rPr>
      </w:pPr>
      <w:r>
        <w:rPr>
          <w:rFonts w:ascii="Times New Roman" w:hAnsi="Times New Roman"/>
          <w:sz w:val="20"/>
        </w:rPr>
        <w:t xml:space="preserve">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Below is a summary of the key terms for certain of our license and collaboration agreements. For a more detailed description of these agreements, see the section titled BusinessLicense and Collaboration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Lepu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2019, we entered into a development and license agreement (the Lepu License Agreement) with Lepu, under which we granted an exclusive license to Lepu to develop, manufacture and commercialize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cretostimogene and/or DDM to treat and/or prevent cancer in the Lepu Territory. 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year ended December 31, 2021 and 2022, no revenue was recorded related to the Lepu License Agreement. During the nine months ended September 30, 2022 and 2023, zero and less than $0.1 million in revenue was recorded related to the Lepu License Agreement,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make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 During the nine months ended September 30, 2022 and 2023, $0.2 million in revenue was recorded related to the Kissei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Through September 30, 2023, we have recognized $25.0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(R&amp;D) expenses consist primarily of external and internal costs incurred in performing clinical and preclinical development activities. </w:t>
      </w:r>
    </w:p>
    <w:p>
      <w:pPr>
        <w:pStyle w:val="TextBody"/>
        <w:bidi w:val="0"/>
        <w:spacing w:before="240" w:after="0"/>
        <w:jc w:val="both"/>
        <w:rPr>
          <w:rFonts w:ascii="Times New Roman" w:hAnsi="Times New Roman"/>
          <w:sz w:val="20"/>
        </w:rPr>
      </w:pPr>
      <w:r>
        <w:rPr>
          <w:rFonts w:ascii="Times New Roman" w:hAnsi="Times New Roman"/>
          <w:sz w:val="20"/>
        </w:rPr>
        <w:t xml:space="preserve">Our R&amp;D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external costs incurred under agreements with CROs, contract manufacturers, consultants and other third parties to conduct and support our clinical trials and preclinical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internal costs, including R&amp;D personnel-related expenses such as salaries, stock-based compensation and benefits, as well as allocated facilities costs and dues and subscriptions.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pStyle w:val="TextBody"/>
        <w:bidi w:val="0"/>
        <w:spacing w:before="240" w:after="0"/>
        <w:jc w:val="both"/>
        <w:rPr>
          <w:rFonts w:ascii="Times New Roman" w:hAnsi="Times New Roman"/>
          <w:sz w:val="20"/>
        </w:rPr>
      </w:pPr>
      <w:r>
        <w:rPr>
          <w:rFonts w:ascii="Times New Roman" w:hAnsi="Times New Roman"/>
          <w:sz w:val="20"/>
        </w:rPr>
        <w:t xml:space="preserve">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doses that patients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and timing of manufacturing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if any, of obtaining third-party drugs for use in our combination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of changes in government regulation and regulatory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and safety profile of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receipt, and terms of any approvals from applicable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establish additional collaboration, license, or other arrangements.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consist primarily of personnel-related expenses such as salaries, stock-based compensation and benefits, for our personnel in executive, legal, finance and accounting, human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 </w:t>
      </w:r>
    </w:p>
    <w:p>
      <w:pPr>
        <w:pStyle w:val="TextBody"/>
        <w:bidi w:val="0"/>
        <w:spacing w:before="240" w:after="0"/>
        <w:jc w:val="both"/>
        <w:rPr>
          <w:rFonts w:ascii="Times New Roman" w:hAnsi="Times New Roman"/>
          <w:sz w:val="20"/>
        </w:rPr>
      </w:pPr>
      <w:r>
        <w:rPr>
          <w:rFonts w:ascii="Times New Roman" w:hAnsi="Times New Roman"/>
          <w:sz w:val="20"/>
        </w:rPr>
        <w:t xml:space="preserve">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net, consists of interest expense related to our previously outstanding term loan debt and interest income related to interest earned on our invested cash and cash equivalents and marketable securities balances. We expect our interest income will increase as we invest the cash received from the net proceeds from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consists of miscellaneous items, such as the amortization of debt related costs and other items not related to our core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Nine Months Ended September 30, 2022 and 2023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8"/>
        <w:gridCol w:w="336"/>
        <w:gridCol w:w="228"/>
        <w:gridCol w:w="1237"/>
        <w:gridCol w:w="155"/>
        <w:gridCol w:w="285"/>
        <w:gridCol w:w="228"/>
        <w:gridCol w:w="1237"/>
        <w:gridCol w:w="155"/>
        <w:gridCol w:w="285"/>
        <w:gridCol w:w="282"/>
        <w:gridCol w:w="1510"/>
        <w:gridCol w:w="159"/>
      </w:tblGrid>
      <w:tr>
        <w:trPr/>
        <w:tc>
          <w:tcPr>
            <w:tcW w:w="4108"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3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3370"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21,371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29,837</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8,466</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4,751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6,883</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2,132</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26,122</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36,720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10,598</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(25,931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(36,517</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(10,586</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5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4,084</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4,995</w:t>
            </w:r>
          </w:p>
        </w:tc>
        <w:tc>
          <w:tcPr>
            <w:tcW w:w="15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151</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4,026</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5,146</w:t>
            </w:r>
          </w:p>
        </w:tc>
        <w:tc>
          <w:tcPr>
            <w:tcW w:w="15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3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(27,051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(32,491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510" w:type="dxa"/>
            <w:tcBorders/>
            <w:shd w:fill="CCEEFF" w:val="clear"/>
            <w:vAlign w:val="bottom"/>
          </w:tcPr>
          <w:p>
            <w:pPr>
              <w:pStyle w:val="TableContents"/>
              <w:bidi w:val="0"/>
              <w:spacing w:before="0" w:after="283"/>
              <w:jc w:val="right"/>
              <w:rPr/>
            </w:pPr>
            <w:r>
              <w:rPr/>
              <w:t>(5,440</w:t>
            </w:r>
          </w:p>
        </w:tc>
        <w:tc>
          <w:tcPr>
            <w:tcW w:w="15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5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Research and collaboration revenue was $0.2 million for the nine months ended September 30, 2022, compared to $0.2 million for the nine months ended September 30, 2023. The research and collaboration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the nine months ended September 30, 2022 and 2023 was generated through our license and collaboration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R&amp;D expenses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0"/>
        <w:gridCol w:w="371"/>
        <w:gridCol w:w="249"/>
        <w:gridCol w:w="1243"/>
        <w:gridCol w:w="60"/>
        <w:gridCol w:w="371"/>
        <w:gridCol w:w="249"/>
        <w:gridCol w:w="1243"/>
        <w:gridCol w:w="60"/>
        <w:gridCol w:w="371"/>
        <w:gridCol w:w="356"/>
        <w:gridCol w:w="1427"/>
        <w:gridCol w:w="65"/>
      </w:tblGrid>
      <w:tr>
        <w:trPr/>
        <w:tc>
          <w:tcPr>
            <w:tcW w:w="414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4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415"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clinical trial expenses</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14,016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20,023</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6,007</w:t>
            </w:r>
          </w:p>
        </w:tc>
        <w:tc>
          <w:tcPr>
            <w:tcW w:w="65" w:type="dxa"/>
            <w:tcBorders/>
            <w:shd w:fill="CCEEFF" w:val="clear"/>
            <w:vAlign w:val="bottom"/>
          </w:tcPr>
          <w:p>
            <w:pPr>
              <w:pStyle w:val="TableContents"/>
              <w:bidi w:val="0"/>
              <w:spacing w:before="0" w:after="283"/>
              <w:jc w:val="left"/>
              <w:rPr/>
            </w:pPr>
            <w:r>
              <w:rPr/>
              <w:t> </w:t>
            </w:r>
          </w:p>
        </w:tc>
      </w:tr>
      <w:tr>
        <w:trPr/>
        <w:tc>
          <w:tcPr>
            <w:tcW w:w="4140"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6,779</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8,888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2,109</w:t>
            </w:r>
          </w:p>
        </w:tc>
        <w:tc>
          <w:tcPr>
            <w:tcW w:w="65" w:type="dxa"/>
            <w:tcBorders/>
            <w:vAlign w:val="bottom"/>
          </w:tcPr>
          <w:p>
            <w:pPr>
              <w:pStyle w:val="TableContents"/>
              <w:bidi w:val="0"/>
              <w:spacing w:before="0" w:after="283"/>
              <w:jc w:val="left"/>
              <w:rPr/>
            </w:pPr>
            <w:r>
              <w:rPr/>
              <w:t> </w:t>
            </w:r>
          </w:p>
        </w:tc>
      </w:tr>
      <w:tr>
        <w:trPr/>
        <w:tc>
          <w:tcPr>
            <w:tcW w:w="4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926</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350</w:t>
            </w:r>
          </w:p>
        </w:tc>
        <w:tc>
          <w:tcPr>
            <w:tcW w:w="6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40"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21,371</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29,837</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8,466</w:t>
            </w:r>
          </w:p>
        </w:tc>
        <w:tc>
          <w:tcPr>
            <w:tcW w:w="6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R&amp;D expenses were $21.4 million for the nine months ended September 30, 2022, compared to $29.8 million for the nine months ended September 30, 2023. The increase of $8.4 million in R&amp;D expenses for the nine months ended September 30, 2023 was primarily due to three active clinical trials, with higher patient enrollment, an increase in CMC activities supporting the clinical trials, and an increase in headcount for R&amp;D.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general and administrative expenses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8"/>
        <w:gridCol w:w="412"/>
        <w:gridCol w:w="292"/>
        <w:gridCol w:w="1168"/>
        <w:gridCol w:w="60"/>
        <w:gridCol w:w="412"/>
        <w:gridCol w:w="292"/>
        <w:gridCol w:w="1168"/>
        <w:gridCol w:w="60"/>
        <w:gridCol w:w="412"/>
        <w:gridCol w:w="359"/>
        <w:gridCol w:w="1435"/>
        <w:gridCol w:w="67"/>
      </w:tblGrid>
      <w:tr>
        <w:trPr/>
        <w:tc>
          <w:tcPr>
            <w:tcW w:w="406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392"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794"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2,472</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3,674</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1,202</w:t>
            </w:r>
          </w:p>
        </w:tc>
        <w:tc>
          <w:tcPr>
            <w:tcW w:w="67" w:type="dxa"/>
            <w:tcBorders/>
            <w:shd w:fill="CCEEFF" w:val="clear"/>
            <w:vAlign w:val="bottom"/>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1,882</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2,761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879</w:t>
            </w:r>
          </w:p>
        </w:tc>
        <w:tc>
          <w:tcPr>
            <w:tcW w:w="67"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397</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448</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51</w:t>
            </w:r>
          </w:p>
        </w:tc>
        <w:tc>
          <w:tcPr>
            <w:tcW w:w="67" w:type="dxa"/>
            <w:tcBorders/>
            <w:shd w:fill="CCEEFF" w:val="clear"/>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4,751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6,883</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2,132</w:t>
            </w:r>
          </w:p>
        </w:tc>
        <w:tc>
          <w:tcPr>
            <w:tcW w:w="67" w:type="dxa"/>
            <w:tcBorders/>
            <w:vAlign w:val="bottom"/>
          </w:tcPr>
          <w:p>
            <w:pPr>
              <w:pStyle w:val="TableContents"/>
              <w:bidi w:val="0"/>
              <w:spacing w:before="0" w:after="283"/>
              <w:jc w:val="left"/>
              <w:rPr/>
            </w:pPr>
            <w:r>
              <w:rPr/>
              <w:t> </w:t>
            </w:r>
          </w:p>
        </w:tc>
      </w:tr>
      <w:tr>
        <w:trPr/>
        <w:tc>
          <w:tcPr>
            <w:tcW w:w="406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 and administrative expenses for the nine months ended September 30, 2022 were $4.8 million, compared to $6.9 million for the nine months ended September 30, 2023. The increase of $2.1 million in general and administrative expenses for the nine months ended September 30, 2023 was primarily due to an increase in headcount and legal, accounting and consulting fees.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net, for the nine months ended September 30, 2022 was a net expense of $1.1 million compared to a net income of $4.0 million for the nine months ended September 30, 2023. For the nine months ended September 30, 2022, interest expense, net and other (expense) income, net consisted of term loan interest expense, the final payment accretion and related amortization of $1.2 million, offset by interest and other income of $0.1 million. For the nine months ended September 30, 2023, other (expense) income, net primarily consisted of $5.2 million in interest income related to higher marketable securities balances as a result of the net proceeds from our Series E and Series F redeemable convertible preferred stock financings in 2022 and 2023, respectively. This was partially offset by interest expense, net consisting of term loan interest of $0.4 million and final payment accretion of $0.7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2021 and 2022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5"/>
        <w:gridCol w:w="333"/>
        <w:gridCol w:w="216"/>
        <w:gridCol w:w="1260"/>
        <w:gridCol w:w="196"/>
        <w:gridCol w:w="297"/>
        <w:gridCol w:w="216"/>
        <w:gridCol w:w="1260"/>
        <w:gridCol w:w="155"/>
        <w:gridCol w:w="284"/>
        <w:gridCol w:w="264"/>
        <w:gridCol w:w="1528"/>
        <w:gridCol w:w="161"/>
      </w:tblGrid>
      <w:tr>
        <w:trPr/>
        <w:tc>
          <w:tcPr>
            <w:tcW w:w="403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34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10,358</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(10,167</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18,319</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29,029</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(10,710</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4,645</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6,408</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(1,763</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r>
              <w:rPr/>
              <w:t>22,964</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r>
              <w:rPr/>
              <w:t>35,437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(12,473</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(12,606</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(35,246</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(22,640</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52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(451</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r>
              <w:rPr/>
              <w:t>450</w:t>
            </w:r>
          </w:p>
        </w:tc>
        <w:tc>
          <w:tcPr>
            <w:tcW w:w="161" w:type="dxa"/>
            <w:tcBorders/>
            <w:vAlign w:val="bottom"/>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218</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(414</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(233</w:t>
            </w:r>
          </w:p>
        </w:tc>
        <w:tc>
          <w:tcPr>
            <w:tcW w:w="196"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(12,839</w:t>
            </w:r>
          </w:p>
        </w:tc>
        <w:tc>
          <w:tcPr>
            <w:tcW w:w="19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(22,604</w:t>
            </w:r>
          </w:p>
        </w:tc>
        <w:tc>
          <w:tcPr>
            <w:tcW w:w="161"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Research and collaboration revenue was $10.4 million for the year ended December 31, 2021 compared to $0.2 million for the year ended December 31, 2022. The decrease of $10.2 million was due to a decrease in revenue generated through our license and collaboration agreements.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R&amp;D expenses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8"/>
        <w:gridCol w:w="374"/>
        <w:gridCol w:w="248"/>
        <w:gridCol w:w="1214"/>
        <w:gridCol w:w="87"/>
        <w:gridCol w:w="421"/>
        <w:gridCol w:w="247"/>
        <w:gridCol w:w="1214"/>
        <w:gridCol w:w="60"/>
        <w:gridCol w:w="374"/>
        <w:gridCol w:w="303"/>
        <w:gridCol w:w="1480"/>
        <w:gridCol w:w="65"/>
      </w:tblGrid>
      <w:tr>
        <w:trPr/>
        <w:tc>
          <w:tcPr>
            <w:tcW w:w="411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4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5"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clinical trial expenses</w:t>
            </w:r>
          </w:p>
        </w:tc>
        <w:tc>
          <w:tcPr>
            <w:tcW w:w="37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12,421</w:t>
            </w:r>
          </w:p>
        </w:tc>
        <w:tc>
          <w:tcPr>
            <w:tcW w:w="87"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19,314</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6,893</w:t>
            </w:r>
          </w:p>
        </w:tc>
        <w:tc>
          <w:tcPr>
            <w:tcW w:w="65"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5,520</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8,966</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0" w:type="dxa"/>
            <w:tcBorders/>
            <w:vAlign w:val="bottom"/>
          </w:tcPr>
          <w:p>
            <w:pPr>
              <w:pStyle w:val="TableContents"/>
              <w:bidi w:val="0"/>
              <w:spacing w:before="0" w:after="283"/>
              <w:jc w:val="right"/>
              <w:rPr/>
            </w:pPr>
            <w:r>
              <w:rPr/>
              <w:t>3,446</w:t>
            </w:r>
          </w:p>
        </w:tc>
        <w:tc>
          <w:tcPr>
            <w:tcW w:w="65"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37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378</w:t>
            </w:r>
          </w:p>
        </w:tc>
        <w:tc>
          <w:tcPr>
            <w:tcW w:w="87"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pPr>
            <w:r>
              <w:rPr/>
              <w:t>371</w:t>
            </w:r>
          </w:p>
        </w:tc>
        <w:tc>
          <w:tcPr>
            <w:tcW w:w="65"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18,319</w:t>
            </w:r>
          </w:p>
        </w:tc>
        <w:tc>
          <w:tcPr>
            <w:tcW w:w="87"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29,029</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10,710</w:t>
            </w:r>
          </w:p>
        </w:tc>
        <w:tc>
          <w:tcPr>
            <w:tcW w:w="65"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14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R&amp;D expenses were $18.3 million for the year ended December 31, 2021 compared to $29.0 million for the year ended December 31, 2022. The increase of $10.7 million in R&amp;D expenses for the year ended December 31, 2022 was primarily due to an increase of $6.9 million in clinical trial expenses related to higher CRO fees as patient enrollment increased and higher CMC and consultant and other third party expenses, an increase of $3.4 million in personnel-related expenses due to increased headcount for R&amp;D, and higher facilities-related, fees and other related costs of $0.4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general and administrative expenses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7"/>
        <w:gridCol w:w="402"/>
        <w:gridCol w:w="291"/>
        <w:gridCol w:w="1171"/>
        <w:gridCol w:w="101"/>
        <w:gridCol w:w="475"/>
        <w:gridCol w:w="290"/>
        <w:gridCol w:w="1172"/>
        <w:gridCol w:w="60"/>
        <w:gridCol w:w="402"/>
        <w:gridCol w:w="359"/>
        <w:gridCol w:w="1438"/>
        <w:gridCol w:w="67"/>
      </w:tblGrid>
      <w:tr>
        <w:trPr/>
        <w:tc>
          <w:tcPr>
            <w:tcW w:w="3977"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797"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79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Change        </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0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2,179</w:t>
            </w:r>
          </w:p>
        </w:tc>
        <w:tc>
          <w:tcPr>
            <w:tcW w:w="101"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3,310</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1,131</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2,065</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2,478</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413</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Facilities-related fees and other expenses</w:t>
            </w:r>
          </w:p>
        </w:tc>
        <w:tc>
          <w:tcPr>
            <w:tcW w:w="40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401</w:t>
            </w:r>
          </w:p>
        </w:tc>
        <w:tc>
          <w:tcPr>
            <w:tcW w:w="101"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219</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4,645</w:t>
            </w:r>
          </w:p>
        </w:tc>
        <w:tc>
          <w:tcPr>
            <w:tcW w:w="10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6,408</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1,763</w:t>
            </w:r>
          </w:p>
        </w:tc>
        <w:tc>
          <w:tcPr>
            <w:tcW w:w="67"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 and administrative expenses were $4.6 million for the year ended December 31, 2021 compared to $6.4 million for the year ended December 31, 2022. The increase of $1.8 million in general and administrative expenses for the year ended December 31, 2022 was primarily due to an increase in personnel-related expenses of $1.2 million due to increased headcount, increased professional consulting fees related to legal fees, accounting and consulting fees of $0.4 million and higher facilities-related, fees and dues and subscriptions costs of $0.2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Income, Net </w:t>
      </w:r>
    </w:p>
    <w:p>
      <w:pPr>
        <w:pStyle w:val="TextBody"/>
        <w:bidi w:val="0"/>
        <w:spacing w:before="120" w:after="0"/>
        <w:jc w:val="both"/>
        <w:rPr>
          <w:rFonts w:ascii="Times New Roman" w:hAnsi="Times New Roman"/>
          <w:sz w:val="20"/>
        </w:rPr>
      </w:pPr>
      <w:r>
        <w:rPr>
          <w:rFonts w:ascii="Times New Roman" w:hAnsi="Times New Roman"/>
          <w:sz w:val="20"/>
        </w:rPr>
        <w:t xml:space="preserve">Other (expense) income, net, for the years ended December 31, 2021 and 2022 was a net expense of $0.2 million for each year. For the year ended December 31, 2021, interest expense, net of $0.4 million, consisted primarily of interest expense and debt fee amortization. Other income (expense), net of $0.2 million consisted of income related to the loan forgiveness under the Paycheck Protection Program of $0.4 million offset by success fee expense of $0.2 million. For the year ended December 31, 2022, interest expense, net and other (expense) income, net consisted of term loan interest expense, the final payment accretion and related amortization of $1.8 million, offset by interest income of $1.6 million related to marketable securities balances during the year.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redeemable convertible preferred stock, and previously outstanding term debt. Through September 30, 2023, we have received aggregate gross proceeds of $307.9 million from the sale of shares of our redeemable convertible preferred stock. In addition, through September 30, 2023, we have recognized $25.0 million in research and collaboration revenue through our license and collaboration agreements. As of September 30, 2023, we had cash, cash equivalents and marketable securities of $203.7 million. In July 2023, we received net proceeds of $104.6 million from the sale of shares of our Series F redeemable convertible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In January 2021, we entered into a loan agreement with Silicon Valley Bank for a term loan in three tranches. As of December 31, 2022, we had drawn down $15.0 million in aggregate principal amount under the loan agreement. On May 12, 2023, we repaid all outstanding principal and accrued and unpaid interest under the loan agreement. See Note 11 to our financial statements and Note 10 to our unaudited condensed financial statements included elsewhere in this prospectus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both"/>
        <w:rPr>
          <w:rFonts w:ascii="Times New Roman" w:hAnsi="Times New Roman"/>
          <w:sz w:val="20"/>
        </w:rPr>
      </w:pPr>
      <w:r>
        <w:rPr>
          <w:rFonts w:ascii="Times New Roman" w:hAnsi="Times New Roman"/>
          <w:sz w:val="20"/>
        </w:rPr>
        <w:t xml:space="preserve">We expect our expenses to increase substantially in connection with our ongoing activities, particularly as we continue our development of, seek regulatory approval for, and potentially commercialize cretostimogene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regulatory meetings and reviews of cretostimogene or any future product candidates, including requirements of regulatory authorities in any additional jurisdictions in which we may seek approval for cretostimogene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hiring additional personnel and consultants as our business grows, including additional executive officers and clinical development, regulatory, CMC quality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payment of milestone, royalty or other payments we must make pursuant to our existing and potential future license or collaboration agreements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timing of establishing or securing sales and marketing capabilities if cretostimogene or any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strategic decision to develop future product candidates other than cretostimogene, and the timing of such development,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upon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into the second half of 2027.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0"/>
        <w:jc w:val="both"/>
        <w:rPr>
          <w:rFonts w:ascii="Times New Roman" w:hAnsi="Times New Roman"/>
          <w:sz w:val="20"/>
        </w:rPr>
      </w:pPr>
      <w:r>
        <w:rPr>
          <w:rFonts w:ascii="Times New Roman" w:hAnsi="Times New Roman"/>
          <w:sz w:val="20"/>
        </w:rPr>
        <w:t xml:space="preserve">We have no other committed sources of capital. Until such time, if ever, we can generate substantial product revenue, we expect to finance our operations through equity offerings, debt financings, or other capital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Cash Requirements for Known Contractual and Other Obligations </w:t>
      </w:r>
    </w:p>
    <w:p>
      <w:pPr>
        <w:pStyle w:val="TextBody"/>
        <w:bidi w:val="0"/>
        <w:spacing w:before="120" w:after="0"/>
        <w:jc w:val="left"/>
        <w:rPr>
          <w:rFonts w:ascii="Times New Roman" w:hAnsi="Times New Roman"/>
          <w:i/>
          <w:sz w:val="20"/>
        </w:rPr>
      </w:pPr>
      <w:r>
        <w:rPr>
          <w:rFonts w:ascii="Times New Roman" w:hAnsi="Times New Roman"/>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various non-cancelable operating leases for our corporate office. The leases have varying terms expiring between 2025 and 2026.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Costs </w:t>
      </w:r>
    </w:p>
    <w:p>
      <w:pPr>
        <w:pStyle w:val="TextBody"/>
        <w:bidi w:val="0"/>
        <w:spacing w:before="120" w:after="0"/>
        <w:jc w:val="both"/>
        <w:rPr>
          <w:rFonts w:ascii="Times New Roman" w:hAnsi="Times New Roman"/>
          <w:sz w:val="20"/>
        </w:rPr>
      </w:pPr>
      <w:r>
        <w:rPr>
          <w:rFonts w:ascii="Times New Roman" w:hAnsi="Times New Roman"/>
          <w:sz w:val="20"/>
        </w:rPr>
        <w:t xml:space="preserve">We are continuing to invest in our cretostimogene clinical trials and have entered into contractual obligations with each clinical trial site. Each contract shall continue until the completion of the trial at that site. Our clinical trial costs are dependent on, among other things, the size, number and length of our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Other Capital Requirements and Additional Royalty Obligations. </w:t>
      </w:r>
    </w:p>
    <w:p>
      <w:pPr>
        <w:pStyle w:val="TextBody"/>
        <w:bidi w:val="0"/>
        <w:spacing w:before="120" w:after="0"/>
        <w:jc w:val="both"/>
        <w:rPr>
          <w:rFonts w:ascii="Times New Roman" w:hAnsi="Times New Roman"/>
          <w:sz w:val="20"/>
        </w:rPr>
      </w:pPr>
      <w:r>
        <w:rPr>
          <w:rFonts w:ascii="Times New Roman" w:hAnsi="Times New Roman"/>
          <w:sz w:val="20"/>
        </w:rPr>
        <w:t xml:space="preserve">We enter into agreements in the normal course of business with various vendors, which are generally cancellable upon notice. Payments due upon cancellation typically consist only of payments for services provided or expenses incurred, including non-cancellable obligations of service providers, up to the date of cancellation.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our obligation to make potential royalty payments under the Kissei License Agreement discussed above, we are also obligated to pay royalties and milestone payments to the initial supplier of a certain cell line we use to manufacture cretostimogene, in an amount less than 1% on the net sales of cretostimogene, worldwide. These royalty obligations last for as long as we use the certain cell line to manufacture cretostimogene. The timing of when our royalty payments will actually be made is uncertain as the payments are contingent upon future activities, including the successful development, regulatory approval and commercialization of cretostimogene.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our cash flows for the nine months ended September 30, 2022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9"/>
        <w:gridCol w:w="237"/>
        <w:gridCol w:w="140"/>
        <w:gridCol w:w="770"/>
        <w:gridCol w:w="155"/>
        <w:gridCol w:w="202"/>
        <w:gridCol w:w="140"/>
        <w:gridCol w:w="923"/>
        <w:gridCol w:w="159"/>
      </w:tblGrid>
      <w:tr>
        <w:trPr/>
        <w:tc>
          <w:tcPr>
            <w:tcW w:w="747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3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330"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7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(22,975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(29,618</w:t>
            </w:r>
          </w:p>
        </w:tc>
        <w:tc>
          <w:tcPr>
            <w:tcW w:w="159" w:type="dxa"/>
            <w:tcBorders/>
            <w:shd w:fill="CCEEFF" w:val="clear"/>
            <w:vAlign w:val="bottom"/>
          </w:tcPr>
          <w:p>
            <w:pPr>
              <w:pStyle w:val="TableContents"/>
              <w:bidi w:val="0"/>
              <w:spacing w:before="0" w:after="283"/>
              <w:jc w:val="left"/>
              <w:rPr/>
            </w:pPr>
            <w:r>
              <w:rPr/>
              <w:t>) </w:t>
            </w:r>
          </w:p>
        </w:tc>
      </w:tr>
      <w:tr>
        <w:trPr/>
        <w:tc>
          <w:tcPr>
            <w:tcW w:w="747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(138,138</w:t>
            </w:r>
          </w:p>
        </w:tc>
        <w:tc>
          <w:tcPr>
            <w:tcW w:w="159" w:type="dxa"/>
            <w:tcBorders/>
            <w:vAlign w:val="bottom"/>
          </w:tcPr>
          <w:p>
            <w:pPr>
              <w:pStyle w:val="TableContents"/>
              <w:bidi w:val="0"/>
              <w:spacing w:before="0" w:after="283"/>
              <w:jc w:val="left"/>
              <w:rPr/>
            </w:pPr>
            <w:r>
              <w:rPr/>
              <w:t>) </w:t>
            </w:r>
          </w:p>
        </w:tc>
      </w:tr>
      <w:tr>
        <w:trPr/>
        <w:tc>
          <w:tcPr>
            <w:tcW w:w="7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62,994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89,886</w:t>
            </w:r>
          </w:p>
        </w:tc>
        <w:tc>
          <w:tcPr>
            <w:tcW w:w="159" w:type="dxa"/>
            <w:tcBorders/>
            <w:shd w:fill="CCEEFF" w:val="clear"/>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40,004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(77,870</w:t>
            </w:r>
          </w:p>
        </w:tc>
        <w:tc>
          <w:tcPr>
            <w:tcW w:w="159" w:type="dxa"/>
            <w:tcBorders/>
            <w:vAlign w:val="bottom"/>
          </w:tcPr>
          <w:p>
            <w:pPr>
              <w:pStyle w:val="TableContents"/>
              <w:bidi w:val="0"/>
              <w:spacing w:before="0" w:after="283"/>
              <w:jc w:val="left"/>
              <w:rPr/>
            </w:pPr>
            <w:r>
              <w:rPr/>
              <w:t>) </w:t>
            </w:r>
          </w:p>
        </w:tc>
      </w:tr>
      <w:tr>
        <w:trPr/>
        <w:tc>
          <w:tcPr>
            <w:tcW w:w="7479"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information regarding our cash flows for the years ended December 31, 2021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6"/>
        <w:gridCol w:w="368"/>
        <w:gridCol w:w="227"/>
        <w:gridCol w:w="1252"/>
        <w:gridCol w:w="201"/>
        <w:gridCol w:w="337"/>
        <w:gridCol w:w="216"/>
        <w:gridCol w:w="1260"/>
        <w:gridCol w:w="158"/>
      </w:tblGrid>
      <w:tr>
        <w:trPr/>
        <w:tc>
          <w:tcPr>
            <w:tcW w:w="618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8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8" w:type="dxa"/>
            <w:tcBorders/>
            <w:vAlign w:val="bottom"/>
          </w:tcPr>
          <w:p>
            <w:pPr>
              <w:pStyle w:val="TableContents"/>
              <w:bidi w:val="0"/>
              <w:spacing w:before="0" w:after="283"/>
              <w:jc w:val="left"/>
              <w:rPr/>
            </w:pPr>
            <w:r>
              <w:rPr/>
              <w:t> </w:t>
            </w:r>
          </w:p>
        </w:tc>
      </w:tr>
      <w:tr>
        <w:trPr/>
        <w:tc>
          <w:tcPr>
            <w:tcW w:w="6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(13,654</w:t>
            </w:r>
          </w:p>
        </w:tc>
        <w:tc>
          <w:tcPr>
            <w:tcW w:w="201"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(29,804</w:t>
            </w:r>
          </w:p>
        </w:tc>
        <w:tc>
          <w:tcPr>
            <w:tcW w:w="158" w:type="dxa"/>
            <w:tcBorders/>
            <w:shd w:fill="CCEEFF" w:val="clear"/>
            <w:vAlign w:val="bottom"/>
          </w:tcPr>
          <w:p>
            <w:pPr>
              <w:pStyle w:val="TableContents"/>
              <w:bidi w:val="0"/>
              <w:spacing w:before="0" w:after="283"/>
              <w:jc w:val="left"/>
              <w:rPr/>
            </w:pPr>
            <w:r>
              <w:rPr/>
              <w:t>) </w:t>
            </w:r>
          </w:p>
        </w:tc>
      </w:tr>
      <w:tr>
        <w:trPr/>
        <w:tc>
          <w:tcPr>
            <w:tcW w:w="618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(97</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(55,352</w:t>
            </w:r>
          </w:p>
        </w:tc>
        <w:tc>
          <w:tcPr>
            <w:tcW w:w="158" w:type="dxa"/>
            <w:tcBorders/>
            <w:vAlign w:val="bottom"/>
          </w:tcPr>
          <w:p>
            <w:pPr>
              <w:pStyle w:val="TableContents"/>
              <w:bidi w:val="0"/>
              <w:spacing w:before="0" w:after="283"/>
              <w:jc w:val="left"/>
              <w:rPr/>
            </w:pPr>
            <w:r>
              <w:rPr/>
              <w:t>) </w:t>
            </w:r>
          </w:p>
        </w:tc>
      </w:tr>
      <w:tr>
        <w:trPr/>
        <w:tc>
          <w:tcPr>
            <w:tcW w:w="6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15,446</w:t>
            </w:r>
          </w:p>
        </w:tc>
        <w:tc>
          <w:tcPr>
            <w:tcW w:w="201"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119,692</w:t>
            </w:r>
          </w:p>
        </w:tc>
        <w:tc>
          <w:tcPr>
            <w:tcW w:w="158" w:type="dxa"/>
            <w:tcBorders/>
            <w:shd w:fill="CCEEFF" w:val="clear"/>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8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1,695</w:t>
            </w:r>
          </w:p>
        </w:tc>
        <w:tc>
          <w:tcPr>
            <w:tcW w:w="201"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34,536</w:t>
            </w:r>
          </w:p>
        </w:tc>
        <w:tc>
          <w:tcPr>
            <w:tcW w:w="158" w:type="dxa"/>
            <w:tcBorders/>
            <w:vAlign w:val="bottom"/>
          </w:tcPr>
          <w:p>
            <w:pPr>
              <w:pStyle w:val="TableContents"/>
              <w:bidi w:val="0"/>
              <w:spacing w:before="0" w:after="283"/>
              <w:jc w:val="left"/>
              <w:rPr/>
            </w:pPr>
            <w:r>
              <w:rPr/>
              <w:t> </w:t>
            </w:r>
          </w:p>
        </w:tc>
      </w:tr>
      <w:tr>
        <w:trPr/>
        <w:tc>
          <w:tcPr>
            <w:tcW w:w="618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operating activities used $23.0 million of cash, primarily resulting from our net loss of $27.1 million, partially offset by non-cash charges of $1.0 million, including stock-based compensation expense and amortization associated with the term loan final fees and net cash provided by changes in our operating assets and liabilities of $3.1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operating activities used $29.6 million of cash, primarily resulting from our net loss of $32.5 million, partially offset by non-cash charges of $1.6 million, including stock-based compensation expense and amortization associated with the term loan final fees and net cash provided by changes in our operating assets and liabilities of $1.3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operating activities used $13.7 million of cash, primarily resulting from our net loss of $12.8 million and net cash provided by changes in our operating assets and liabilities of $2.0 million, partially offset by non-cash charges of $1.1 million, including stock-based compensation expense and amortization associated with the term loan final fees.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operating activities used $29.8 million of cash, primarily resulting from our net loss of $35.4 million, partially offset by non-cash charges of $1.2 million, including stock-based compensation expense and amortization associated with the term loan final fees and mark to market success fee and net cash used in changes in our operating assets and liabilities of $4.4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net cash used in investing activities was less than $0.1 million, due to purchases of property and equipment.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net cash used in investing activities was $138.1 million, primarily due to purchases of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the year ended December 31, 2021, net cash used in investing activities was $0.1 million, due to purchases of property and equipment.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net cash used in investing activities was $55.4 million, primarily due to purchases of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nine months ended September 30, 2022, net cash provided by financing activities was $63.0 million, consisting of net proceeds from the Series E redeemable convertible preferred stock financing. </w:t>
      </w:r>
    </w:p>
    <w:p>
      <w:pPr>
        <w:pStyle w:val="TextBody"/>
        <w:bidi w:val="0"/>
        <w:spacing w:before="240" w:after="0"/>
        <w:jc w:val="both"/>
        <w:rPr>
          <w:rFonts w:ascii="Times New Roman" w:hAnsi="Times New Roman"/>
          <w:sz w:val="20"/>
        </w:rPr>
      </w:pPr>
      <w:r>
        <w:rPr>
          <w:rFonts w:ascii="Times New Roman" w:hAnsi="Times New Roman"/>
          <w:sz w:val="20"/>
        </w:rPr>
        <w:t xml:space="preserve">During the nine months ended September 30, 2023, net cash provided by financing activities was $89.9 million, consisting of net proceeds from the issuance of Series F redeemable convertible preferred stock of $104.6 million and the exercise of common stock options of $1.8 million, offset by the payoff of the term loan debt of $16.3 million and the deferred offering costs of $0.2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net cash provided by financing activities was $15.4 million, consisting primarily of net proceeds from term loan debt, proceeds from the PPP loan and proceeds from the exercise of common stock options.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net cash used in financing activities was $119.7 million, consisting of net proceeds from the issuance of Series E redeemable convertible preferred stock and the exercise of common stock options.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both"/>
        <w:rPr>
          <w:rFonts w:ascii="Times New Roman" w:hAnsi="Times New Roman"/>
          <w:sz w:val="20"/>
        </w:rPr>
      </w:pPr>
      <w:r>
        <w:rPr>
          <w:rFonts w:ascii="Times New Roman" w:hAnsi="Times New Roman"/>
          <w:sz w:val="20"/>
        </w:rPr>
        <w:t xml:space="preserve">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before="240" w:after="0"/>
        <w:jc w:val="both"/>
        <w:rPr>
          <w:rFonts w:ascii="Times New Roman" w:hAnsi="Times New Roman"/>
          <w:sz w:val="20"/>
        </w:rPr>
      </w:pPr>
      <w:r>
        <w:rPr>
          <w:rFonts w:ascii="Times New Roman" w:hAnsi="Times New Roman"/>
          <w:sz w:val="20"/>
        </w:rPr>
        <w:t xml:space="preserve">While our significant accounting policies are described in more detail in Note 2 to our financial statements included elsewhere in this prospectus, we believe the following accounting policies are those most critical to the judgments and estimates used in the preparation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R&amp;D Expenses and Related Prepaid and Accrued Expenses </w:t>
      </w:r>
    </w:p>
    <w:p>
      <w:pPr>
        <w:pStyle w:val="TextBody"/>
        <w:bidi w:val="0"/>
        <w:spacing w:before="120" w:after="0"/>
        <w:jc w:val="both"/>
        <w:rPr>
          <w:rFonts w:ascii="Times New Roman" w:hAnsi="Times New Roman"/>
          <w:sz w:val="20"/>
        </w:rPr>
      </w:pPr>
      <w:r>
        <w:rPr>
          <w:rFonts w:ascii="Times New Roman" w:hAnsi="Times New Roman"/>
          <w:sz w:val="20"/>
        </w:rPr>
        <w:t xml:space="preserve">As part of the process of preparing our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 </w:t>
      </w:r>
    </w:p>
    <w:p>
      <w:pPr>
        <w:pStyle w:val="TextBody"/>
        <w:bidi w:val="0"/>
        <w:spacing w:before="240" w:after="0"/>
        <w:jc w:val="both"/>
        <w:rPr>
          <w:rFonts w:ascii="Times New Roman" w:hAnsi="Times New Roman"/>
          <w:sz w:val="20"/>
        </w:rPr>
      </w:pPr>
      <w:r>
        <w:rPr>
          <w:rFonts w:ascii="Times New Roman" w:hAnsi="Times New Roman"/>
          <w:sz w:val="20"/>
        </w:rPr>
        <w:t xml:space="preserve">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periodically grant equity-based payment awards in the form of stock options to employees, directors and non-employees and record stock-based compensation expenses for awards of stock-based payments based on their estimated fair value at the grant date. We recognize stock-based compensation expense for all equity-based payments, including stock options. Stock-based compensation costs are calculated based on the estimated fair value of the underlying option using the Black-Scholes option pricing model on the date of grant for stock options and recognized as expense in the accompanying statement of operations and comprehensive loss on a straight-line basis over the requisite service period, which is the vesting period. This model requires the use of highly subjective assumptions to determine the appropriate fair value of each equity-based payment award,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 See the subsection titled Determination of Fair Value of Our Common Stock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Since we are not yet a public company and do not have any trading history for our common stock, the expected volatility was estimated based on the historical volatilities of common stock of comparable publicly traded companies, for a look-back period commensurate with the expected term of the stock options. The comparable companies were chosen based on their size, stage of their life cycle or area of specialty. We will continue to apply this process until enough historical information regarding the volatility of our stock price becomes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used is based on the published U.S. Department of Treasury interest rates in effect at the time of stock option grant for zero coupon U.S. Treasury notes with maturities approximating each grants expected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 The expected dividend yield is zero as we have not paid dividends and do not anticipate paying a cash dividend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for options granted is calculated using the simplified method and represents the average time that options are expected to be outstanding based on the mid-point between the vesting date and the end of the contractual term of the award.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recognize forfeitures related to stock-based compensation awards as they occur. </w:t>
      </w:r>
    </w:p>
    <w:p>
      <w:pPr>
        <w:pStyle w:val="TextBody"/>
        <w:bidi w:val="0"/>
        <w:spacing w:before="240" w:after="0"/>
        <w:jc w:val="both"/>
        <w:rPr>
          <w:rFonts w:ascii="Times New Roman" w:hAnsi="Times New Roman"/>
          <w:sz w:val="20"/>
        </w:rPr>
      </w:pPr>
      <w:r>
        <w:rPr>
          <w:rFonts w:ascii="Times New Roman" w:hAnsi="Times New Roman"/>
          <w:sz w:val="20"/>
        </w:rPr>
        <w:t xml:space="preserve">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January 1, 2024, there was $13.9 million of total unrecognized stock-based compensation expense related to our granted options, which we expect to recognize over a remaining weighted-average period of 3.36 years. The intrinsic value of all outstanding options as of January 1, 2024 was $71.3 million based on the assumed initial public offering price of $17.00 per share, which is the midpoint of the price range set forth on the cover of this prospectus, of which approximately $24.5 million was related to vested options and approximately $46.8 million was related to unvested options.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Given the absence of a public trading market to date, the fair value of our common stock has been determined by our board of directors at the time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redeemable convertible preferred stock to outside investors in arms-length transactions, and the superior rights, preferences, and privileges of the redeemable convertible preferred stock relative to the common stock at the time of each grant; the progress of our companys R&amp;D programs, including their stages of development, and our companys business strategy; operating and financial performance; the lack of liquidity of the common stock and trends in the broader economy and biotechnology industry also impact the determination of the fair value of the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public peer companies. </w:t>
      </w:r>
    </w:p>
    <w:p>
      <w:pPr>
        <w:pStyle w:val="TextBody"/>
        <w:bidi w:val="0"/>
        <w:spacing w:before="240" w:after="0"/>
        <w:jc w:val="both"/>
        <w:rPr>
          <w:rFonts w:ascii="Times New Roman" w:hAnsi="Times New Roman"/>
          <w:sz w:val="20"/>
        </w:rPr>
      </w:pPr>
      <w:r>
        <w:rPr>
          <w:rFonts w:ascii="Times New Roman" w:hAnsi="Times New Roman"/>
          <w:sz w:val="20"/>
        </w:rPr>
        <w:t xml:space="preserve">These independent third-party valuations were performed in accordance with the guidance outlined in the American Institute of Certified Public Accountants Auditing and Valuation Guide, </w:t>
      </w:r>
      <w:r>
        <w:rPr>
          <w:rFonts w:ascii="Times New Roman" w:hAnsi="Times New Roman"/>
          <w:i/>
          <w:sz w:val="20"/>
        </w:rPr>
        <w:t>Valuation of Privately-Held-Company Equity Securities Issued as Compensation</w:t>
      </w:r>
      <w:r>
        <w:rPr>
          <w:rFonts w:ascii="Times New Roman" w:hAnsi="Times New Roman"/>
          <w:sz w:val="20"/>
        </w:rPr>
        <w:t xml:space="preserve"> (the Guide).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Guide identifies various available methods for allocating enterprise value across classes and series of capital stock to determine the estimated fair value of common stock at each valuation date.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Guide, we considered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Current Value Method</w:t>
            </w:r>
            <w:r>
              <w:rPr>
                <w:rFonts w:ascii="Times New Roman" w:hAnsi="Times New Roman"/>
                <w:sz w:val="20"/>
              </w:rPr>
              <w:t xml:space="preserve">. Under the current value method, once the fair value of the enterprise is established, the value is allocated to the various series of preferred and common stock based on their respective seniority, liquidation preferences or conversion values, whichever is greatest.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Option Pricing Method (OPM)</w:t>
            </w:r>
            <w:r>
              <w:rPr>
                <w:rFonts w:ascii="Times New Roman" w:hAnsi="Times New Roman"/>
                <w:sz w:val="20"/>
              </w:rPr>
              <w:t xml:space="preserve">.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Probability-Weighted Expected Return Method (PWERM)</w:t>
            </w:r>
            <w:r>
              <w:rPr>
                <w:rFonts w:ascii="Times New Roman" w:hAnsi="Times New Roman"/>
                <w:sz w:val="20"/>
              </w:rPr>
              <w:t xml:space="preserve">.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our early stage of development, the difficulty in predicting the range of specific outcomes (and their likelihood), and other relevant factors, a hybrid method computing the probability-weighted value across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two scenarios: the Current Value Method scenario and the OPM scenario, was considered most appropriate for valuations prior to April 2023. For options granted after April 30, 2023, a hybrid method between the PWERM and OPM was used, where the equity value was probability-weighted across multiple scenarios but using the OPM to estimate the allocation of value within one or more of those scenarios, and in certain cases taking into account secondary sale transactions. This method was determined to be the most appropriate valuation methodology based on our stage of development and other relevant factors.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w:t>
      </w:r>
    </w:p>
    <w:p>
      <w:pPr>
        <w:pStyle w:val="TextBody"/>
        <w:bidi w:val="0"/>
        <w:spacing w:before="240" w:after="0"/>
        <w:jc w:val="both"/>
        <w:rPr>
          <w:rFonts w:ascii="Times New Roman" w:hAnsi="Times New Roman"/>
          <w:sz w:val="20"/>
        </w:rPr>
      </w:pPr>
      <w:r>
        <w:rPr>
          <w:rFonts w:ascii="Times New Roman" w:hAnsi="Times New Roman"/>
          <w:sz w:val="20"/>
        </w:rPr>
        <w:t xml:space="preserve">There are significant judgments and estimates inherent in the determination of the fair value of our common stock. These judgments and estimates include assumptions regarding our future operating performance, the time to complete an initial public offering or other liquidity event, and the determination of the appropriate valuation methods. </w:t>
      </w:r>
    </w:p>
    <w:p>
      <w:pPr>
        <w:pStyle w:val="TextBody"/>
        <w:bidi w:val="0"/>
        <w:spacing w:before="240" w:after="0"/>
        <w:jc w:val="both"/>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by grant date the number of shares subject to options granted from January 1, 2022 through the date of this prospectus, the per share exercise price of the options, the per share fair value of our common stock on each grant date and the per share estimated fair value of the options: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969"/>
        <w:gridCol w:w="223"/>
        <w:gridCol w:w="109"/>
        <w:gridCol w:w="1804"/>
        <w:gridCol w:w="60"/>
        <w:gridCol w:w="223"/>
        <w:gridCol w:w="177"/>
        <w:gridCol w:w="874"/>
        <w:gridCol w:w="60"/>
        <w:gridCol w:w="223"/>
        <w:gridCol w:w="211"/>
        <w:gridCol w:w="1012"/>
        <w:gridCol w:w="60"/>
        <w:gridCol w:w="223"/>
        <w:gridCol w:w="234"/>
        <w:gridCol w:w="1146"/>
        <w:gridCol w:w="66"/>
      </w:tblGrid>
      <w:tr>
        <w:trPr/>
        <w:tc>
          <w:tcPr>
            <w:tcW w:w="1969"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 Date</w:t>
            </w:r>
          </w:p>
        </w:tc>
        <w:tc>
          <w:tcPr>
            <w:tcW w:w="223" w:type="dxa"/>
            <w:tcBorders/>
            <w:vAlign w:val="bottom"/>
          </w:tcPr>
          <w:p>
            <w:pPr>
              <w:pStyle w:val="TableContents"/>
              <w:bidi w:val="0"/>
              <w:spacing w:before="0" w:after="283"/>
              <w:jc w:val="left"/>
              <w:rPr/>
            </w:pPr>
            <w:r>
              <w:rPr/>
              <w:t>  </w:t>
            </w:r>
          </w:p>
        </w:tc>
        <w:tc>
          <w:tcPr>
            <w:tcW w:w="191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Subject to Options</w:t>
            </w:r>
            <w:r>
              <w:rPr/>
              <w:br/>
            </w:r>
            <w:r>
              <w:rPr>
                <w:b/>
              </w:rPr>
              <w:t>Granted</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Exercise</w:t>
            </w:r>
            <w:r>
              <w:rPr/>
              <w:br/>
            </w:r>
            <w:r>
              <w:rPr>
                <w:b/>
              </w:rPr>
              <w:t>Price of</w:t>
            </w:r>
            <w:r>
              <w:rPr/>
              <w:br/>
            </w:r>
            <w:r>
              <w:rPr>
                <w:b/>
              </w:rPr>
              <w:t>Options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Fair Value</w:t>
            </w:r>
            <w:r>
              <w:rPr/>
              <w:br/>
            </w:r>
            <w:r>
              <w:rPr>
                <w:b/>
              </w:rPr>
              <w:t>of Common</w:t>
            </w:r>
            <w:r>
              <w:rPr/>
              <w:br/>
            </w:r>
            <w:r>
              <w:rPr>
                <w:b/>
              </w:rPr>
              <w:t>Stock on</w:t>
            </w:r>
            <w:r>
              <w:rPr/>
              <w:br/>
            </w:r>
            <w:r>
              <w:rPr>
                <w:b/>
              </w:rPr>
              <w:t>Grant Date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r>
            <w:r>
              <w:rPr/>
              <w:br/>
            </w:r>
            <w:r>
              <w:rPr>
                <w:b/>
              </w:rPr>
              <w:t>Estimated</w:t>
            </w:r>
            <w:r>
              <w:rPr/>
              <w:br/>
            </w:r>
            <w:r>
              <w:rPr>
                <w:b/>
              </w:rPr>
              <w:t>Fair Value of</w:t>
            </w:r>
            <w:r>
              <w:rPr/>
              <w:br/>
            </w:r>
            <w:r>
              <w:rPr>
                <w:b/>
              </w:rPr>
              <w:t>Options</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 2022</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98,936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    </w:t>
            </w:r>
            <w:r>
              <w:rPr/>
              <w:t>1.82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r>
              <w:rPr/>
              <w:t>1.82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    </w:t>
            </w:r>
            <w:r>
              <w:rPr/>
              <w:t>1.15</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February 28, 2022</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42,502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1.15</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 2022</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27,380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1.24</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May 26, 2022</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84,425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1.24</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19, 2022</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594,754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1.63</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December 14, 2022</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34,143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1.63</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15, 2023</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46,754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1.63</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June 14, 2023</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884,432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2.67</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2023</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1,385,838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5.06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5.06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3.72</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October 9, 2023</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615,622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6.68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6.68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4.87</w:t>
            </w:r>
          </w:p>
        </w:tc>
        <w:tc>
          <w:tcPr>
            <w:tcW w:w="66"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20, 2023</w:t>
            </w:r>
          </w:p>
        </w:tc>
        <w:tc>
          <w:tcPr>
            <w:tcW w:w="22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104,876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7.82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7.82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5.63</w:t>
            </w:r>
          </w:p>
        </w:tc>
        <w:tc>
          <w:tcPr>
            <w:tcW w:w="66"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December 13, 2023</w:t>
            </w:r>
          </w:p>
        </w:tc>
        <w:tc>
          <w:tcPr>
            <w:tcW w:w="22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309,373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9.06</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both"/>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Standards </w:t>
      </w:r>
    </w:p>
    <w:p>
      <w:pPr>
        <w:pStyle w:val="TextBody"/>
        <w:bidi w:val="0"/>
        <w:spacing w:before="120" w:after="0"/>
        <w:jc w:val="both"/>
        <w:rPr>
          <w:rFonts w:ascii="Times New Roman" w:hAnsi="Times New Roman"/>
          <w:sz w:val="20"/>
        </w:rPr>
      </w:pPr>
      <w:r>
        <w:rPr>
          <w:rFonts w:ascii="Times New Roman" w:hAnsi="Times New Roman"/>
          <w:sz w:val="20"/>
        </w:rPr>
        <w:t xml:space="preserve">A description of recently issued accounting standards that may potentially impact our financial position, results of operations, and cash flows is included in Note 2 to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Status and Smaller Reporting Company Status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We will continue to remain an emerging growth company until the earliest of the following: (1) the last day of the fiscal year following the fifth anniversary of the date of the completion of this offering; (2) the last day of the fiscal year in which our total annual gross revenue is equal to or more than $1.235 billion; (3) the date on which we have issued more than $1.0 billion in nonconvertible debt during the previous three years; or (4) the date on which we are deemed to be a large accelerated filer under the rules of the SEC.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Our cash, cash equivalents, and marketable securities consist of cash held in readily available checking and money market accounts, as well as short-term debt securities. Our primary exposure to market risk is interest rate sensitivity, which is affected by changes in the general level of U.S. interest rates. However, because of the short-term nature of the instruments in our portfolio, a sudden change in market interest rates would not be expected to have a material impact on our financial condition or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Under our investment policy, we invest in highly rated securities, issued by the U.S. government or liquid money market funds. We do not invest in financial instruments for trading or speculative purposes, nor do we use leveraged financial instruments. A hypothetical 10% change in interest rates would not have a material impact on the value of our cash, cash equivalents, marketable securities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both"/>
        <w:rPr>
          <w:rFonts w:ascii="Times New Roman" w:hAnsi="Times New Roman"/>
          <w:sz w:val="20"/>
        </w:rPr>
      </w:pPr>
      <w:r>
        <w:rPr>
          <w:rFonts w:ascii="Times New Roman" w:hAnsi="Times New Roman"/>
          <w:sz w:val="20"/>
        </w:rPr>
        <w:t xml:space="preserve">We are not currently exposed to significant market risk related to changes in foreign currency exchange rates. As we continue to develop our business, our results of operations and cash flows will likely be more affected by fluctuations in foreign currency exchange rates, including the Euro and other currencies, which could adversely affect our results of operations. All of our employees and operations are currently located in the United States and our expenses are generally denominated in U.S. dollar. To date, we have not entered into any foreign currency hedging contracts to mitigate our exposure to foreign currency exchange risk. We do not believe that a hypothetical 10% increase or decrease in exchange rates during any of the periods presented would have had a material impact on our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bidi w:val="0"/>
        <w:spacing w:before="120" w:after="0"/>
        <w:jc w:val="both"/>
        <w:rPr>
          <w:rFonts w:ascii="Times New Roman" w:hAnsi="Times New Roman"/>
          <w:sz w:val="20"/>
        </w:rPr>
      </w:pPr>
      <w:r>
        <w:rPr>
          <w:rFonts w:ascii="Times New Roman" w:hAnsi="Times New Roman"/>
          <w:sz w:val="20"/>
        </w:rPr>
        <w:t xml:space="preserve">Inflation could affect us by increasing our cost of labor and R&amp;D costs. We do not believe inflation has had a material effect on our business, financial condition or results of operations, or on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551455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November 2023 and expect to report topline data by the end of 2024.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 </w:t>
      </w:r>
    </w:p>
    <w:p>
      <w:pPr>
        <w:pStyle w:val="TextBody"/>
        <w:bidi w:val="0"/>
        <w:spacing w:before="240" w:after="0"/>
        <w:jc w:val="both"/>
        <w:rPr>
          <w:rFonts w:ascii="Times New Roman" w:hAnsi="Times New Roman"/>
          <w:sz w:val="20"/>
        </w:rPr>
      </w:pPr>
      <w:r>
        <w:rPr>
          <w:rFonts w:ascii="Times New Roman" w:hAnsi="Times New Roman"/>
          <w:sz w:val="20"/>
        </w:rPr>
        <w:t xml:space="preserve">Cretostimogene has shown clinical benefit and has been generally well-tolerated as both a monotherapy and in combination with other therapies in clinical trials to date. Interim data for BOND-003 was reported at the 24th Annual Meeting of Society of Urologic Oncology (SUO) on November 30, 2023. As of the October 5, 2023 efficacy data cutoff, 50 of the 66 (75.7%; 95% CI: 63-85%) evaluable patients achieved a complete response (CR), generally meaning no evidence of bladder cancer,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Of those 50 patients who achieved a CR at any time, 42 out of 50 (84.0%) maintained their response for at least three months and 32 out of 43 (74.4%) maintained their response for at least six months. Seven patients had yet to reach the minimum duration of response (DOR) evaluation and were excluded from the assessment for durable CR lasting at least six months. A DOR is the length of time from the first response until the time the patient no longer meets the definition for a CR. Cretostimogene was generally well-tolerated in this trial as of the September 8, 2023 safety data cutoff, with mostly Grade 1 or Grade 2 adverse events reported and no Grade 3 or higher treatment-related adverse events (TRAEs) reported. There were no treatment discontinuations due to TRAEs and no deaths were reported. Two patients (1.8%) had serious adverse events (SAEs) including Grade 2 noninfective cystitis, which is the inflammation of the bladder not caused by a bacteria or other infectious agent, and Grade 2 clot retention, both of which resolved. In addition, in our ongoing open-label Phase 2 CORE-001 clinical trial of cretostimogene in combination with pembrolizumab in high-risk BCG-unresponsive NMIBC, 29 of the 34 (85%; 95% CI: 68-94%) patients evaluable as of the March 3, 2023 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Grade 2 SAE (urinary retention) deemed related to cretostimogene and two Grade 3 serious SAEs related to pembrolizumab (adrenal insufficiency and immune-mediated hepatitis), all of which resolved. Cretostimogene has received fast track designation from the FDA for the treatment of BCG-unresponsive, high risk NMIBC patients with carcinoma in-situ with or without Ta or T1 papillary tumors to improve CR. We have presented the confidence interval (CI) for CR at any time above and elsewhere in this prospectus. CI is a range of values in which, statistically, there is a specified level of confidence where the result lies. It is conventional to set the CI at 95%, which means 95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100 times, the CI will contain the true value. The lower bound of the 95% CI around the observed CR rate provides support that such rate may be clinically meaningful. Interim results from these trials may differ from future results of the trials as more patient data become available. We intend to evaluate cretostimogene for use in a variety of bladder cancer treatment settings, as shown in our pipeline below. </w:t>
      </w:r>
    </w:p>
    <w:p>
      <w:pPr>
        <w:pStyle w:val="TextBody"/>
        <w:bidi w:val="0"/>
        <w:spacing w:before="240" w:after="0"/>
        <w:jc w:val="center"/>
        <w:rPr>
          <w:rFonts w:ascii="Times New Roman" w:hAnsi="Times New Roman"/>
          <w:i/>
          <w:sz w:val="20"/>
        </w:rPr>
      </w:pPr>
      <w:r>
        <w:rPr>
          <w:rFonts w:ascii="Times New Roman" w:hAnsi="Times New Roman"/>
          <w:i/>
          <w:sz w:val="20"/>
        </w:rPr>
        <w:t xml:space="preserve">Our Cretostimogene Pipeline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945" cy="31496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75945" cy="3149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Planned clinical trial to be conducted under existing Investigational New Drug application (IND) previously cleared by the FDA.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product candidate is differentiated by several strengths that support our vision of cretostimogene as a potential backbone therapy in bladder cancer,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Demonstrated monotherapy clinical utility and durability of response, with a 75.7% (95% CI: 63-85%) CR at any time, in addition to 74.4% of evaluable responders maintaining their response for at least six months as of October 5, 2023 in our ongoing Phase 3 BOND-003 cretostimogene monotherapy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Observed tolerability, with no Grade 3 or higher TRAEs or patient discontinuations due to TRAEs as of September 8, 2023 in our ongoing Phase 3 BOND-003 cretostimogene monotherapy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deploying cretostimogene in combination with other therapies due to its observed tolerability and novel mechanism of action, supported by 85% (95% CI: 68-94%) of patients having shown a CR at any time in our ongoing Phase 2 CORE-001 clinical trial of cretostimogene in combination with the checkpoint inhibitor (CPI) pembrolizumab as of March 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Bladder Cancer Overview </w:t>
      </w:r>
    </w:p>
    <w:p>
      <w:pPr>
        <w:pStyle w:val="TextBody"/>
        <w:bidi w:val="0"/>
        <w:spacing w:before="120" w:after="0"/>
        <w:jc w:val="both"/>
        <w:rPr>
          <w:rFonts w:ascii="Times New Roman" w:hAnsi="Times New Roman"/>
          <w:sz w:val="20"/>
        </w:rPr>
      </w:pPr>
      <w:r>
        <w:rPr>
          <w:rFonts w:ascii="Times New Roman" w:hAnsi="Times New Roman"/>
          <w:sz w:val="20"/>
        </w:rPr>
        <w:t xml:space="preserve">Bladder cancer is a heterogeneous disease and involves a number of different cancer sub-types, which can be segmented into NMIBC or MIBC. The American Cancer Society estimates that in 2023, more than 82,000 people will be diagnosed with bladder cancer and that the disease will result in nearly 17,000 deaths. An estimated 725,000 people in the United States are currently living with the disease. NMIBC, which accounts for approximately 75% of newly diagnosed patients, describes earlier-stage bladder cancer that has not spread to the muscle wall. NMIBC can be further stratified by its specific risk profile, with high-risk NMIBC patients, who make up approximately 40% of the NMIBC patient population, at an elevated probability of disease progression to more aggressive MIBC within five years of initial diagnosis. Patients with intermediate-risk disease account for approximately 30% of total NMIBC diagnoses. </w:t>
      </w:r>
    </w:p>
    <w:p>
      <w:pPr>
        <w:pStyle w:val="TextBody"/>
        <w:bidi w:val="0"/>
        <w:spacing w:before="240" w:after="0"/>
        <w:jc w:val="both"/>
        <w:rPr>
          <w:rFonts w:ascii="Times New Roman" w:hAnsi="Times New Roman"/>
          <w:sz w:val="20"/>
        </w:rPr>
      </w:pPr>
      <w:r>
        <w:rPr>
          <w:rFonts w:ascii="Times New Roman" w:hAnsi="Times New Roman"/>
          <w:sz w:val="20"/>
        </w:rPr>
        <w:t xml:space="preserve">Current treatment for high-risk NMIBC typically involves TURBT followed by the intravesical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for BCG-unresponsive patients, only approximately 6% of NMIBC patients elect to undergo the procedure in light of the significant social, functional and emotional burden associated with it.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(NCCN) and guidance published jointly by the American Urological Association (AUA) and the SUO. </w:t>
      </w:r>
    </w:p>
    <w:p>
      <w:pPr>
        <w:pStyle w:val="TextBody"/>
        <w:bidi w:val="0"/>
        <w:spacing w:before="240" w:after="0"/>
        <w:jc w:val="both"/>
        <w:rPr>
          <w:rFonts w:ascii="Times New Roman" w:hAnsi="Times New Roman"/>
          <w:sz w:val="20"/>
        </w:rPr>
      </w:pPr>
      <w:r>
        <w:rPr>
          <w:rFonts w:ascii="Times New Roman" w:hAnsi="Times New Roman"/>
          <w:sz w:val="20"/>
        </w:rPr>
        <w:t xml:space="preserve">Instances of refractory and recurrence disease, patient aversion to cystectomy and the ongoing BCG supply constraints, have created a sizeable unmet medical need for alternative NMIBC therapeutics that are both safe and efficacious. Beyond our ongoing clinical trials in NMIBC, we also intend to initiate CORE-008, an open-label multi-cohort Phase 2 clinical trial designed to assess the safety and efficacy of cretostimogene when administered as monotherapy in high-risk NMIBC patients including BCG-exposed and BCG-naïve NMIBC patients. BCG-exposed patients are classified as those NMIBC patients with persistent, recurrent or progressive disease after BCG treatment but who do not meet the specific disease classification criteria requisite to be designated as BCG-unresponsive. BCG-naïve patients are classified as those NMIBC patients who have not received any prior BCG therapy.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NMIBC, we are also evaluating cretostimogene as a potential therapeutic to treat patients with MIBC. MIBC is a more aggressive form of bladder cancer than NMIBC and is associated with significantly higher mortality. In CORE-002, an ongoing single-arm exploratory investigator-sponsored clinical trial, cretostimogene is being evaluated in combination with the CPI nivolumab in MIBC patients ineligible for cisplatin chemotherapy prior to radical cystectomy. </w:t>
      </w:r>
    </w:p>
    <w:p>
      <w:pPr>
        <w:pStyle w:val="TextBody"/>
        <w:bidi w:val="0"/>
        <w:spacing w:before="360" w:after="0"/>
        <w:jc w:val="left"/>
        <w:rPr>
          <w:rFonts w:ascii="Times New Roman" w:hAnsi="Times New Roman"/>
          <w:b/>
          <w:sz w:val="20"/>
        </w:rPr>
      </w:pPr>
      <w:r>
        <w:rPr>
          <w:rFonts w:ascii="Times New Roman" w:hAnsi="Times New Roman"/>
          <w:b/>
          <w:sz w:val="20"/>
        </w:rPr>
        <w:t xml:space="preserve">Our Team and Investors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team includes industry executives with extensive biopharmaceutical experience. Arthur Kuan, our Chairman and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 treatment, nadofaragene. Ambaw was also the President of Photocure, a company focused on the diagnosis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treatment of bladder cancer and has also held several global leadership positions with biotech and medical device companies. Our Chief Medical Officer, Vijay Kasturi, M.D., previously served as Vice President, Clinical 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 of experience amongst our management team will enable us to bolster the cretostimogene development strategy and, if approved, its commercialization.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strength and experience of our leadership team, we believe we have a world class Chemistry, Manufacturing and Control (CMC) Advisory Board. The advisory board is chaired by Rick Rutter, Ph.D., who was previously the Executive Vice President of Biotherapeutics Pharmaceutical Sciences at Pfizer, responsible for Drug Substance and Drug Product Development for all macromolecules and vaccines in the Pfizer portfolio. Dan Takefman, Ph.D. was formerly the chief of the Gene Therapy Branch at the FDA. Dr. Takefman also headed regulatory activities at Spark Therapeutics from 2014 until its acquisition by Roche and oversaw the submission through regulatory approval of Luxturna (voretigene neparvovec). Richard Peluso, Ph.D. was the former Vice President of Biologics, Vaccines and Bioprocess R&amp;D at Merck &amp; Co (Merck), responsible for research and development for biologics and vaccines across the Merck portfolio. Victoria Sluzky, Ph.D., was the Senior Vice President of Technical Development at BioMarin, leading Global Quality and Process Sciences and facilitating implementation of global regulatory CMC strategy. We believe our CMC Advisory Board provides differentiated expertise in production and potential commercialization of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both"/>
        <w:rPr>
          <w:rFonts w:ascii="Times New Roman" w:hAnsi="Times New Roman"/>
          <w:sz w:val="20"/>
        </w:rPr>
      </w:pPr>
      <w:r>
        <w:rPr>
          <w:rFonts w:ascii="Times New Roman" w:hAnsi="Times New Roman"/>
          <w:sz w:val="20"/>
        </w:rPr>
        <w:t xml:space="preserve">We intend to become a leading company in the development and commercialization of innovative therapeutics to treat cancer, with an initial focus on bladder cancer. Key elements of our strategy to accomplish this objective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Complete the ongoing BOND-003 Phase 3 trial of cretostimogene as monotherapy in high-risk BCG-unresponsive NMIBC and pursue FDA approval</w:t>
            </w:r>
            <w:r>
              <w:rPr>
                <w:rFonts w:ascii="Times New Roman" w:hAnsi="Times New Roman"/>
                <w:b/>
                <w:i/>
                <w:sz w:val="20"/>
              </w:rPr>
              <w:t>.</w:t>
            </w:r>
            <w:r>
              <w:rPr>
                <w:rFonts w:ascii="Times New Roman" w:hAnsi="Times New Roman"/>
                <w:sz w:val="20"/>
              </w:rPr>
              <w:t xml:space="preserve"> We are evaluating the safety and efficacy of cretostimogene in BOND-003, our ongoing Phase 3 clinical trial. We have completed enrollment for this trial, reported interim data in November 2023 and expect to report topline data by the end of 2024. Given the significant unmet need in this indication, the FDA published guidance in 2018 that stated a single-arm clinical trial in patients with BCG-unresponsive NMIBC that assess CR rate as the primary endpoint, taking DOR into account, may be appropriate for full approval. Based on this guidance, we believe that, if successful, our BOND-003 trial could serve as the basis for a BLA submission to the FDA.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b/>
                <w:sz w:val="20"/>
              </w:rPr>
              <w:t>Expand the development of cretostimogene monotherapy as a potential backbone therapy across NMIBC indications</w:t>
            </w:r>
            <w:r>
              <w:rPr>
                <w:rFonts w:ascii="Times New Roman" w:hAnsi="Times New Roman"/>
                <w:i/>
                <w:sz w:val="20"/>
              </w:rPr>
              <w:t xml:space="preserve">. </w:t>
            </w:r>
            <w:r>
              <w:rPr>
                <w:rFonts w:ascii="Times New Roman" w:hAnsi="Times New Roman"/>
                <w:sz w:val="20"/>
              </w:rPr>
              <w:t xml:space="preserve">In addition to evaluating cretostimogene in patients with high-risk BCG-unresponsive NMIBC, and in light of the significant and ongoing global shortage of BCG, we intend to evaluate the safety and efficacy of cretostimogene as an alternative to BCG therapy in additional bladder cancer indications, including: (1) patients diagnosed with intermediate-risk NMIBC, who would likely benefit from earlier therapeutic intervention but are currently lacking access to BCG therapy, in our PIVOT-006 Phase 3 clinical trial; and (2) patients with high-risk BCG-exposed and BCG-naïve NMIBC in our planned CORE-008 open-label multi-cohort Phase 2 clinical trial. Through expanding the clinical evaluation of cretostimogene across NMIBC indications, we will attempt to address the significant unmet need in treatment of bladder cancer, with over 82,000 new U.S. diagnoses per year and over 725,000 patients living with bladder cancer in the United States, according to the American Cancer Society. We believe cretostimogene, if approved, has the potential to serve as first-line therapy, thereby alleviating the current need to prioritize treatment recipients and ration administration of BCG given its significant market shortage.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Continue to evaluate cretostimogene in combination with other therapies, such as CPIs, to potentially further enhance its clinical utility across various stages of bladder cancer</w:t>
            </w:r>
            <w:r>
              <w:rPr>
                <w:rFonts w:ascii="Times New Roman" w:hAnsi="Times New Roman"/>
                <w:b/>
                <w:i/>
                <w:sz w:val="20"/>
              </w:rPr>
              <w:t>.</w:t>
            </w:r>
            <w:r>
              <w:rPr>
                <w:rFonts w:ascii="Times New Roman" w:hAnsi="Times New Roman"/>
                <w:sz w:val="20"/>
              </w:rPr>
              <w:t xml:space="preserve"> As of November 30, 2023, cretostimogene had been administered in over 270 patients with a broad range of NMIBC risk profiles across multiple clinical trials and has been generally well-tolerated with no Grade 4 or 5 TRAEs observed and no treatment-related study discontinuations deemed related to cretostimogene. Based on observed tolerability data to date, we plan to evaluate the safety and efficacy of cretostimogene in combination with other therapies in addition to our monotherapy trials. These include our ongoing Phase 2 CORE-001 trial in combination with pembrolizumab for BCG-unresponsive NMIBC, and CORE-002, an ongoing exploratory investigator-sponsored single arm clinical trial in combination with nivolumab in MIBC. We believe our approach to combine cretostimogene with other therapeutics across several bladder cancer indications may potentially enhance the potential utility of our product candidate beyond our core strategy of targeting intermediate- and high-risk NMIBC via cretostimogene monotherapy.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Build our operational capabilities to successfully commercialize cretostimogene</w:t>
            </w:r>
            <w:r>
              <w:rPr>
                <w:rFonts w:ascii="Times New Roman" w:hAnsi="Times New Roman"/>
                <w:i/>
                <w:sz w:val="20"/>
              </w:rPr>
              <w:t xml:space="preserve">. </w:t>
            </w:r>
            <w:r>
              <w:rPr>
                <w:rFonts w:ascii="Times New Roman" w:hAnsi="Times New Roman"/>
                <w:sz w:val="20"/>
              </w:rPr>
              <w:t xml:space="preserve">If we obtain FDA regulatory approval for cretostimogene, we intend to build in-house sales and marketing capabilities to commercialize cretostimogene in the United States. While the number of patients suffering from bladder cancer is large and growing, a high volume of patients is concentrated in a small number of high value targets and a significant portion of large urology practices including academic urology practices that are concentrated in a relatively small number of major metropolitan areas. We believe this concentration will potentially enable us to efficiently reach a large portion of our addressable market with a relatively small commercial footprint. Importantly, urology practices are already deeply familiar with IVE delivery of BCG in NMIBC patients. Cretostimogene is similarly administered via IVE in the clinic setting by a nurse or medical assistant, and therefore does not require urologists nor anesthesia. We believe this could drive increased physician adoption and improve patient experience versus alternative treatments that require urology practices to learn an entirely new and unfamiliar procedure or to transfer them to a medical oncologist for treatment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Leverage our CMC expertise and relationships to scale commercialization efforts</w:t>
            </w:r>
            <w:r>
              <w:rPr>
                <w:rFonts w:ascii="Times New Roman" w:hAnsi="Times New Roman"/>
                <w:i/>
                <w:sz w:val="20"/>
              </w:rPr>
              <w:t>.</w:t>
            </w:r>
            <w:r>
              <w:rPr>
                <w:rFonts w:ascii="Times New Roman" w:hAnsi="Times New Roman"/>
                <w:sz w:val="20"/>
              </w:rPr>
              <w:t xml:space="preserve"> We have established in-house CMC expertise made up of individuals with oncolytic immunotherapy manufacturing experience, enhanced by an advisory board to help oversee our overall CMC strategic focus, while leveraging third parties for product manufacturing. We believe this approach will drive a high-yield manufacturing process capable of rapidly scaling to meet demand should cretostimogene receive FDA approval. We have established a world class CMC Advisory Board providing differentiated expertise in production and potential commercialization of cretostimogene. Our CMC Advisory Board represents former senior leadership from large pharmaceutical companies with deep experience in manufacturing at scale, as well as former FDA leadership. We believe our strategic CMC approach will potentially enable us to maintain an attractive cost of goods while rapidly achieving commercial scalability, if cretostimogene receives FDA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Bladder Cancer </w:t>
      </w:r>
    </w:p>
    <w:p>
      <w:pPr>
        <w:pStyle w:val="TextBody"/>
        <w:bidi w:val="0"/>
        <w:spacing w:before="120" w:after="0"/>
        <w:jc w:val="both"/>
        <w:rPr>
          <w:rFonts w:ascii="Times New Roman" w:hAnsi="Times New Roman"/>
          <w:sz w:val="20"/>
        </w:rPr>
      </w:pPr>
      <w:r>
        <w:rPr>
          <w:rFonts w:ascii="Times New Roman" w:hAnsi="Times New Roman"/>
          <w:sz w:val="20"/>
        </w:rPr>
        <w:t xml:space="preserve">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 </w:t>
      </w:r>
    </w:p>
    <w:p>
      <w:pPr>
        <w:pStyle w:val="TextBody"/>
        <w:bidi w:val="0"/>
        <w:spacing w:before="240" w:after="0"/>
        <w:jc w:val="center"/>
        <w:rPr>
          <w:rFonts w:ascii="Times New Roman" w:hAnsi="Times New Roman"/>
          <w:i/>
          <w:sz w:val="20"/>
        </w:rPr>
      </w:pPr>
      <w:r>
        <w:rPr>
          <w:rFonts w:ascii="Times New Roman" w:hAnsi="Times New Roman"/>
          <w:i/>
          <w:sz w:val="20"/>
        </w:rPr>
        <w:t xml:space="preserve">The Anatomy of the Bladder Wall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32575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78485" cy="3257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American Cancer Society estimates that in 2023, more than 82,000 people will be diagnosed with bladder cancer in the United States and that it will result in nearly 17,000 deaths. Notable is the disease prevalence with an estimated 725,000 people in the United States living with the disease. The relatively high prevalence rate is driven in part by chances of recurrence, which can be very high for NMIBC. It is estimated that approximately 15% to 61% of high-risk patients with NMIBC will develop recurrence within one year following treatment and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Bladder cancer patients are generally from high-risk populations, with 74% of patients over 65 years old and a median age of 73 years old. The global bladder cancer treatment market has been forecast to be approximately $9.9 billion by 2028, according to Evaluate Pharma. </w:t>
      </w:r>
    </w:p>
    <w:p>
      <w:pPr>
        <w:pStyle w:val="TextBody"/>
        <w:bidi w:val="0"/>
        <w:spacing w:before="240" w:after="0"/>
        <w:jc w:val="both"/>
        <w:rPr>
          <w:rFonts w:ascii="Times New Roman" w:hAnsi="Times New Roman"/>
          <w:sz w:val="20"/>
        </w:rPr>
      </w:pPr>
      <w:r>
        <w:rPr>
          <w:rFonts w:ascii="Times New Roman" w:hAnsi="Times New Roman"/>
          <w:sz w:val="20"/>
        </w:rPr>
        <w:t xml:space="preserve">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non-papillary. Papillary UC involves tumors configured as finger-like projections extending from the transitional epithelium into the bladder lumen. Non-papillary, or flat, UC, also known as carcinoma </w:t>
      </w:r>
      <w:r>
        <w:rPr>
          <w:rFonts w:ascii="Times New Roman" w:hAnsi="Times New Roman"/>
          <w:i/>
          <w:sz w:val="20"/>
        </w:rPr>
        <w:t>in situ</w:t>
      </w:r>
      <w:r>
        <w:rPr>
          <w:rFonts w:ascii="Times New Roman" w:hAnsi="Times New Roman"/>
          <w:sz w:val="20"/>
        </w:rPr>
        <w:t xml:space="preserve"> (CIS), which means the cancer is confined to the transitional epithelium, is generally difficult to treat via resection. The 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bladder cancer that is not UC includes squamous cell carcinomas, adenocarcinomas, sarcomas and small cell carcinomas. </w:t>
      </w:r>
    </w:p>
    <w:p>
      <w:pPr>
        <w:pStyle w:val="TextBody"/>
        <w:bidi w:val="0"/>
        <w:spacing w:before="240" w:after="0"/>
        <w:jc w:val="both"/>
        <w:rPr>
          <w:rFonts w:ascii="Times New Roman" w:hAnsi="Times New Roman"/>
          <w:sz w:val="20"/>
        </w:rPr>
      </w:pPr>
      <w:r>
        <w:rPr>
          <w:rFonts w:ascii="Times New Roman" w:hAnsi="Times New Roman"/>
          <w:sz w:val="20"/>
        </w:rPr>
        <w:t xml:space="preserve">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 </w:t>
      </w:r>
    </w:p>
    <w:p>
      <w:pPr>
        <w:pStyle w:val="TextBody"/>
        <w:bidi w:val="0"/>
        <w:spacing w:before="240" w:after="0"/>
        <w:jc w:val="center"/>
        <w:rPr>
          <w:rFonts w:ascii="Times New Roman" w:hAnsi="Times New Roman"/>
          <w:i/>
          <w:sz w:val="20"/>
        </w:rPr>
      </w:pPr>
      <w:r>
        <w:rPr>
          <w:rFonts w:ascii="Times New Roman" w:hAnsi="Times New Roman"/>
          <w:i/>
          <w:sz w:val="20"/>
        </w:rPr>
        <w:t xml:space="preserve">Bladder Cancer is Classified as either NMIBC or MIBC.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30099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15290" cy="30099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 </w:t>
      </w:r>
    </w:p>
    <w:p>
      <w:pPr>
        <w:pStyle w:val="TextBody"/>
        <w:bidi w:val="0"/>
        <w:spacing w:before="360" w:after="0"/>
        <w:jc w:val="left"/>
        <w:rPr>
          <w:rFonts w:ascii="Times New Roman" w:hAnsi="Times New Roman"/>
          <w:b/>
          <w:sz w:val="20"/>
        </w:rPr>
      </w:pPr>
      <w:r>
        <w:rPr>
          <w:rFonts w:ascii="Times New Roman" w:hAnsi="Times New Roman"/>
          <w:b/>
          <w:sz w:val="20"/>
        </w:rPr>
        <w:t xml:space="preserve">Current Treatment for NMIBC and its Limitations </w:t>
      </w:r>
    </w:p>
    <w:p>
      <w:pPr>
        <w:pStyle w:val="TextBody"/>
        <w:bidi w:val="0"/>
        <w:spacing w:before="120" w:after="0"/>
        <w:jc w:val="both"/>
        <w:rPr>
          <w:rFonts w:ascii="Times New Roman" w:hAnsi="Times New Roman"/>
          <w:sz w:val="20"/>
        </w:rPr>
      </w:pPr>
      <w:r>
        <w:rPr>
          <w:rFonts w:ascii="Times New Roman" w:hAnsi="Times New Roman"/>
          <w:sz w:val="20"/>
        </w:rPr>
        <w:t xml:space="preserve">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through IVE delivery. </w:t>
      </w:r>
    </w:p>
    <w:p>
      <w:pPr>
        <w:pStyle w:val="TextBody"/>
        <w:bidi w:val="0"/>
        <w:spacing w:before="240" w:after="0"/>
        <w:jc w:val="both"/>
        <w:rPr>
          <w:rFonts w:ascii="Times New Roman" w:hAnsi="Times New Roman"/>
          <w:sz w:val="20"/>
        </w:rPr>
      </w:pPr>
      <w:r>
        <w:rPr>
          <w:rFonts w:ascii="Times New Roman" w:hAnsi="Times New Roman"/>
          <w:sz w:val="20"/>
        </w:rPr>
        <w:t xml:space="preserve">BCG therapy involves the use of a live, attenuated mycobacterium to induce a non-specific anti-tumor immune response in the bladder mucosa and provides meaningful therapeutic utility in the treatment of NMIBC.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use of BCG therapy following TURBT has exhibited sustained anti-tumor activity, with nearly 70% of patients experiencing a CR after an initial induction course of therapy. Despite BCGs effectiveness, there is a significant global shortage of BCG as described below. In addition, approximately 50% of these patients will experience a recurrence of the tumor and few treatment options are available for patients who become unresponsive to BCG treatment.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Patient Classification </w:t>
      </w:r>
    </w:p>
    <w:p>
      <w:pPr>
        <w:pStyle w:val="TextBody"/>
        <w:bidi w:val="0"/>
        <w:spacing w:before="120" w:after="0"/>
        <w:jc w:val="both"/>
        <w:rPr>
          <w:rFonts w:ascii="Times New Roman" w:hAnsi="Times New Roman"/>
          <w:sz w:val="20"/>
        </w:rPr>
      </w:pPr>
      <w:r>
        <w:rPr>
          <w:rFonts w:ascii="Times New Roman" w:hAnsi="Times New Roman"/>
          <w:sz w:val="20"/>
        </w:rPr>
        <w:t xml:space="preserve">NMIBC is a heterogeneous disease with significant variation in individual risk of recurrence and progression to MIBC. In clinical practice, patients fall on a spectrum of high-risk NMIBC extending from BCG-naïve NMIBC, which refers to patients who havent received BCG treatment, at one end to BCG-unresponsive NMIBC at the other. Numerous iterations of guidelines on disease classification have evolved over time, primarily from medical industry groups such as the AUA. In February 2018, the FDA published guidance titled BCG-Unresponsive Nonmuscle Invasive Bladder Cancer: Developing Drugs and Biologics for Treatment, in order to assist sponsors in the development of drugs, including biologics, for the treatment of BCG-unresponsive NMIBC patients. The FDA guidance provides disease-state definitions and advice on patient selection, risk stratification, and clinical trial design in the BCG-unresponsive NMIBC patient population. </w:t>
      </w:r>
    </w:p>
    <w:p>
      <w:pPr>
        <w:pStyle w:val="TextBody"/>
        <w:bidi w:val="0"/>
        <w:spacing w:before="240" w:after="0"/>
        <w:jc w:val="both"/>
        <w:rPr>
          <w:rFonts w:ascii="Times New Roman" w:hAnsi="Times New Roman"/>
          <w:sz w:val="20"/>
        </w:rPr>
      </w:pPr>
      <w:r>
        <w:rPr>
          <w:rFonts w:ascii="Times New Roman" w:hAnsi="Times New Roman"/>
          <w:sz w:val="20"/>
        </w:rPr>
        <w:t xml:space="preserve">According to the 2018 FDA guidance, BCG-unresponsive NMIBC is defined as being at least one of the following: (1) persistent or recurrent CIS alone or with recurrent Ta/T1 disease within 12 months of completion of adequate BCG therapy; (2) recurrent high-grade Ta/T1 disease within six months of completion of adequate BCG therapy; or (3) T1 high-grade disease at the first evaluation following an induction BCG course. </w:t>
      </w:r>
    </w:p>
    <w:p>
      <w:pPr>
        <w:pStyle w:val="TextBody"/>
        <w:bidi w:val="0"/>
        <w:spacing w:before="240" w:after="0"/>
        <w:jc w:val="both"/>
        <w:rPr>
          <w:rFonts w:ascii="Times New Roman" w:hAnsi="Times New Roman"/>
          <w:sz w:val="20"/>
        </w:rPr>
      </w:pPr>
      <w:r>
        <w:rPr>
          <w:rFonts w:ascii="Times New Roman" w:hAnsi="Times New Roman"/>
          <w:sz w:val="20"/>
        </w:rPr>
        <w:t xml:space="preserve">In this context, adequate BCG therapy is defined as at least one of the following: (1) at least five of six doses of an initial induction course plus at least two of three doses of maintenance therapy, or (2) at least five of six doses of an initial induction course plus at least two of six doses of a second induction course. </w:t>
      </w:r>
    </w:p>
    <w:p>
      <w:pPr>
        <w:pStyle w:val="TextBody"/>
        <w:bidi w:val="0"/>
        <w:spacing w:before="240" w:after="0"/>
        <w:jc w:val="both"/>
        <w:rPr>
          <w:rFonts w:ascii="Times New Roman" w:hAnsi="Times New Roman"/>
          <w:sz w:val="20"/>
        </w:rPr>
      </w:pPr>
      <w:r>
        <w:rPr>
          <w:rFonts w:ascii="Times New Roman" w:hAnsi="Times New Roman"/>
          <w:sz w:val="20"/>
        </w:rPr>
        <w:t xml:space="preserve">In between BCG-naïve and BCG-unresponsive NMIBC lies a disease state where patients do not meet the criteria for either definition called BCG-exposed, which describes a combination of disease states related to prior BCG treatment that are neither BCG-naïve nor BCG-unresponsive. The chart below shows the various treatment pathways leading patients to be classified as BCG-unresponsive or BCG-exposed.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7051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77850" cy="27051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Patients will be classified as BCG-exposed in many cases including: (1) persistent or recurrent high-grade Ta or CIS-containing disease within three months of completion of an induction course of BCG therapy; (2) any high-risk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recurrence after completion of adequate BCG therapy outside of the BCG-unresponsive window; or (3) any high-risk recurrence after completion of inadequate BCG therapy within a 24-month window. </w:t>
      </w:r>
    </w:p>
    <w:p>
      <w:pPr>
        <w:pStyle w:val="TextBody"/>
        <w:bidi w:val="0"/>
        <w:spacing w:before="240" w:after="0"/>
        <w:jc w:val="both"/>
        <w:rPr>
          <w:rFonts w:ascii="Times New Roman" w:hAnsi="Times New Roman"/>
          <w:sz w:val="20"/>
        </w:rPr>
      </w:pPr>
      <w:r>
        <w:rPr>
          <w:rFonts w:ascii="Times New Roman" w:hAnsi="Times New Roman"/>
          <w:sz w:val="20"/>
        </w:rPr>
        <w:t xml:space="preserve">According to AUA risk stratification guidelines, intermediate-risk NMIBC is defined as at least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Low-grade urothelial carcinoma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Low-grade T1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Solitary low-grade Ta disease &gt; 3 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Multifocal low-grade Ta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Recurrent low-grade Ta disease within 1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High-grade urothelial carcinoma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309"/>
        <w:gridCol w:w="102"/>
        <w:gridCol w:w="8878"/>
      </w:tblGrid>
      <w:tr>
        <w:trPr/>
        <w:tc>
          <w:tcPr>
            <w:tcW w:w="916" w:type="dxa"/>
            <w:tcBorders/>
            <w:vAlign w:val="center"/>
          </w:tcPr>
          <w:p>
            <w:pPr>
              <w:pStyle w:val="TableContents"/>
              <w:bidi w:val="0"/>
              <w:spacing w:before="0" w:after="283"/>
              <w:jc w:val="left"/>
              <w:rPr/>
            </w:pPr>
            <w:r>
              <w:rPr/>
              <w:t> </w:t>
            </w:r>
          </w:p>
        </w:tc>
        <w:tc>
          <w:tcPr>
            <w:tcW w:w="309"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Solitary High-grade Ta ≤ 3cm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Limited Treatment Options for High-risk BCG-unresponsive NMIBC Patients </w:t>
      </w:r>
    </w:p>
    <w:p>
      <w:pPr>
        <w:pStyle w:val="TextBody"/>
        <w:bidi w:val="0"/>
        <w:spacing w:before="120" w:after="0"/>
        <w:jc w:val="both"/>
        <w:rPr>
          <w:rFonts w:ascii="Times New Roman" w:hAnsi="Times New Roman"/>
          <w:sz w:val="20"/>
        </w:rPr>
      </w:pPr>
      <w:r>
        <w:rPr>
          <w:rFonts w:ascii="Times New Roman" w:hAnsi="Times New Roman"/>
          <w:sz w:val="20"/>
        </w:rPr>
        <w:t xml:space="preserve">While BCG has been the standard adjuvant therapy for high-risk NMIBC after TURBT, BCG is not without its limitations; it is estimated that approximately 50% of patients eventually develop tumor recurrence. While a subset of these patients will respond to a second round of BCG induction therapy, few treatment options are available to those who are BCG-unresponsive. IVE-delivery of chemotherapy has demonstrated limited benefit. The CR rate reported for valrubicin, the only approved chemotherapy for BCG-refractory patients, is 18% at six months. CIS-containing tumors are typically not considered resectable, further limiting treatment options for BCG-unresponsive patients. Failure to achieve a CR is associated with an increased risk of death or a disease-worsening event. As such, the use of valrubicin in this setting has not been widely adopted. </w:t>
      </w:r>
    </w:p>
    <w:p>
      <w:pPr>
        <w:pStyle w:val="TextBody"/>
        <w:bidi w:val="0"/>
        <w:spacing w:before="240" w:after="0"/>
        <w:jc w:val="both"/>
        <w:rPr>
          <w:rFonts w:ascii="Times New Roman" w:hAnsi="Times New Roman"/>
          <w:sz w:val="20"/>
        </w:rPr>
      </w:pPr>
      <w:r>
        <w:rPr>
          <w:rFonts w:ascii="Times New Roman" w:hAnsi="Times New Roman"/>
          <w:sz w:val="20"/>
        </w:rPr>
        <w:t xml:space="preserve">In January 2020, pembrolizumab, sold by Merck, was approved by the FDA to treat high-risk BCG-unresponsive NMIBC as monotherapy based on the results of the KEYNOTE-057 Phase 2 clinical trial. In the cohort of participants with CIS-stage tumors, with or without papillary tumors, 39 of 96 patients, or 41%, had a CR at 3 months, with the median duration of response being 16.2 months. The percentage of trial participants with a CR declined to 19% at 12 months. Among the trial cohort involving BCG-unresponsive, high-risk non-CIS papillary tumors the 12-month disease free survival (DFS) rate was 43.5% with a median DFS of 7.7 months. Patients in KEYNOTE-057 were administered systemic pembrolizumab by a medical oncologist by infusion every 3 weeks for up to 24 months or until disease persistence, recurrence, progression, unacceptable toxic effects, or withdrawal of consent. Across both trial cohorts, Grade 3 or 4 toxicities were observed in 13% of participants, of which the most common were hyponatremia and arthralgia. Serious treatment-related adverse events were noted in 8% of patients, including but not limited to colitis, autoimmune nephritis, hyperthyroidism, lymphocyte count decrease, pulmonary embolism, and syncope. Seven percent of patients discontinued due to TRAEs (cholestatic hepatitis, hyponatremia, nephritis, and type 1 diabetes mellitus). </w:t>
      </w:r>
    </w:p>
    <w:p>
      <w:pPr>
        <w:pStyle w:val="TextBody"/>
        <w:bidi w:val="0"/>
        <w:spacing w:before="240" w:after="0"/>
        <w:jc w:val="both"/>
        <w:rPr>
          <w:rFonts w:ascii="Times New Roman" w:hAnsi="Times New Roman"/>
          <w:sz w:val="20"/>
        </w:rPr>
      </w:pPr>
      <w:r>
        <w:rPr>
          <w:rFonts w:ascii="Times New Roman" w:hAnsi="Times New Roman"/>
          <w:sz w:val="20"/>
        </w:rPr>
        <w:t xml:space="preserve">Nadofaragene firadenovec (nadofaragene), a non-replicating adenoviral-based gene therapy produced by Ferring that activates interferon </w:t>
      </w:r>
      <w:r>
        <w:rPr>
          <w:rFonts w:ascii="SYMBOL" w:hAnsi="SYMBOL"/>
          <w:sz w:val="20"/>
        </w:rPr>
        <w:t>a</w:t>
      </w:r>
      <w:r>
        <w:rPr>
          <w:rFonts w:ascii="Times New Roman" w:hAnsi="Times New Roman"/>
          <w:sz w:val="20"/>
        </w:rPr>
        <w:t xml:space="preserve">2b, was approved by the FDA in December 2022 to treat high-risk BCG-unresponsive NMIBC CIS-stage, with or without papillary tumors. In a Phase 3 clinical trial evaluating nadofaragene for the treatment BCG-unresponsive NMIBC, 51% of patients achieved a CR and 24% of patients maintained a CR at 12 months. Grade 3 or 4 treatment-related adverse events occurred in 4% of patients, including micturition urgency, bladder spasms, urinary incontinence, syncope, and hypertension. Serious treatment-related adverse events were reported in 2% of patients (syncope, sepsis, and hematuria). In September 2023, Ferring announced that it dosed the first bladder cancer patient with commercially available nadofaragene as part of their limited-release commercial launch as they increase manufacturing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in part on a retrospective analysis of high-risk NMIBC patients, combination chemotherapy of gemcitabine and docetaxel are used in practice, although these drugs have not received FDA approval for this indication. </w:t>
      </w:r>
    </w:p>
    <w:p>
      <w:pPr>
        <w:pStyle w:val="TextBody"/>
        <w:bidi w:val="0"/>
        <w:spacing w:before="240" w:after="0"/>
        <w:jc w:val="both"/>
        <w:rPr>
          <w:rFonts w:ascii="Times New Roman" w:hAnsi="Times New Roman"/>
          <w:sz w:val="20"/>
        </w:rPr>
      </w:pPr>
      <w:r>
        <w:rPr>
          <w:rFonts w:ascii="Times New Roman" w:hAnsi="Times New Roman"/>
          <w:sz w:val="20"/>
        </w:rPr>
        <w:t xml:space="preserve">Given the significant unmet medical need, several additional potential treatments for NMIBC are in various stages of clinical development and regulatory approval. There are multiple companies that have reported drug candidates in clinical development. For example, ImmunityBio Inc.s N-803 is an IVE-delivered IL-15 agonist delivered in combination with BCG. N-803s regulatory application received a complete response letter from the FDA due to deficiencies in pre-license inspections of the companys third-party manufacturers. In addition, Urogen Pharma, Inc.s UGN-102 is an IVE-delivered DNA synthesis inhibitor, mitomycin, in gel formulation for treatment of low-grade intermediate-risk BCG-naïve NMIBC. Janssen Pharmaceuticals, Inc.s TAR-200 is a drug delivery system administered via cystoscopic procedure every three weeks for the first 24 weeks (administered by a urologist in a procedure room under local anesthesia) with a continuous controlled-release dose of gemcitabine for treatment of BCG-unresponsive NMIBC. enGene, Inc.s EG-70 is an IVE-delivered IL-2 and RIG-I dual-agonist.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Patient Aversion to Complete Removal of the Bladder as well as Underlying Mortality Risk </w:t>
      </w:r>
    </w:p>
    <w:p>
      <w:pPr>
        <w:pStyle w:val="TextBody"/>
        <w:bidi w:val="0"/>
        <w:spacing w:before="120" w:after="0"/>
        <w:jc w:val="both"/>
        <w:rPr>
          <w:rFonts w:ascii="Times New Roman" w:hAnsi="Times New Roman"/>
          <w:sz w:val="20"/>
        </w:rPr>
      </w:pPr>
      <w:r>
        <w:rPr>
          <w:rFonts w:ascii="Times New Roman" w:hAnsi="Times New Roman"/>
          <w:sz w:val="20"/>
        </w:rPr>
        <w:t xml:space="preserve">Radical cystectomy, or the complete removal of the bladder, remains the standard of care for high-risk BCG-unresponsive NMIBC patients, but commonly requires an ostomy appliance for urinary diversion. Despite being the standard of care, only approximately 6% of high-risk BCG-unresponsive NMIBC patients elect to have a radical cystectomy. This hesitancy is associated with significant social, functional and emotional burden. Cystectomy and the radical change in daily routine required often results in diminished body image perception. While the physical and functional trauma may subside, the psychological and emotional burden associated with the consequences of the surgery, which may extend to a patients caregivers and healthcare providers, remain. In addition, the procedure is associated with high degrees of morbidity and mortality. Approximately 64% of patients undergoing a radical cystectomy experience complications, with approximately 26% of patients requiring readmission for surgery-related complications and an overall readmission rate estimated to be between 20% and 29%. Moreover, the mortality rate within 90 days of the procedure is between 2% and 5%, likely associated with the more advanced age of many bladder cancer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Chronic Short Supply of BCG is Expected to Persist for Years </w:t>
      </w:r>
    </w:p>
    <w:p>
      <w:pPr>
        <w:pStyle w:val="TextBody"/>
        <w:bidi w:val="0"/>
        <w:spacing w:before="120" w:after="0"/>
        <w:jc w:val="both"/>
        <w:rPr>
          <w:rFonts w:ascii="Times New Roman" w:hAnsi="Times New Roman"/>
          <w:sz w:val="20"/>
        </w:rPr>
      </w:pPr>
      <w:r>
        <w:rPr>
          <w:rFonts w:ascii="Times New Roman" w:hAnsi="Times New Roman"/>
          <w:sz w:val="20"/>
        </w:rPr>
        <w:t xml:space="preserve">A key current issue with BCG is that continual production shortages have left many urological practices in need of an effective and readily available alternative first-line treatment. The production of BCG therapy involves a lengthy and complex manufacturing process and is produced for both the United States and most international markets by a single manufacturer, Merck. In 2017, Sanofi discontinued production of Connaught BCG after a history in challenges producing the product, including a shutdown following a 2011 FDA inspection of documented nonconformances including isolation of mold within the BCG aseptic processing areas, which further exacerbated the overall availability of BCG in the United States. While there are other options globally for BCG, none of the options are available in the United States, except for the TICE BCG strain manufactured by Merck. A randomized controlled, head-to-head trial may be needed to fully examine the impact of different BCG strains on clinical outcomes for bladder cancer patients. </w:t>
      </w:r>
    </w:p>
    <w:p>
      <w:pPr>
        <w:pStyle w:val="TextBody"/>
        <w:bidi w:val="0"/>
        <w:spacing w:before="240" w:after="0"/>
        <w:jc w:val="both"/>
        <w:rPr>
          <w:rFonts w:ascii="Times New Roman" w:hAnsi="Times New Roman"/>
          <w:sz w:val="20"/>
        </w:rPr>
      </w:pPr>
      <w:r>
        <w:rPr>
          <w:rFonts w:ascii="Times New Roman" w:hAnsi="Times New Roman"/>
          <w:sz w:val="20"/>
        </w:rPr>
        <w:t xml:space="preserve">BCG has been in short supply for over ten years as demand has outpaced available production capacity. In light of these supply constraints, the use of BCG therapy as induction therapy has been restricted to BCG-naïve, high-grade T1 or CIS-containing NMIBC patients only, with maintenance therapy limited to 12 months. The NCCN and AUC/SOC guidelines no longer recommend BCG therapy for intermediate-risk NMIBC, instead indicating that BCG should be prioritized for high-risk NMIBC patients only. Moreover, even among BCG-eligible patients, drug shortages have in some cases necessitated a reduction from a full-dose course of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October 2020, Merck announced plans to build an additional BCG manufacturing site and has stated that construction is underway, and the new facility is on track to be completed between late 2025 and late 2026. The current market is only producing 69% of the estimated BCG need based on 2018 baseline volume; even with additional supply, the annual supply gap could be significant. We believe that disease recurrence after BCG therapy, together with current and anticipated ongoing supply shortages, highlights a significant unmet medical need for alternative NMIBC therapeutics which are both safe and efficacious, particularly in the intermediate- and high-risk NMIBC patient populations for whom BCG therapy is not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Barriers Exist in Development and Adoption of New Treatments for NMIBC </w:t>
      </w:r>
    </w:p>
    <w:p>
      <w:pPr>
        <w:pStyle w:val="TextBody"/>
        <w:bidi w:val="0"/>
        <w:spacing w:before="120" w:after="0"/>
        <w:jc w:val="both"/>
        <w:rPr>
          <w:rFonts w:ascii="Times New Roman" w:hAnsi="Times New Roman"/>
          <w:sz w:val="20"/>
        </w:rPr>
      </w:pPr>
      <w:r>
        <w:rPr>
          <w:rFonts w:ascii="Times New Roman" w:hAnsi="Times New Roman"/>
          <w:sz w:val="20"/>
        </w:rPr>
        <w:t xml:space="preserve">Treatments that require administrative methods differing from BCG, such as requirements for operating/procedure room time under anesthesia or intravenous (IV) administration, may limit physician adoption, particularly in community urology practices. Further, we believe any treatment seeking to replace or compete with TURBT in intermediate-risk NMIBC will face slow adoption given TURBTs place as a cornerstone treatment for urology practices, driving a significant portion of providers economics. In addition, treatments leveraging chemotherapies have demonstrated tolerability challenges and adverse events that limit their potential to be combined with other therapeutic agents to further enhance the efficacy profile. Cretostimogenes administration, which is similar to BCG, could offer convenience for urology practice adoption that will potentially allow cretostimogene to become a backbone therapy across several bladder cancer indications, if successfully developed and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Cretostimogene: Our Product Candidate for Intermediate- and High-Risk NMIBC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is an investigational engineered oncolytic immunotherapy that has been designed both to eliminate cancer cells directly by selective replication within cancer cells and indirectly activating an anti-tumor immune response. Our ongoing open-label Phase 3 clinical trial, BOND-003, is designed to assess the safety and efficacy of cretostimogene in high-risk BCG-unresponsive NMIBC when administered as a monotherapy. We have completed patient enrollment in the 116-patient BOND-003 trial and expect to report topline data by the end of 2024. We are also evaluating the safety and efficacy of cretostimogene when used in combination with pembrolizumab in CORE-001, our open-label Phase 2 clinical trial in this same patient population. We believe the clinical trial results observed to date reflect the differentiated therapeutic potential of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Cretostimogene has shown clinical benefit and has been generally well-tolerated as both a monotherapy and in combination in clinical trials to date. In BOND-003, 50 of the 66 (75.7%; 95% CI: 63-85%) of the evaluable patients achieved a CR at any time after the administration of cretostimogene as of the October 5, 2023 efficacy data cutoff. Of those 50 responders, 42 out of 50 (84.0%) maintained their response for at least three months and 31 out of 43 (74.4%) maintained their response for at least six months as of the data cutoff. Cretostimogene has also demonstrated clinical activity when administered in combination with pembrolizumab to patients with high risk, BCG-unresponsive NMIBC in our ongoing Phase 2 CORE-001 open-label clinical trial. In this trial, 29 of the 34 (85%; 95% CI: 63-85%) patients evaluable as of the March 3, 2023 data cutoff achieved a CR after an initial induction therapy, with 82% (n=27/33) of evaluable patients maintaining a CR at six months, and 68% (n=17/25) of evaluable patients maintaining a CR at 12 months. As of November 30, 2023, cretostimogene has been administered in over 270 patients during clinical trial investigations, and has been generally well-tolerated with no Grade 4 or 5 TRAEs observed and no treatment-related study discontinuations deemed related to cretostimogene. There have been no discontinuations from CORE-001 related to cretostimogene. </w:t>
      </w:r>
    </w:p>
    <w:p>
      <w:pPr>
        <w:pStyle w:val="TextBody"/>
        <w:bidi w:val="0"/>
        <w:spacing w:before="240" w:after="0"/>
        <w:jc w:val="both"/>
        <w:rPr>
          <w:rFonts w:ascii="Times New Roman" w:hAnsi="Times New Roman"/>
          <w:sz w:val="20"/>
        </w:rPr>
      </w:pPr>
      <w:r>
        <w:rPr>
          <w:rFonts w:ascii="Times New Roman" w:hAnsi="Times New Roman"/>
          <w:sz w:val="20"/>
        </w:rPr>
        <w:t xml:space="preserve">We initiated PIVOT-006 in November 2023, which is a randomized Phase 3 clinical trial designed to assess the safety and efficacy of adjuvant cretostimogene in intermediate-risk NMIBC patients following TURBT. We also intend to initiate CORE-008, which is an open-label multi-cohort Phase 2 clinical trial designed to assess the safety and efficacy of cretostimogene when administered as monotherapy, including in (1) high-risk NMIBC patients categorized as BCG-exposed but not yet designated unresponsive, and (2) high-risk NMIBC patients categorized as BCG-naïve.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ongoing and planned clinical trials and the specific NMIBC patient population to be evaluated are presented in the following chart. </w:t>
      </w:r>
    </w:p>
    <w:p>
      <w:pPr>
        <w:pStyle w:val="TextBody"/>
        <w:bidi w:val="0"/>
        <w:spacing w:before="240" w:after="0"/>
        <w:jc w:val="center"/>
        <w:rPr>
          <w:rFonts w:ascii="Times New Roman" w:hAnsi="Times New Roman"/>
          <w:i/>
          <w:sz w:val="20"/>
        </w:rPr>
      </w:pPr>
      <w:r>
        <w:rPr>
          <w:rFonts w:ascii="Times New Roman" w:hAnsi="Times New Roman"/>
          <w:i/>
          <w:sz w:val="20"/>
        </w:rPr>
        <w:t xml:space="preserve">Clinical Trials are Ongoing or Planned to Evaluate Cretostimogene in a Range of NMIBC Patient Populations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444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77850" cy="24447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believe NMIBC patients with BCG-unresponsive disease are unlikely to benefit from further BCG therapy. Additionally, given the patient burden and mortality associated with cystectomy, bladder preservation through the avoidance or delay of cystectomy is an intended outcome of new therapeutic product candidates for bladder cancer. We believe our approach is supported by the February 2018 FDA guidance regarding clinical trial design targeting a BCG-unresponsive, CIS-containing NMIBC patients states that a single-arm trial that assesses CR rate as the primary endpoint, taking DOR into account, may be appropriate for full approval, or may require a confirmatory trial after accelerated approval. As of September 30, 2023, there were two products that have received full FDA approval based on data from single-arm clinical trials following the issuance of the guidance.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Grenadenorepvec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is an investigational engineered, conditionally replicating oncolytic immunotherapy that has been designed to preferentially replicate in retinoblastoma (Rb) gene pathway-defective cells present in the majority of urothelial carcinomas and trigger an anti-tumor immune response. Cretostimogene enters the tumor by binding to Coxsackievirus and Adenovirus Receptors (CAR) present in specialized intracellular junctions and tight junctions of polarized epithelial cells. </w:t>
      </w:r>
    </w:p>
    <w:p>
      <w:pPr>
        <w:pStyle w:val="TextBody"/>
        <w:bidi w:val="0"/>
        <w:spacing w:before="240" w:after="0"/>
        <w:jc w:val="both"/>
        <w:rPr>
          <w:rFonts w:ascii="Times New Roman" w:hAnsi="Times New Roman"/>
          <w:sz w:val="20"/>
        </w:rPr>
      </w:pPr>
      <w:r>
        <w:rPr>
          <w:rFonts w:ascii="Times New Roman" w:hAnsi="Times New Roman"/>
          <w:sz w:val="20"/>
        </w:rPr>
        <w:t xml:space="preserve">There are two modifications made to cretostimogene for tumor selectivity and potency. The first modification is the insertion of an E2F-1 promoter in cretostimogene which acts as a safety mechanism to selectively replicate and lyse Rb-defective tumor cells rather than healthy cells which have intact Rb pathways. The second modification is the insertion of the gene for the cytokine granulocyte-macrophage colony stimulation factor (GM-CSF). GM-CSF is widely recognized as a potent stimulator of longer-term anti-tumor activity and we believe its addition to the viral construct may both prime the immune system and induce tumor-specific immunity. Replication and lysis of Rb-defective tumor cells by cretostimogene may trigger an immunogenic cell death that stimulates an anti-tumor immune response.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Comparison of Wild-Type Adenovirus and Our Cretostimogene Constructs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3685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8485" cy="236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Overview of Cretostimogenes Replication Selectivity in Healthy Versus Cancerous Cells with Defective Rb-Pathway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2575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77850" cy="3257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Prior to the administration of cretostimogene, patients undergo a saline wash and are then pretreated with n-Dodecyl-ß-D-maltoside (DDM) through IVE delivery. DDM is a mild detergent and solubilizing agent used to attenuate the GAG lining of the transitional epithelium and enhance transduction efficiency of adenovirus by urothelial cells. Following DDM wash/dwell and GAG layer attenuation, cretostimogene is IVE-delivered via a catheter. This administration process does not require operating room time nor placement of the patient under anesthesia. Furthermore, this is a similar route of administration as standard-of-care BCG therapy, which urology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practices perform regularly and, thus, we believe will require limited provider re-training versus other NMIBC treatment approaches. </w:t>
      </w:r>
    </w:p>
    <w:p>
      <w:pPr>
        <w:pStyle w:val="TextBody"/>
        <w:bidi w:val="0"/>
        <w:spacing w:before="240" w:after="0"/>
        <w:jc w:val="center"/>
        <w:rPr>
          <w:rFonts w:ascii="Times New Roman" w:hAnsi="Times New Roman"/>
          <w:i/>
          <w:sz w:val="20"/>
        </w:rPr>
      </w:pPr>
      <w:r>
        <w:rPr>
          <w:rFonts w:ascii="Times New Roman" w:hAnsi="Times New Roman"/>
          <w:i/>
          <w:sz w:val="20"/>
        </w:rPr>
        <w:t xml:space="preserve">Overview of Cretostimogenes IVE Administration into the Bladder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2448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7850" cy="32448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Clinical Development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Cretostimogene Monotherapy for High-risk CIS-containing NMIBC after BCG Failure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BOND-002 Trial Design </w:t>
      </w:r>
    </w:p>
    <w:p>
      <w:pPr>
        <w:pStyle w:val="TextBody"/>
        <w:bidi w:val="0"/>
        <w:spacing w:before="120" w:after="0"/>
        <w:jc w:val="both"/>
        <w:rPr>
          <w:rFonts w:ascii="Times New Roman" w:hAnsi="Times New Roman"/>
          <w:sz w:val="20"/>
        </w:rPr>
      </w:pPr>
      <w:r>
        <w:rPr>
          <w:rFonts w:ascii="Times New Roman" w:hAnsi="Times New Roman"/>
          <w:sz w:val="20"/>
        </w:rPr>
        <w:t xml:space="preserve">The BOND-002 trial was a Phase 2, open-label, single-arm clinical trial of cretostimogene in patients with high-risk NMIBC after BCG failure. Cretostimogene was administered intravesically at 1 x 1012 viral particles (VPs) per milliliter to high-risk CIS-containing NMIBC patients, with or without Ta/T1 tumors, and a group of patients with only Ta/T1, that were categorized as having failed BCG therapy and refused radical cystectomy. The trial included a heterogenous mixture of BCG-exposed and BCG-unresponsive patients. </w:t>
      </w:r>
    </w:p>
    <w:p>
      <w:pPr>
        <w:pStyle w:val="TextBody"/>
        <w:bidi w:val="0"/>
        <w:spacing w:before="240" w:after="0"/>
        <w:jc w:val="both"/>
        <w:rPr>
          <w:rFonts w:ascii="Times New Roman" w:hAnsi="Times New Roman"/>
          <w:sz w:val="20"/>
        </w:rPr>
      </w:pPr>
      <w:r>
        <w:rPr>
          <w:rFonts w:ascii="Times New Roman" w:hAnsi="Times New Roman"/>
          <w:sz w:val="20"/>
        </w:rPr>
        <w:t xml:space="preserve">In this study, 46 CIS patients, with or without Ta/T1 disease, and 19 patients with Ta/T1 disease were enrolled. Patients received an initial induction course of six weekly administrations. Patients who achieved a CR at month six received six weekly maintenance doses of cretostimogene using the same concentration. Patients that did not respond to the first induction course were provided a second induction course at month three with no maintenance doses provided at month six. Six weekly follow up doses were then administered at months 12 and 18. In this trial, CR rates were evaluated at various timepoints throughout the study.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Response Data in BOND-002 Trial </w:t>
      </w:r>
    </w:p>
    <w:p>
      <w:pPr>
        <w:pStyle w:val="TextBody"/>
        <w:bidi w:val="0"/>
        <w:spacing w:before="120" w:after="0"/>
        <w:jc w:val="both"/>
        <w:rPr>
          <w:rFonts w:ascii="Times New Roman" w:hAnsi="Times New Roman"/>
          <w:sz w:val="20"/>
        </w:rPr>
      </w:pPr>
      <w:r>
        <w:rPr>
          <w:rFonts w:ascii="Times New Roman" w:hAnsi="Times New Roman"/>
          <w:sz w:val="20"/>
        </w:rPr>
        <w:t xml:space="preserve">Among the 46 patients with high-risk CIS-containing NMIBC, 30 (65%; 95% CI: 50-78%) patients displayed a CR at any time subsequent to administration of cretostimogene. Four out of 10 (40.0%) patients who did not achieve CR at three months, and who were subsequently re-dosed with cretostimogene at three months demonstrated CR at six months. The DOR to treatment was also notable, with 44% and 28% of patients demonstrating a CR at six months and 12 months, respectively. The results of BOND-002 are summarized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CR Data from BOND-002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0096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78485" cy="1009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Safety Data in BOND-002 Trial </w:t>
      </w:r>
    </w:p>
    <w:p>
      <w:pPr>
        <w:pStyle w:val="TextBody"/>
        <w:bidi w:val="0"/>
        <w:spacing w:before="240" w:after="0"/>
        <w:jc w:val="center"/>
        <w:rPr>
          <w:rFonts w:ascii="Times New Roman" w:hAnsi="Times New Roman"/>
          <w:i/>
          <w:sz w:val="20"/>
        </w:rPr>
      </w:pPr>
      <w:r>
        <w:rPr>
          <w:rFonts w:ascii="Times New Roman" w:hAnsi="Times New Roman"/>
          <w:i/>
          <w:sz w:val="20"/>
        </w:rPr>
        <w:t xml:space="preserve">Safety and Tolerability Data from BOND-002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9685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850" cy="19685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65 patients enrolled per the trial protocol, the safety results above included three additional patients, two who were dosed with cretostimogene for compassionate, single-use patient INDs and one more determined not to have baseline NMIBC retrospectively. Cretostimogene was generally well-tolerated and most TRAEs were limited to Grade 1 to 2, only two Grade 3 TRAEs involving dysuria and hypotension (both of which were resolved), and no Grade 4 or 5 TRAEs. Furthermore, eight SAEs were reported but were determined not related to cretostimogene. Adverse events are generally classified as SAEs if they are fatal or life-threatening, result in inpatient hospitalization or prolongation of an existing hospitalization, or result in persistent or significant disability or incapacity, as well as other medically significant events that may jeopardize the patient or require medical or surgical intervention. Regardless of grade, a TRAE can be classified as an SAE if it meets the aforementioned criteria.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BOND-003 Trial Design </w:t>
      </w:r>
    </w:p>
    <w:p>
      <w:pPr>
        <w:pStyle w:val="TextBody"/>
        <w:bidi w:val="0"/>
        <w:spacing w:before="120" w:after="0"/>
        <w:jc w:val="both"/>
        <w:rPr>
          <w:rFonts w:ascii="Times New Roman" w:hAnsi="Times New Roman"/>
          <w:sz w:val="20"/>
        </w:rPr>
      </w:pPr>
      <w:r>
        <w:rPr>
          <w:rFonts w:ascii="Times New Roman" w:hAnsi="Times New Roman"/>
          <w:sz w:val="20"/>
        </w:rPr>
        <w:t xml:space="preserve">BOND-003 is a global, open-label, single-arm Phase 3 clinical trial enrolling 116 patients designed to evaluate the safety and efficacy of cretostimogene as monotherapy in the treatment of patients that have received adequate BCG therapy with high-risk BCG-unresponsive, CIS-containing NMIBC and BCG-unresponsive Ta or T1 papillary tumors. We designed this trial in light of the 2018 FDA guidance which defines BCG-unresponsive disease states and says that single-arm trials that assess CR rate as the primary endpoint, taking DOR into account, may be appropriate for full approval or may require a confirmatory trial following accelerated approval. </w:t>
      </w:r>
    </w:p>
    <w:p>
      <w:pPr>
        <w:pStyle w:val="TextBody"/>
        <w:bidi w:val="0"/>
        <w:spacing w:before="240" w:after="0"/>
        <w:jc w:val="both"/>
        <w:rPr>
          <w:rFonts w:ascii="Times New Roman" w:hAnsi="Times New Roman"/>
          <w:sz w:val="20"/>
        </w:rPr>
      </w:pPr>
      <w:r>
        <w:rPr>
          <w:rFonts w:ascii="Times New Roman" w:hAnsi="Times New Roman"/>
          <w:sz w:val="20"/>
        </w:rPr>
        <w:t xml:space="preserve">The initial induction course of therapy is six weekly doses of cretostimogene containing 1 x 1012 VPs per milliliter. Patients who achieve a CR at month three receive maintenance treatments, involving three weekly cretostimogene doses administered at the same concentration every three months for the first 12 months and every six months for the next 24 months. Patients who do not achieve a CR after the first induction course may receive a second induction course of six weekly cretostimogene treatments at month 3, rather than the maintenance course involving three weekly treatments. The primary endpoint of the BOND-003 trial is CR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time subsequent to induction. We have completed enrollment for this trial, reported interim data in November 2023 and expect to report topline data by the end of 2024. We intend to enroll an additional cohort of up to 70 patients to evaluate the safety and efficacy of cretostimogene as a monotherapy in the treatment of patients with high-risk BCG-unresponsive NMIBC, high-grade Ta or T1 without CIS that have received adequate BCG therapy. The primary endpoint of this cohort is overall event-free survival (EFS), with secondary endpoints including safety, high-grade recurrence-free survival (RFS), low-grade RFS, progression-free survival (PFS), cystectomy-free survival, and bladder cancer specific survival.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Response Data from BOND-003 Trial </w:t>
      </w:r>
    </w:p>
    <w:p>
      <w:pPr>
        <w:pStyle w:val="TextBody"/>
        <w:bidi w:val="0"/>
        <w:spacing w:before="120" w:after="0"/>
        <w:jc w:val="both"/>
        <w:rPr>
          <w:rFonts w:ascii="Times New Roman" w:hAnsi="Times New Roman"/>
          <w:sz w:val="20"/>
        </w:rPr>
      </w:pPr>
      <w:r>
        <w:rPr>
          <w:rFonts w:ascii="Times New Roman" w:hAnsi="Times New Roman"/>
          <w:sz w:val="20"/>
        </w:rPr>
        <w:t xml:space="preserve">Interim data for BOND-003 were reported at the 24th Annual Meeting of SUO on November 30, 2023. As of the October 5, 2023 efficacy data cutoff, 50 of the 66 (75.7%; 95% CI: 63-85%) evaluable patients achieved a CR at any time after the administration of cretostimogene. In addition, as of the data cutoff, 45 out of 66 (68.2%) patients achieved a CR at three months and 42 out of 66 (63.6%) patients achieved a CR at six months. Four out of 13 (30.8%) patients who did not achieve a CR at three months, and who were subsequently re-dosed with cretostimogene at three months demonstrated a CR at six months. One additional patient who was re-dosed at three months and did not achieve a CR at six months stayed on trial at the recommendation of the principal investigator and achieved a CR at nine months. We have excluded this patients CR from the results because under the protocol, a patient who fails to achieve a CR at three months and six months would be discontinued from the trial. </w:t>
      </w:r>
    </w:p>
    <w:p>
      <w:pPr>
        <w:pStyle w:val="TextBody"/>
        <w:bidi w:val="0"/>
        <w:spacing w:before="240" w:after="0"/>
        <w:jc w:val="both"/>
        <w:rPr>
          <w:rFonts w:ascii="Times New Roman" w:hAnsi="Times New Roman"/>
          <w:sz w:val="20"/>
        </w:rPr>
      </w:pPr>
      <w:r>
        <w:rPr>
          <w:rFonts w:ascii="Times New Roman" w:hAnsi="Times New Roman"/>
          <w:sz w:val="20"/>
        </w:rPr>
        <w:t xml:space="preserve">Of those 50 patients who achieved a CR at any time, 42 out of 50 (84.0%) maintained their response for at least three months and 32 out of 43 (74.4%) evaluable responders maintained their response for at least six months. Seven patients had yet to reach the minimum duration of response evaluation and were excluded from the assessment for durable CR lasting at least six months. The median age of evaluable patients was 73 years old (range: 49-90), of which 76% were male. Patients had received between seven and 47 prior installations of BCG therapy and 80% had an Eastern Cooperative Oncology Group (ECOG) score of zero. ECOG is a measure of a patients level of general function and capability of self-care with a zero score meaning that a patient is fully active and able to carry on pre-disease performance without restriction. The chart below presents a summary of interim results observed in patients enrolled in the BOND-003 trial as of the data cutoff.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Results from BOND-003 Trial </w:t>
      </w:r>
    </w:p>
    <w:p>
      <w:pPr>
        <w:pStyle w:val="TextBody"/>
        <w:bidi w:val="0"/>
        <w:spacing w:before="0" w:after="0"/>
        <w:jc w:val="center"/>
        <w:rPr/>
      </w:pPr>
      <w:r>
        <w:rPr/>
        <w:drawing>
          <wp:inline distT="0" distB="0" distL="0" distR="0">
            <wp:extent cx="579755" cy="2921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9755" cy="292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Overview of Interim Safety Data from BOND-003 Trial </w:t>
      </w:r>
    </w:p>
    <w:p>
      <w:pPr>
        <w:pStyle w:val="TextBody"/>
        <w:bidi w:val="0"/>
        <w:spacing w:before="120" w:after="0"/>
        <w:jc w:val="both"/>
        <w:rPr>
          <w:rFonts w:ascii="Times New Roman" w:hAnsi="Times New Roman"/>
          <w:sz w:val="20"/>
        </w:rPr>
      </w:pPr>
      <w:r>
        <w:rPr>
          <w:rFonts w:ascii="Times New Roman" w:hAnsi="Times New Roman"/>
          <w:sz w:val="20"/>
        </w:rPr>
        <w:t xml:space="preserve">Cretostimogene was generally well-tolerated in this trial as of the September 8, 2023 safety data cutoff, with mostly Grade 1 or Grade 2 adverse events reported and no Grade 3 or higher TRAEs reported. There were no treatment discontinuations due to TRAEs, and no deaths were reported. Two patients (1.8%) had SAEs, including Grade 2 noninfective cystitis, and Grade 2 clot retention, both of which resolved. Interim results from this trial may differ from future results of the trial as more patient data become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Combination of Cretostimogene Plus Pembrolizumab for High-risk BCG-unresponsive CIS-containing NMIBC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CORE-001 Trial Design </w:t>
      </w:r>
    </w:p>
    <w:p>
      <w:pPr>
        <w:pStyle w:val="TextBody"/>
        <w:bidi w:val="0"/>
        <w:spacing w:before="120" w:after="0"/>
        <w:jc w:val="both"/>
        <w:rPr>
          <w:rFonts w:ascii="Times New Roman" w:hAnsi="Times New Roman"/>
          <w:sz w:val="20"/>
        </w:rPr>
      </w:pPr>
      <w:r>
        <w:rPr>
          <w:rFonts w:ascii="Times New Roman" w:hAnsi="Times New Roman"/>
          <w:sz w:val="20"/>
        </w:rPr>
        <w:t xml:space="preserve">CORE-001 is a Phase 2 single-arm, open-label clinical trial of cretostimogene administered in up to 35 patients with high risk, BCG-unresponsive NMIBC that have CIS-containing tumors, in combination with pembrolizumab, following disease resection. Patients that demonstrate a CR after an initial six-week induction phase of weekly cretostimogene administrations, dosed at a concentration of 1 x 1012 VP per milliliter, who also receive two, 400 mg doses of pembrolizumab over three months, are given a maintenance course of three weekly doses of cretostimogene at an equivalent VP concentration, along with two doses of pembrolizumab for three months. Trial participants that do not respond to an initial induction course are eligible to receive a second induction course of six weekly administrations over the following three-month period. During the following six months, patients are provided three weekly doses of cretostimogene every three months for six months, in addition to pembrolizumab every six weeks, with longer-term follow up administration of three weekly doses every six months for 12 months, along with pembrolizumab every 6 weeks. The primary endpoints of the CORE-001 trial is CR at 12 months, with secondary endpoints including CR at any time, DOR and PFS. We have entered into a clinical trial collaboration and supply agreement with Merck providing at no-cost supply of pembrolizumab for use in CORE-001 (which agreement also provides for the joint ownership of clinical trial data but has no additional financial obligations and terminates upon conclusion of the trial). </w:t>
      </w:r>
    </w:p>
    <w:p>
      <w:pPr>
        <w:pStyle w:val="TextBody"/>
        <w:bidi w:val="0"/>
        <w:spacing w:before="240" w:after="0"/>
        <w:jc w:val="both"/>
        <w:rPr>
          <w:rFonts w:ascii="Times New Roman" w:hAnsi="Times New Roman"/>
          <w:sz w:val="20"/>
        </w:rPr>
      </w:pPr>
      <w:r>
        <w:rPr>
          <w:rFonts w:ascii="Times New Roman" w:hAnsi="Times New Roman"/>
          <w:sz w:val="20"/>
        </w:rPr>
        <w:t xml:space="preserve">The dosing schedule of cretostimogene in CORE-001 is similar to BOND-003, while pembrolizumab is administered pursuant to its approved dosing schedule.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Clinical Results in Our Ongoing CORE-001 Trial </w:t>
      </w:r>
    </w:p>
    <w:p>
      <w:pPr>
        <w:pStyle w:val="TextBody"/>
        <w:bidi w:val="0"/>
        <w:spacing w:before="120" w:after="0"/>
        <w:jc w:val="both"/>
        <w:rPr>
          <w:rFonts w:ascii="Times New Roman" w:hAnsi="Times New Roman"/>
          <w:sz w:val="20"/>
        </w:rPr>
      </w:pPr>
      <w:r>
        <w:rPr>
          <w:rFonts w:ascii="Times New Roman" w:hAnsi="Times New Roman"/>
          <w:sz w:val="20"/>
        </w:rPr>
        <w:t xml:space="preserve">Interim results from the CORE-001 demonstrated that, as of the March 3, 2023 data cutoff, 29 of the 34 (85%; 95% CI: 68-94%) evaluable patients displayed a CR at any time subsequent to completion of induction therapy. Moreover, administration of cretostimogene has also resulted in durable responses, with 82% (n=27/33) of the evaluable patients maintaining a CR at six months and 68% (n=17/25) of evaluable patients maintaining a CR at 12 months, each as of the cutoff date. In the chart below is presented a summary of the interim results observed in patients enrolled in the CORE-001 trial.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Results from CORE-001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971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7850" cy="2197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anticipate reporting additional durability data in the first half of 2024.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of Interim Safety Data from Ongoing CORE-001 Trial </w:t>
      </w:r>
    </w:p>
    <w:p>
      <w:pPr>
        <w:pStyle w:val="TextBody"/>
        <w:bidi w:val="0"/>
        <w:spacing w:before="120" w:after="0"/>
        <w:jc w:val="both"/>
        <w:rPr>
          <w:rFonts w:ascii="Times New Roman" w:hAnsi="Times New Roman"/>
          <w:sz w:val="20"/>
        </w:rPr>
      </w:pPr>
      <w:r>
        <w:rPr>
          <w:rFonts w:ascii="Times New Roman" w:hAnsi="Times New Roman"/>
          <w:sz w:val="20"/>
        </w:rPr>
        <w:t xml:space="preserve">Similar to the results achieved in the BOND-002 trial, cretostimogene was observed to be generally well tolerated. As of the January 31, 2023 safety data cutoff, most cretostimogene-related adverse events were transient, localized Grade 1 or 2 local urinary tract related issues. As of the safety data cutoff, one Grade 2 SAE (urinary retention) deemed related to cretostimogene was reported and resolved. There have been no discontinuations from the trial deemed related to cretostimogene. As of the data cutoff, there were two Grade 3 SAEs related to pembrolizumab (adrenal insufficiency and immune-mediated hepatitis). As of the data cutoff, there were four Grade 3 adverse events related to pembrolizumab which led to a discontinuation; one patient resumed dosing of pembrolizumab after missing a single dose. Subsequent to the safety data cutoff, there were three adverse events related to pembrolizumab which led to discontinuation of pembrolizumab. The observed Grade 3 SAEs related to pembrolizumab are consistent with immune-related adverse events observed in prior anti-PD1 CPI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Cretostimogene Monotherapy for Intermediate-risk NMIBC following TURBT </w:t>
      </w:r>
    </w:p>
    <w:p>
      <w:pPr>
        <w:pStyle w:val="TextBody"/>
        <w:bidi w:val="0"/>
        <w:spacing w:before="120" w:after="0"/>
        <w:jc w:val="left"/>
        <w:rPr>
          <w:rFonts w:ascii="Times New Roman" w:hAnsi="Times New Roman"/>
          <w:i/>
          <w:sz w:val="20"/>
        </w:rPr>
      </w:pPr>
      <w:r>
        <w:rPr>
          <w:rFonts w:ascii="Times New Roman" w:hAnsi="Times New Roman"/>
          <w:i/>
          <w:sz w:val="20"/>
        </w:rPr>
        <w:t xml:space="preserve">Phase 3 PIVOT-006 Clinical Trial </w:t>
      </w:r>
    </w:p>
    <w:p>
      <w:pPr>
        <w:pStyle w:val="TextBody"/>
        <w:bidi w:val="0"/>
        <w:spacing w:before="120" w:after="0"/>
        <w:jc w:val="both"/>
        <w:rPr>
          <w:rFonts w:ascii="Times New Roman" w:hAnsi="Times New Roman"/>
          <w:sz w:val="20"/>
        </w:rPr>
      </w:pPr>
      <w:r>
        <w:rPr>
          <w:rFonts w:ascii="Times New Roman" w:hAnsi="Times New Roman"/>
          <w:sz w:val="20"/>
        </w:rPr>
        <w:t xml:space="preserve">We initiated PIVOT-006 in November 2023, which is a randomized Phase 3 trial intended to assess the safety and efficacy of adjuvant cretostimogene when administered as monotherapy to patients with intermediate-risk NMIBC following TURBT. This is a two-arm trial enrolling up to 426 intermediate-risk NMIBC patients, one arm to be administered cretostimogene following the standard of care TURBT with the second arm receiving the standard of care TURBT only. The initial induction course is six weekly doses of cretostimogene containing 1x1012 VPs per milliliter. We expect that patients who are recurrence-free at month three will receive a maintenance course involving three weekly cretostimogene doses administered at the same concentration, in months 3 and 6, followed by single weekly doses in months 9 and 12. The primary endpoint of this trial is overall RFS, with secondary endpoints including RFS at 12 and 24 months and PFS. RFS is based on time to last cystoscopic evaluation or time to disease relapse where relapse is defined as any grade bladder cancer recurrence. We expect to complete enrollment for this trial in the first half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Planned Clinical Trial </w:t>
      </w:r>
    </w:p>
    <w:p>
      <w:pPr>
        <w:pStyle w:val="TextBody"/>
        <w:bidi w:val="0"/>
        <w:spacing w:before="120" w:after="0"/>
        <w:jc w:val="left"/>
        <w:rPr>
          <w:rFonts w:ascii="Times New Roman" w:hAnsi="Times New Roman"/>
          <w:i/>
          <w:sz w:val="20"/>
        </w:rPr>
      </w:pPr>
      <w:r>
        <w:rPr>
          <w:rFonts w:ascii="Times New Roman" w:hAnsi="Times New Roman"/>
          <w:i/>
          <w:sz w:val="20"/>
        </w:rPr>
        <w:t xml:space="preserve">Phase 2 CORE-008 Clinical Trial </w:t>
      </w:r>
    </w:p>
    <w:p>
      <w:pPr>
        <w:pStyle w:val="TextBody"/>
        <w:bidi w:val="0"/>
        <w:spacing w:before="120" w:after="0"/>
        <w:jc w:val="both"/>
        <w:rPr>
          <w:rFonts w:ascii="Times New Roman" w:hAnsi="Times New Roman"/>
          <w:sz w:val="20"/>
        </w:rPr>
      </w:pPr>
      <w:r>
        <w:rPr>
          <w:rFonts w:ascii="Times New Roman" w:hAnsi="Times New Roman"/>
          <w:sz w:val="20"/>
        </w:rPr>
        <w:t xml:space="preserve">The planned study is an open-label multi-cohort Phase 2 trial intended to assess the safety and clinical outcomes of cretostimogene in treating patients with high-risk NMIBC including BCG-exposed and BCG-naïve NMIBC patients. Each cohort is expected to enroll up to 60 patients. BCG-exposed patients are classified as those NMIBC patients with persistent, recurrent or progressive disease after BCG treatment but do not meet the specific disease classification criteria to be designated BCG-unresponsive. BCG-naïve patients are classified as those NMIBC patients who have not received any prior BCG therapy. After an induction course of therapy of six weekly doses of cretostimogene containing 1 x 1012 VPs per milliliter, we expect that patients who achieve a CR will receive a maintenance course at the same concentration every three months until disease recurrence. We expect that patients who do not achieve a CR after the initial induction course will receive a second induction course at the same concentration followed by the same maintenance course if they achieve a CR. The targeted efficacy endpoints of this trial are expected to include CR at any time following induction, CR at 12 months, DOR and PFS. We expect to initiate this trial in the second half of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Clinical Trial Evaluations in MIBC </w:t>
      </w:r>
    </w:p>
    <w:p>
      <w:pPr>
        <w:pStyle w:val="TextBody"/>
        <w:bidi w:val="0"/>
        <w:spacing w:before="120" w:after="0"/>
        <w:jc w:val="both"/>
        <w:rPr>
          <w:rFonts w:ascii="Times New Roman" w:hAnsi="Times New Roman"/>
          <w:sz w:val="20"/>
        </w:rPr>
      </w:pPr>
      <w:r>
        <w:rPr>
          <w:rFonts w:ascii="Times New Roman" w:hAnsi="Times New Roman"/>
          <w:sz w:val="20"/>
        </w:rPr>
        <w:t xml:space="preserve">MIBC is associated with significantly higher mortality than NMIBC, the five-year mortality rate for patients with MIBC ranging from approximately 66% to 95% depending on disease stage. As such, the delay of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progression is of particular significance to the estimated 20% to 25% of newly diagnosed bladder cancer patients with MIBC as well as those high-risk NMIBC patients that progress to MIBC. Moreover, the annual cost of care for patients with MIBC is estimated to be approximately 2.5 times the annual cost of care for patients with NMIBC. </w:t>
      </w:r>
    </w:p>
    <w:p>
      <w:pPr>
        <w:pStyle w:val="TextBody"/>
        <w:bidi w:val="0"/>
        <w:spacing w:before="240" w:after="0"/>
        <w:jc w:val="both"/>
        <w:rPr>
          <w:rFonts w:ascii="Times New Roman" w:hAnsi="Times New Roman"/>
          <w:sz w:val="20"/>
        </w:rPr>
      </w:pPr>
      <w:r>
        <w:rPr>
          <w:rFonts w:ascii="Times New Roman" w:hAnsi="Times New Roman"/>
          <w:sz w:val="20"/>
        </w:rPr>
        <w:t xml:space="preserve">Systemic administration of cisplatin is often used as neoadjuvant chemotherapy in the treatment of MIBC. However, as many as 50% of patients are ineligible to receive cisplatin because of existing co-morbidities such as decreased renal function or neuropathy in which case CPIs are the default standard of care. We are currently evaluating the use of cretostimogene in combination with the CPI nivolumab as a treatment for MIBC, including by our support of CORE-002, a single-arm exploratory investigator-sponsored clinical trial of 30 cisplatin-ineligible patients with no evidence of distant metastases prior to radical cystectomy. Cretostimogene induction therapy is accompanied by IV nivolumab dosed week 2 and week 6 followed by TURBT or cystectomy. The primary endpoint in this trial is safety; secondary endpoints include evaluations of pathological CR (pCR), RFS and changes in inflammatory status of tumors after combination therapy. </w:t>
      </w:r>
    </w:p>
    <w:p>
      <w:pPr>
        <w:pStyle w:val="TextBody"/>
        <w:bidi w:val="0"/>
        <w:spacing w:before="240" w:after="0"/>
        <w:jc w:val="both"/>
        <w:rPr>
          <w:rFonts w:ascii="Times New Roman" w:hAnsi="Times New Roman"/>
          <w:sz w:val="20"/>
        </w:rPr>
      </w:pPr>
      <w:r>
        <w:rPr>
          <w:rFonts w:ascii="Times New Roman" w:hAnsi="Times New Roman"/>
          <w:sz w:val="20"/>
        </w:rPr>
        <w:t xml:space="preserve">As of the March 31, 2023 CORE-002 data cutoff, among the 15 evaluable patients, the combination of cretostimogene and nivolumab had produced a pCR in eight patients, or a pCR rate of 53% (n=8/15). An additional patient had a negative post-treatment biopsy but refused radical cystectomy. Cretostimogene has been generally well-tolerated among trial participants as of the data cutoff. Immune related AE was seen in one patient, who had Grade 2 autoimmune thyroiditis. There was no delay in time to radical cystectomy and no unexpected surgical complications from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both"/>
        <w:rPr>
          <w:rFonts w:ascii="Times New Roman" w:hAnsi="Times New Roman"/>
          <w:sz w:val="20"/>
        </w:rPr>
      </w:pPr>
      <w:r>
        <w:rPr>
          <w:rFonts w:ascii="Times New Roman" w:hAnsi="Times New Roman"/>
          <w:sz w:val="20"/>
        </w:rPr>
        <w:t xml:space="preserve">We leverage third-party manufacturers to support the manufacturing of cretostimogene for clinical trials and, if we receive regulatory approval, we intend to rely on such third parties for commercial manufacture. We do not own or operate, and currently have no plans to establish, any manufacturing facilities. We believe this strategy will enable us to maintain a nimble, efficient and effective working model without making significant internal capital investments. We are currently focused on developing high-yield and scalable processes and analytical methods for the manufacture of cretostimogene. We believe our current manufacturing scale could support commercial demand for cretostimogene to treat high-risk, BCG-unresponsive NMIBC patients, if approved. We work with a third-party manufacturer for the production of cretostimogene and a third-party manufacturer for the production of DDM.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 </w:t>
      </w:r>
    </w:p>
    <w:p>
      <w:pPr>
        <w:pStyle w:val="TextBody"/>
        <w:bidi w:val="0"/>
        <w:spacing w:before="240" w:after="0"/>
        <w:jc w:val="both"/>
        <w:rPr>
          <w:rFonts w:ascii="Times New Roman" w:hAnsi="Times New Roman"/>
          <w:sz w:val="20"/>
        </w:rPr>
      </w:pPr>
      <w:r>
        <w:rPr>
          <w:rFonts w:ascii="Times New Roman" w:hAnsi="Times New Roman"/>
          <w:sz w:val="20"/>
        </w:rPr>
        <w:t xml:space="preserve">We have established strong in-house CMC capabilities consisting of expertise in process and analytical development and manufacturing, spanning across different modalities including viruses. To complement our in-house CMC capabilities, we have established a CMC Advisory Board, consisting of some of the most respected names in the industry. This advisory group is chaired by Dr. Richard Rutter, Ph.D., formerly Executive Vice President of Biotherapeutics Pharmaceuticals Sciences at Pfizer, and includes Dr. Daniel Takefman, Ph.D., formerly chief of the gene therapy branch at the FDA; Dr. Richard Peluso, Ph.D., formerly Vice President, Biologics and Vaccines, Bioprocess R&amp;D at Merck; and Dr. Victoria Sluzky, Ph.D., formerly Senior Vice President, Technical Development for BioMarin Pharmaceuticals. In combination with the CMC Advisory Boards experience and strong internal capabilities, we strive to build a sustainable and effective CMC 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We face substantial competition from multiple sources, including large and specialty pharmaceutical and biotechnology companies, academic research institutions and governmental agencies and public and private research institutions. In addition, many biotechnology companies have formed collaborations with large, established companies to (i) obtain support for their research, development and commercialization of products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(ii) combine several treatment approaches to develop longer lasting or more efficacious treatments that may potentially directly compete with our current or future product candidates. We anticipate that we will continue to face increasing competition as new therapies, technologies, and data emerge within the field of oncology and, furthermore, within the treatment of bladder cancer. </w:t>
      </w:r>
    </w:p>
    <w:p>
      <w:pPr>
        <w:pStyle w:val="TextBody"/>
        <w:bidi w:val="0"/>
        <w:spacing w:before="240" w:after="0"/>
        <w:jc w:val="both"/>
        <w:rPr>
          <w:rFonts w:ascii="Times New Roman" w:hAnsi="Times New Roman"/>
          <w:sz w:val="20"/>
        </w:rPr>
      </w:pPr>
      <w:r>
        <w:rPr>
          <w:rFonts w:ascii="Times New Roman" w:hAnsi="Times New Roman"/>
          <w:sz w:val="20"/>
        </w:rPr>
        <w:t xml:space="preserve">We will continue to face competition from current standard of care treatments, including BCG. To the extent Merck or another manufacturer increases the supply of BCG, there may be less demand for alternative treatments such as cretostimogene in BCG-naïve or BCG-exposed patients. In addition, there are numerous companies that have commercialized or are developing treatments for NMIBC, including Bristol Meyers Squibb, enGene Inc., Gilead Sciences, Inc., Hoffman-La Roche AG (Roche), ImmunityBio Inc., Johnson &amp; Johnson Inc., Merck, Protara Therapeutics, Inc., Pfizer, Inc., and UroGen Pharma, Inc.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either alone or in combination with their respective strategic partners, have significantly greater financial resources and expertise in research and development, manufacturing, regulatory processes, and marketing than we do. Mergers and acquisitions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opportunity could be reduced or eliminated if one or more of our competitors successfully develop and commercialize products that are safer, more effective, better-tolerated,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both"/>
        <w:rPr>
          <w:rFonts w:ascii="Times New Roman" w:hAnsi="Times New Roman"/>
          <w:sz w:val="20"/>
        </w:rPr>
      </w:pPr>
      <w:r>
        <w:rPr>
          <w:rFonts w:ascii="Times New Roman" w:hAnsi="Times New Roman"/>
          <w:sz w:val="20"/>
        </w:rPr>
        <w:t xml:space="preserve">Given our stage of development, we have not yet established a commercial organization or distribution capabilities. If we obtain FDA approval for cretostimogene, we intend to build in-house sales and marketing capabilities to commercialize cretostimogene in the United States, and potentially other regions, and expect to rely on third parties for distribution. While the number of patients suffering from bladder cancer is large and growing, a significant portion of large urology practices are concentrated in a relatively small number of major metropolitan areas and urology physician groups. We believe this concentration will potentially enable us to efficiently reach a large portion of our estimated addressable market with a relatively small commercial footprint. Importantly, urology practices are already deeply familiar with the administration of TURBT followed by intravesical administration of BCG in NMIBC patients. Cretostimogene is similarly designed to be administered intravesically and we believe will not require urology practices to retrain or learn a new administrative method. Outside of the United States, we may, where appropriate, pursue development and commercialization relationships, including strategic alliances and licensing, with pharmaceutical companies and other strategic partners, to maximize the commercial potential of cretostimogene in such countries, such as with our agreements with Kissei Pharmaceutical Co., Ltd. and Lepu Biotech Co., Ltd.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Kissei Pharmaceutical Co., Ltd. License and Collaboration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as amended September 2022, we entered into a license and collaboration agreement (the Kissei Agreement) with Kissei Pharmaceutical Co., Ltd. (Kissei), under which we granted to Kissei an exclusive license to certain intellectual property rights in Bangladesh, Bhutan, Brunei, Cambodia, India, Indonesia,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we and Kissei agreed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we are responsible for the costs of developing the Licensed Product outside the Kissei Territory, provided that Kissei is responsible for a low-double digit percentage and we are responsible for a high-double digit percentage of the cost of development activities that cannot be attributed solely to the Kissei Territory or outside the Kissei Territory. We are obligated to supply and Kissei will exclusively purchase its clinical and commercial requirements of Licensed Product from us.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we are prohibited from commercializing certain competing products worldwide and Kissei is prohibited from researching, developing or commercializing certain competing products worldwide. </w:t>
      </w:r>
    </w:p>
    <w:p>
      <w:pPr>
        <w:pStyle w:val="TextBody"/>
        <w:bidi w:val="0"/>
        <w:spacing w:before="240" w:after="0"/>
        <w:jc w:val="both"/>
        <w:rPr>
          <w:rFonts w:ascii="Times New Roman" w:hAnsi="Times New Roman"/>
          <w:sz w:val="20"/>
        </w:rPr>
      </w:pPr>
      <w:r>
        <w:rPr>
          <w:rFonts w:ascii="Times New Roman" w:hAnsi="Times New Roman"/>
          <w:sz w:val="20"/>
        </w:rPr>
        <w:t xml:space="preserve">Kissei paid to us a one-time upfront payment of $10.0 million and, in connection with the entry into the Kissei Agreement, purchased $30.0 million worth of shares of our Series D redeemable convertible preferred stock as part of our Series D financing. Kissei is obligated to make development, regulatory and commercial milestone payments of up to $100.0 million. We have also agreed to pay Kissei a royalty on net sales of Licensed Product outside the Kissei Territory and outside the Lepu Territory (as described below), including on any U.S. sales, in a low-single digit percentage, subject to certain reductions. We are entitled to receive a royalty on net sales of Licensed Product in the Kissei Territory in the mid-twenties percentage, subject to certain capped reductions. Also, Kissei has the right to offset the royalty payments due to us with respect to the cost for the supply of Licensed Product sold by us to Kissei, and to indefinitely carry forward credits for any excess supply amounts paid over royalty amounts owed in a given quarter. We are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we shall receive no royalties on the net sales of such Licensed Product in such country and such quarter. Kisseis and our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0"/>
        <w:jc w:val="both"/>
        <w:rPr>
          <w:rFonts w:ascii="Times New Roman" w:hAnsi="Times New Roman"/>
          <w:sz w:val="20"/>
        </w:rPr>
      </w:pPr>
      <w:r>
        <w:rPr>
          <w:rFonts w:ascii="Times New Roman" w:hAnsi="Times New Roman"/>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we granted to Kissei will become non-exclusive, fully-paid royalty-free and irrevocable and Kissei will have the right to negotiate directly with our product suppliers for the direct supply of Licensed Product to Kissei. The Kissei Agreement may be terminated either by Kissei or by us in the event of an uncured material breach by the other party or in the event the other party becomes subject to specified bankruptcy, insolvency or similar circumstances. In addition, we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we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w:t>
      </w:r>
    </w:p>
    <w:p>
      <w:pPr>
        <w:pStyle w:val="TextBody"/>
        <w:bidi w:val="0"/>
        <w:spacing w:before="0" w:after="0"/>
        <w:jc w:val="both"/>
        <w:rPr>
          <w:rFonts w:ascii="Times New Roman" w:hAnsi="Times New Roman"/>
          <w:sz w:val="20"/>
        </w:rPr>
      </w:pPr>
      <w:r>
        <w:rPr>
          <w:rFonts w:ascii="Times New Roman" w:hAnsi="Times New Roman"/>
          <w:sz w:val="20"/>
        </w:rPr>
        <w:t xml:space="preserve">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our discretion,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Lepu Biotech Co., Ltd. Development and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2019, we entered into a development and license agreement (the Lepu Agreement) with Lepu Biotech Co., Ltd. (Lepu), under which we granted an exclusive license to Lepu to develop, manufacture and commercialize cretostimogene and/or DDM to treat and/or prevent cancer in mainland China, including Hong Kong and Macau (the Lepu Territory). Under the Lepu Agreement, Lepu is responsible for using commercially reasonable efforts to develop cretostimogene and DDM in the Lepu Territory, including by performing clinical development activities pursuant to an agreed development plan, and we are obligated to provide Lepu with reasonably requested information, know-how and assistance at Lepus cost and expense. Additionally, Lepu is obligated to meet a certain clinical diligence milestone by a specified date in 2024. We are also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Lepu is obligated to use commercially reasonable efforts to commercialize at least one of cretostimogene and/or DDM and achieve the first commercial sale of such product in the Lepu Territory within specified time periods after receipt of marketing authorization approval therefor. </w:t>
      </w:r>
    </w:p>
    <w:p>
      <w:pPr>
        <w:pStyle w:val="TextBody"/>
        <w:bidi w:val="0"/>
        <w:spacing w:before="240" w:after="0"/>
        <w:jc w:val="both"/>
        <w:rPr>
          <w:rFonts w:ascii="Times New Roman" w:hAnsi="Times New Roman"/>
          <w:sz w:val="20"/>
        </w:rPr>
      </w:pPr>
      <w:r>
        <w:rPr>
          <w:rFonts w:ascii="Times New Roman" w:hAnsi="Times New Roman"/>
          <w:sz w:val="20"/>
        </w:rPr>
        <w:t xml:space="preserve">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Lepus royalty obligations will expire upon termination of the Lepu Agreement. Lepu may terminate the Lepu Agreement for any reason upon specified prior written notice. The agreement may be terminated either by Lepu or by us in the event of an uncured material breach by the other party. In addition, we have the right to terminate the agreement in the event that Lepu commences or requests a legal action challenging the validity, enforceability or scope of any licensed patents. Upon termination of the agreement for any reason, all rights and licenses granted to Lepu to develop and commercialize cretostimogene and DDM under the agreement will terminate, and Lepu will be obligated to provide to us all data and results pertaining to cretostimogene and DDM products and assign and transfer to us all regulatory filings, manufacturing documentation and marketing authorization approvals for cretostimogene and DDM. In the event that Lepu has any ongoing clinical trials with respect to cretostimogene and/or DDM as of the effective date of termination, at our request, Lepu is obligated to either promptly transition such clinical trials to us or continue to conduct and complete such clinical trials, at our expense.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We endeavor to protect the proprietary technologies that we believe are important to our business, including pursuing and maintaining patent protection intended to cover cretostimogene, its methods of use, related technologies, and other inventions that are important to our business. In addition to patent protection, we also rely on trade secret to protect aspects of our business that are not amenable to, or that we do not consider appropriate for, patent protection, including our proprietary method of manufacturing cretostimogene. We will also seek to rely on regulatory protection afforded through inclusion in expedited development and review, data exclusivity, market exclusivity and patent term extensions where available. For example, under the Biologics Price Competition and Innovation Act of 2009 (BPCIA), we believe that cretostimogene or any future product candidates we may develop, if approved as a biological product under a BLA, should qualify for the 12-year period of reference product exclusivity.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27, 2023, we own five patent families comprising five issued U.S. patents, three issued foreign patents in Japan and Singapore, three pending U.S. non-provisional patent applications, and 18 pending patent applications in jurisdictions outside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With regard to cretostimogene, we own three issued U.S. patents and three issued patents in Japan and Singapore with claims covering methods of use using cretostimogene, including claims covering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schedules and combination therapy. These issued patents are expected to expire between 2036 and 2038, without accounting for potentially available patent term adjustments or extensions. We also own three pending U.S. applications and 18 related pending applications with claims covering methods of use using cretostimogene (including claims covering treatment schedules and combination therapy) in Australia, New Zealand, Japan, South Korea, China, Singapore, Hong Kong, and before the European Patent Office, and any patents that issue from these applications are expected to expire between 2036 and 2038, without accounting for potentially available patent term adjustments or extensions. </w:t>
      </w:r>
    </w:p>
    <w:p>
      <w:pPr>
        <w:pStyle w:val="TextBody"/>
        <w:bidi w:val="0"/>
        <w:spacing w:before="240" w:after="0"/>
        <w:jc w:val="both"/>
        <w:rPr>
          <w:rFonts w:ascii="Times New Roman" w:hAnsi="Times New Roman"/>
          <w:sz w:val="20"/>
        </w:rPr>
      </w:pPr>
      <w:r>
        <w:rPr>
          <w:rFonts w:ascii="Times New Roman" w:hAnsi="Times New Roman"/>
          <w:sz w:val="20"/>
        </w:rPr>
        <w:t xml:space="preserve">We expect to file additional patent applications in support of current and new product candidates as well as new platform and core technologies.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success will depend in part on obtaining and maintaining patent protection and trade secret protection of cretostimogene, our future product candidates, and their methods of use, as well as successfully 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w:t>
      </w:r>
    </w:p>
    <w:p>
      <w:pPr>
        <w:pStyle w:val="TextBody"/>
        <w:bidi w:val="0"/>
        <w:spacing w:before="240" w:after="0"/>
        <w:jc w:val="both"/>
        <w:rPr>
          <w:rFonts w:ascii="Times New Roman" w:hAnsi="Times New Roman"/>
          <w:sz w:val="20"/>
        </w:rPr>
      </w:pPr>
      <w:r>
        <w:rPr>
          <w:rFonts w:ascii="Times New Roman" w:hAnsi="Times New Roman"/>
          <w:sz w:val="20"/>
        </w:rPr>
        <w:t xml:space="preserve">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another patent of ours. In the United States, the term of a patent that covers an FDA-approved drug may also be eligible for extension, which permits patent term restoration as compensation for a portion of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Japan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w:t>
      </w:r>
    </w:p>
    <w:p>
      <w:pPr>
        <w:pStyle w:val="TextBody"/>
        <w:bidi w:val="0"/>
        <w:spacing w:before="240" w:after="0"/>
        <w:jc w:val="both"/>
        <w:rPr>
          <w:rFonts w:ascii="Times New Roman" w:hAnsi="Times New Roman"/>
          <w:sz w:val="20"/>
        </w:rPr>
      </w:pPr>
      <w:r>
        <w:rPr>
          <w:rFonts w:ascii="Times New Roman" w:hAnsi="Times New Roman"/>
          <w:sz w:val="20"/>
        </w:rPr>
        <w:t xml:space="preserve">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patent protection, we also rely on trade secret protection for our proprietary information that is not amenable to, or that we do not consider appropriate for, patent protection, including, for example, aspects of our manufacturing processes for cretostimogene. However, trade secret can be difficult to protect. Although we take steps to protect our proprietary information, including restriction to our premises and our confidential information, as well as entering into agreements with our employees, consultants, advisors, and potential collaborators, such individuals may breach such agreements and disclose our proprietary information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regarding the risks related to our intellectual property, please see the section titled Risk FactorsRisks Related to Our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both"/>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applicable federal, state, local and foreign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Development Process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completion of preclinical laboratory tests, animal studies and formulation studies in accordance with Good Laboratory Practice regulations (GLPs),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regulations (GCPs), to evaluate the safety, purity and potency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submission to the FDA of a BLA,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an FDA inspection of the manufacturing facility or facilities at which the biologic is produced to assess compliance with current Good Manufacturing Practice requirements (cGMPs), to assure that the facilities, methods and controls are adequate to preserve the biologics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FDA review and approval of the BLA to permit commercial marketing of the product for particular indications for use in the United States.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Once a product candidate is identified for development, it enters the preclinical testing stage. Preclinical tests include laboratory evaluations of product chemistry, toxicity and formulation, as well as animal studies.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IND sponsor must submit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 </w:t>
      </w:r>
    </w:p>
    <w:p>
      <w:pPr>
        <w:pStyle w:val="TextBody"/>
        <w:bidi w:val="0"/>
        <w:spacing w:before="240" w:after="0"/>
        <w:jc w:val="both"/>
        <w:rPr>
          <w:rFonts w:ascii="Times New Roman" w:hAnsi="Times New Roman"/>
          <w:sz w:val="20"/>
        </w:rPr>
      </w:pPr>
      <w:r>
        <w:rPr>
          <w:rFonts w:ascii="Times New Roman" w:hAnsi="Times New Roman"/>
          <w:sz w:val="20"/>
        </w:rPr>
        <w:t xml:space="preserve">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240" w:after="0"/>
        <w:jc w:val="both"/>
        <w:rPr>
          <w:rFonts w:ascii="Times New Roman" w:hAnsi="Times New Roman"/>
          <w:sz w:val="20"/>
        </w:rPr>
      </w:pPr>
      <w:r>
        <w:rPr>
          <w:rFonts w:ascii="Times New Roman" w:hAnsi="Times New Roman"/>
          <w:sz w:val="20"/>
        </w:rPr>
        <w:t xml:space="preserve">Furthermore, an independent IRB or ethics committee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 </w:t>
      </w:r>
    </w:p>
    <w:p>
      <w:pPr>
        <w:pStyle w:val="TextBody"/>
        <w:bidi w:val="0"/>
        <w:spacing w:before="240" w:after="0"/>
        <w:jc w:val="both"/>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1</w:t>
            </w:r>
            <w:r>
              <w:rPr>
                <w:rFonts w:ascii="Times New Roman" w:hAnsi="Times New Roman"/>
                <w:sz w:val="20"/>
              </w:rPr>
              <w:t xml:space="preserve">:    The product candidate is initially introduced into healthy human subjects and tested for safety, dosage tolerance, absorption, metabolism, distribution and excretion and, if possible, to gain an early indication of its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2</w:t>
            </w:r>
            <w:r>
              <w:rPr>
                <w:rFonts w:ascii="Times New Roman" w:hAnsi="Times New Roman"/>
                <w:sz w:val="20"/>
              </w:rPr>
              <w:t xml:space="preserve">: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Phase 3</w:t>
            </w:r>
            <w:r>
              <w:rPr>
                <w:rFonts w:ascii="Times New Roman" w:hAnsi="Times New Roman"/>
                <w:sz w:val="20"/>
              </w:rPr>
              <w:t xml:space="preserve">: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Post-approval trials, sometimes referred to as Phase 4 studies, may be conducted after BLA approval. These trials are used to gain additional experience from the treatment of patients in the intended therapeutic indication. In certain instances, the FDA may mandate the performance of Phase 4 clinical trials as a condition of approval of a BLA. </w:t>
      </w:r>
    </w:p>
    <w:p>
      <w:pPr>
        <w:pStyle w:val="TextBody"/>
        <w:bidi w:val="0"/>
        <w:spacing w:before="240" w:after="0"/>
        <w:jc w:val="both"/>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 </w:t>
      </w:r>
    </w:p>
    <w:p>
      <w:pPr>
        <w:pStyle w:val="TextBody"/>
        <w:bidi w:val="0"/>
        <w:spacing w:before="360" w:after="0"/>
        <w:jc w:val="left"/>
        <w:rPr>
          <w:rFonts w:ascii="Times New Roman" w:hAnsi="Times New Roman"/>
          <w:i/>
          <w:sz w:val="20"/>
        </w:rPr>
      </w:pPr>
      <w:r>
        <w:rPr>
          <w:rFonts w:ascii="Times New Roman" w:hAnsi="Times New Roman"/>
          <w:i/>
          <w:sz w:val="20"/>
        </w:rPr>
        <w:t xml:space="preserve">BLA Review and Approval Process </w:t>
      </w:r>
    </w:p>
    <w:p>
      <w:pPr>
        <w:pStyle w:val="TextBody"/>
        <w:bidi w:val="0"/>
        <w:spacing w:before="120" w:after="0"/>
        <w:jc w:val="both"/>
        <w:rPr>
          <w:rFonts w:ascii="Times New Roman" w:hAnsi="Times New Roman"/>
          <w:sz w:val="20"/>
        </w:rPr>
      </w:pPr>
      <w:r>
        <w:rPr>
          <w:rFonts w:ascii="Times New Roman" w:hAnsi="Times New Roman"/>
          <w:sz w:val="20"/>
        </w:rPr>
        <w:t xml:space="preserve">Assuming successful completion of all required testing in accordance with applicable regulatory requirements, the results of product development, including among other things, results, from nonclinical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user fees may be obtained under certain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The FDA conducts a preliminary review of all BLAs within the first 60 days after submission, before accepting them for filing, to determine whether they are sufficiently complete to permit substantive review. The FDA may refuse to file any BLA that it deems incomplete or not properly reviewable at the time of submission and may request additional information. In this event, the BLA must be resubmitted with the additional information before FDA will review the application. Once filed, the FDA reviews a BLA to determine, among other things, whether the biologic is safe, pure and potent and the facility in which it is manufactured, processed, packed, or held meets standards designed to assure the products continued safety, purity and potency. Under the Prescription Drug User Fee Act (PDUFA), guidelines that are currently in effect, the FDA has a goal of ten months from the date of filing of an original BLA to review and act on the submission. This review typically takes twelve months from the date the BLA is submitted to the FDA because the FDA has approximately two months to make a filing decision. </w:t>
      </w:r>
    </w:p>
    <w:p>
      <w:pPr>
        <w:pStyle w:val="TextBody"/>
        <w:bidi w:val="0"/>
        <w:spacing w:before="240" w:after="0"/>
        <w:jc w:val="both"/>
        <w:rPr>
          <w:rFonts w:ascii="Times New Roman" w:hAnsi="Times New Roman"/>
          <w:sz w:val="20"/>
        </w:rPr>
      </w:pPr>
      <w:r>
        <w:rPr>
          <w:rFonts w:ascii="Times New Roman" w:hAnsi="Times New Roman"/>
          <w:sz w:val="20"/>
        </w:rPr>
        <w:t xml:space="preserve">The FDA may refer an application for a novel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both"/>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Additionally, before approving a BLA, the FDA may inspect one or more clinical trial sites to assure compliance with GCPs. After the FDA evaluates a BLA and conducts inspections of manufacturing facilities where the investigational product and/or its substance will be produced, the FDA may issue an approval letter or a Complete Response Letter (CRL). An approval letter authorizes commercial marketing of the biologic with prescribing information for specific indications.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w:t>
      </w:r>
    </w:p>
    <w:p>
      <w:pPr>
        <w:pStyle w:val="TextBody"/>
        <w:bidi w:val="0"/>
        <w:spacing w:before="240" w:after="0"/>
        <w:jc w:val="both"/>
        <w:rPr>
          <w:rFonts w:ascii="Times New Roman" w:hAnsi="Times New Roman"/>
          <w:sz w:val="20"/>
        </w:rPr>
      </w:pPr>
      <w:r>
        <w:rPr>
          <w:rFonts w:ascii="Times New Roman" w:hAnsi="Times New Roman"/>
          <w:sz w:val="20"/>
        </w:rPr>
        <w:t xml:space="preserve">If a product receives regulatory approval, referred to as licensure by the FDA, such approval may be significantly limited to specific diseases and dosages, or the indications for use may otherwise be limited, which could restrict the commercial value of the product. In addition, the FDA may require a sponsor of an approved BLA to conduct post-marketing clinical trials designed to further assess a biologics safety, purity or potency, and may also require testing and surveillance programs to monitor the safety of the product, once commercialized, and may limit further marketing of the product based on the results of these post-marketing studies. The FDA may also place other conditions on BLA approval. Including the requirement for a risk evaluation and mitigation strategy (REMS) to assure the safe use of the product. If the FDA concludes a REMS is needed, the sponsor of the BLA must submit a proposed REMS in connection with the application.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commercial products.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Pediatric Research Equity Act (PREA), requires a sponsor to conduct pediatric clinical trials for most biologics, as well as for new indications, new dosage forms, new dosing regimens or new route of administrations. Under PREA, original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pure and potent. The sponsor or FDA may request a deferral of pediatric clinical trials for some or all of the pediatric subpopulations. A deferral may be granted for several reasons, including a finding that the biologic is ready for approval for use in adults before pediatric clinical trials are complete or that additional data need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w:t>
      </w:r>
    </w:p>
    <w:p>
      <w:pPr>
        <w:pStyle w:val="TextBody"/>
        <w:bidi w:val="0"/>
        <w:spacing w:before="120" w:after="0"/>
        <w:jc w:val="both"/>
        <w:rPr>
          <w:rFonts w:ascii="Times New Roman" w:hAnsi="Times New Roman"/>
          <w:sz w:val="20"/>
        </w:rPr>
      </w:pPr>
      <w:r>
        <w:rPr>
          <w:rFonts w:ascii="Times New Roman" w:hAnsi="Times New Roman"/>
          <w:sz w:val="20"/>
        </w:rPr>
        <w:t xml:space="preserve">Under the Orphan Drug Act, the FDA may grant orphan designation to a biologic intended to treat a rare disease or condition, which is a disease or condition that affects fewer than 200,000 individuals in the United States or where, if the disease or condition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before="240" w:after="0"/>
        <w:jc w:val="both"/>
        <w:rPr>
          <w:rFonts w:ascii="Times New Roman" w:hAnsi="Times New Roman"/>
          <w:sz w:val="20"/>
        </w:rPr>
      </w:pPr>
      <w:r>
        <w:rPr>
          <w:rFonts w:ascii="Times New Roman" w:hAnsi="Times New Roman"/>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the same drug, as defined by the FDA, or if a the biologic is determined to be contained within the competitors product for the same disease or condition. In addition, if an orphan-designated product receives approval for a disease or condition broader than covered in the orphan designation, the product may not be entitled to orphan exclusivity.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Development and Review Programs </w:t>
      </w:r>
    </w:p>
    <w:p>
      <w:pPr>
        <w:pStyle w:val="TextBody"/>
        <w:bidi w:val="0"/>
        <w:spacing w:before="120" w:after="0"/>
        <w:jc w:val="both"/>
        <w:rPr>
          <w:rFonts w:ascii="Times New Roman" w:hAnsi="Times New Roman"/>
          <w:sz w:val="20"/>
        </w:rPr>
      </w:pPr>
      <w:r>
        <w:rPr>
          <w:rFonts w:ascii="Times New Roman" w:hAnsi="Times New Roman"/>
          <w:sz w:val="20"/>
        </w:rPr>
        <w:t xml:space="preserve">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both"/>
        <w:rPr>
          <w:rFonts w:ascii="Times New Roman" w:hAnsi="Times New Roman"/>
          <w:sz w:val="20"/>
        </w:rPr>
      </w:pPr>
      <w:r>
        <w:rPr>
          <w:rFonts w:ascii="Times New Roman" w:hAnsi="Times New Roman"/>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both"/>
        <w:rPr>
          <w:rFonts w:ascii="Times New Roman" w:hAnsi="Times New Roman"/>
          <w:sz w:val="20"/>
        </w:rPr>
      </w:pPr>
      <w:r>
        <w:rPr>
          <w:rFonts w:ascii="Times New Roman" w:hAnsi="Times New Roman"/>
          <w:sz w:val="20"/>
        </w:rPr>
        <w:t xml:space="preserve">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a product candidate may be eligible for accelerated approval. A biological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Requirements </w:t>
      </w:r>
    </w:p>
    <w:p>
      <w:pPr>
        <w:pStyle w:val="TextBody"/>
        <w:bidi w:val="0"/>
        <w:spacing w:before="120" w:after="0"/>
        <w:jc w:val="both"/>
        <w:rPr>
          <w:rFonts w:ascii="Times New Roman" w:hAnsi="Times New Roman"/>
          <w:sz w:val="20"/>
        </w:rPr>
      </w:pPr>
      <w:r>
        <w:rPr>
          <w:rFonts w:ascii="Times New Roman" w:hAnsi="Times New Roman"/>
          <w:sz w:val="20"/>
        </w:rPr>
        <w:t xml:space="preserve">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t>
      </w:r>
    </w:p>
    <w:p>
      <w:pPr>
        <w:pStyle w:val="TextBody"/>
        <w:bidi w:val="0"/>
        <w:spacing w:before="240" w:after="0"/>
        <w:jc w:val="both"/>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holds on ongoing or planned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FDA closely regulates the marketing, labeling, advertising and promotion of biological products. A company can make only those claims relating to safety and efficacy, purity and potency that are approved by the FDA and in accordance with the provisions of the approved label. The FDA and other agencies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both"/>
        <w:rPr>
          <w:rFonts w:ascii="Times New Roman" w:hAnsi="Times New Roman"/>
          <w:sz w:val="20"/>
        </w:rPr>
      </w:pPr>
      <w:r>
        <w:rPr>
          <w:rFonts w:ascii="Times New Roman" w:hAnsi="Times New Roman"/>
          <w:sz w:val="20"/>
        </w:rPr>
        <w:t xml:space="preserve">The Affordable Care Act, signed into law in 2010, includes a subtitle called the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t>
      </w:r>
    </w:p>
    <w:p>
      <w:pPr>
        <w:pStyle w:val="TextBody"/>
        <w:bidi w:val="0"/>
        <w:spacing w:before="240" w:after="0"/>
        <w:jc w:val="both"/>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both"/>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w:t>
      </w:r>
    </w:p>
    <w:p>
      <w:pPr>
        <w:pStyle w:val="TextBody"/>
        <w:bidi w:val="0"/>
        <w:spacing w:before="120" w:after="0"/>
        <w:jc w:val="both"/>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Successful sales of our drug candidates in the U.S. market, if approved, will depend, in part, on the extent to which our drugs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0"/>
        <w:jc w:val="both"/>
        <w:rPr>
          <w:rFonts w:ascii="Times New Roman" w:hAnsi="Times New Roman"/>
          <w:sz w:val="20"/>
        </w:rPr>
      </w:pPr>
      <w:r>
        <w:rPr>
          <w:rFonts w:ascii="Times New Roman" w:hAnsi="Times New Roman"/>
          <w:sz w:val="20"/>
        </w:rPr>
        <w:t xml:space="preserve">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Healthcare Reform </w:t>
      </w:r>
    </w:p>
    <w:p>
      <w:pPr>
        <w:pStyle w:val="TextBody"/>
        <w:bidi w:val="0"/>
        <w:spacing w:before="120" w:after="0"/>
        <w:jc w:val="both"/>
        <w:rPr>
          <w:rFonts w:ascii="Times New Roman" w:hAnsi="Times New Roman"/>
          <w:sz w:val="20"/>
        </w:rPr>
      </w:pPr>
      <w:r>
        <w:rPr>
          <w:rFonts w:ascii="Times New Roman" w:hAnsi="Times New Roman"/>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w:t>
      </w:r>
    </w:p>
    <w:p>
      <w:pPr>
        <w:pStyle w:val="TextBody"/>
        <w:bidi w:val="0"/>
        <w:spacing w:before="240" w:after="0"/>
        <w:jc w:val="both"/>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On March 11, 2021, President Biden signed the American Rescue Plan Act of 2021 into law, which eliminates the statutory Medicaid drug rebate cap, for single source and innovator multiple source drugs, beginning January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2024. The rebate was previously capped at 100% of a drugs average manufacturer price. 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w:t>
      </w:r>
    </w:p>
    <w:p>
      <w:pPr>
        <w:pStyle w:val="TextBody"/>
        <w:bidi w:val="0"/>
        <w:spacing w:before="240" w:after="0"/>
        <w:jc w:val="both"/>
        <w:rPr>
          <w:rFonts w:ascii="Times New Roman" w:hAnsi="Times New Roman"/>
          <w:sz w:val="20"/>
        </w:rPr>
      </w:pPr>
      <w:r>
        <w:rPr>
          <w:rFonts w:ascii="Times New Roman" w:hAnsi="Times New Roman"/>
          <w:sz w:val="20"/>
        </w:rPr>
        <w:t xml:space="preserve">Most recently, on August 16, 2022, President Biden signed the Inflation Reduction Act of 2022 (IRA)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t>
      </w:r>
    </w:p>
    <w:p>
      <w:pPr>
        <w:pStyle w:val="TextBody"/>
        <w:bidi w:val="0"/>
        <w:spacing w:before="240" w:after="0"/>
        <w:jc w:val="both"/>
        <w:rPr>
          <w:rFonts w:ascii="Times New Roman" w:hAnsi="Times New Roman"/>
          <w:sz w:val="20"/>
        </w:rPr>
      </w:pPr>
      <w:r>
        <w:rPr>
          <w:rFonts w:ascii="Times New Roman" w:hAnsi="Times New Roman"/>
          <w:sz w:val="20"/>
        </w:rPr>
        <w:t xml:space="preserve">Existing healthcare reform measures, as well as the implementation of additional cost containment measures or other reforms may prevent us from being able to generate revenue, attain profitability or commercialize our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Laws </w:t>
      </w:r>
    </w:p>
    <w:p>
      <w:pPr>
        <w:pStyle w:val="TextBody"/>
        <w:bidi w:val="0"/>
        <w:spacing w:before="120" w:after="0"/>
        <w:jc w:val="both"/>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2023, we had 61 employees, all of whom were full-time and 44 of whom were engaged in research and development activities. Thirteen of our employees hold Ph.D. or M.D. degrees. All laboratory personnel and our administrative team are based in and around Irvine, CA. None of our employees are represented by a labor union or covered under a collective bargaining agreement. We consider our relationship with our employees to be good. </w:t>
      </w:r>
    </w:p>
    <w:p>
      <w:pPr>
        <w:pStyle w:val="TextBody"/>
        <w:bidi w:val="0"/>
        <w:spacing w:before="240" w:after="0"/>
        <w:jc w:val="both"/>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We currently lease approximately 1,249 square feet of laboratory and office space in and around Irvine, CA. We believe these facilities will be adequate for the foreseeable future and that suitable additional or substitute space will be available as and when needed.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551455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name, age and position of each of our executive officers and directors as of January 16,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38"/>
        <w:gridCol w:w="128"/>
        <w:gridCol w:w="60"/>
        <w:gridCol w:w="260"/>
        <w:gridCol w:w="60"/>
        <w:gridCol w:w="256"/>
        <w:gridCol w:w="5703"/>
      </w:tblGrid>
      <w:tr>
        <w:trPr/>
        <w:tc>
          <w:tcPr>
            <w:tcW w:w="373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703" w:type="dxa"/>
            <w:tcBorders/>
            <w:vAlign w:val="center"/>
          </w:tcPr>
          <w:p>
            <w:pPr>
              <w:pStyle w:val="TableContents"/>
              <w:bidi w:val="0"/>
              <w:spacing w:before="0" w:after="283"/>
              <w:jc w:val="left"/>
              <w:rPr>
                <w:sz w:val="4"/>
                <w:szCs w:val="4"/>
              </w:rPr>
            </w:pPr>
            <w:r>
              <w:rPr>
                <w:sz w:val="4"/>
                <w:szCs w:val="4"/>
              </w:rPr>
            </w:r>
          </w:p>
        </w:tc>
      </w:tr>
      <w:tr>
        <w:trPr/>
        <w:tc>
          <w:tcPr>
            <w:tcW w:w="37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8"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Position(s)</w:t>
            </w:r>
          </w:p>
        </w:tc>
      </w:tr>
      <w:tr>
        <w:trPr/>
        <w:tc>
          <w:tcPr>
            <w:tcW w:w="4186" w:type="dxa"/>
            <w:gridSpan w:val="4"/>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 and Employee Directors</w:t>
            </w:r>
          </w:p>
        </w:tc>
        <w:tc>
          <w:tcPr>
            <w:tcW w:w="60" w:type="dxa"/>
            <w:tcBorders/>
          </w:tcPr>
          <w:p>
            <w:pPr>
              <w:pStyle w:val="TableContents"/>
              <w:bidi w:val="0"/>
              <w:spacing w:before="0" w:after="0"/>
              <w:jc w:val="left"/>
              <w:rPr/>
            </w:pPr>
            <w:r>
              <w:rPr/>
              <w:t> </w:t>
            </w:r>
          </w:p>
        </w:tc>
        <w:tc>
          <w:tcPr>
            <w:tcW w:w="256" w:type="dxa"/>
            <w:tcBorders/>
            <w:vAlign w:val="bottom"/>
          </w:tcPr>
          <w:p>
            <w:pPr>
              <w:pStyle w:val="TableContents"/>
              <w:bidi w:val="0"/>
              <w:spacing w:before="0" w:after="283"/>
              <w:jc w:val="left"/>
              <w:rPr/>
            </w:pPr>
            <w:r>
              <w:rPr/>
              <w:t>  </w:t>
            </w:r>
          </w:p>
        </w:tc>
        <w:tc>
          <w:tcPr>
            <w:tcW w:w="5703" w:type="dxa"/>
            <w:tcBorders/>
            <w:vAlign w:val="bottom"/>
          </w:tcPr>
          <w:p>
            <w:pPr>
              <w:pStyle w:val="TableContents"/>
              <w:bidi w:val="0"/>
              <w:spacing w:before="0" w:after="283"/>
              <w:jc w:val="left"/>
              <w:rPr>
                <w:sz w:val="4"/>
                <w:szCs w:val="4"/>
              </w:rPr>
            </w:pPr>
            <w:r>
              <w:rPr>
                <w:sz w:val="4"/>
                <w:szCs w:val="4"/>
              </w:rPr>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Arthur Kuan</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33</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Chairman and Chief Executive Officer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Ambaw Bellete</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53</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Operating Officer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Corleen Roche</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58</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Secretary</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Vijay Kasturi, M.D.</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56</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Susan Graf(2)(3)</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Brian Liu, M.D.(1)(2)</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35</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James J. Mulé, IPh.D.</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Leonard Post, Ph.D.(1)(3)</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Hong Fang Simone Song(1)(2)</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58</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30" w:hRule="atLeast"/>
        </w:trPr>
        <w:tc>
          <w:tcPr>
            <w:tcW w:w="3738" w:type="dxa"/>
            <w:tcBorders/>
            <w:vAlign w:val="center"/>
          </w:tcPr>
          <w:p>
            <w:pPr>
              <w:pStyle w:val="TableContents"/>
              <w:bidi w:val="0"/>
              <w:spacing w:before="0" w:after="283"/>
              <w:jc w:val="left"/>
              <w:rPr>
                <w:sz w:val="4"/>
                <w:szCs w:val="4"/>
              </w:rPr>
            </w:pPr>
            <w:r>
              <w:rPr>
                <w:sz w:val="4"/>
                <w:szCs w:val="4"/>
              </w:rPr>
            </w:r>
          </w:p>
        </w:tc>
        <w:tc>
          <w:tcPr>
            <w:tcW w:w="508" w:type="dxa"/>
            <w:gridSpan w:val="4"/>
            <w:tcBorders/>
            <w:vAlign w:val="center"/>
          </w:tcPr>
          <w:p>
            <w:pPr>
              <w:pStyle w:val="TableContents"/>
              <w:bidi w:val="0"/>
              <w:spacing w:before="0" w:after="283"/>
              <w:jc w:val="left"/>
              <w:rPr>
                <w:sz w:val="4"/>
                <w:szCs w:val="4"/>
              </w:rPr>
            </w:pPr>
            <w:r>
              <w:rPr>
                <w:sz w:val="4"/>
                <w:szCs w:val="4"/>
              </w:rPr>
            </w:r>
          </w:p>
        </w:tc>
        <w:tc>
          <w:tcPr>
            <w:tcW w:w="5959" w:type="dxa"/>
            <w:gridSpan w:val="2"/>
            <w:tcBorders/>
            <w:vAlign w:val="center"/>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Victor Tong, Jr.(3)</w:t>
            </w:r>
          </w:p>
        </w:tc>
        <w:tc>
          <w:tcPr>
            <w:tcW w:w="12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40</w:t>
            </w:r>
          </w:p>
        </w:tc>
        <w:tc>
          <w:tcPr>
            <w:tcW w:w="60" w:type="dxa"/>
            <w:tcBorders/>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nominating and corporate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both"/>
        <w:rPr>
          <w:rFonts w:ascii="Times New Roman" w:hAnsi="Times New Roman"/>
          <w:sz w:val="20"/>
        </w:rPr>
      </w:pPr>
      <w:r>
        <w:rPr>
          <w:rFonts w:ascii="Times New Roman" w:hAnsi="Times New Roman"/>
          <w:b/>
          <w:i/>
          <w:sz w:val="20"/>
        </w:rPr>
        <w:t>Arthur Kuan</w:t>
      </w:r>
      <w:r>
        <w:rPr>
          <w:rFonts w:ascii="Times New Roman" w:hAnsi="Times New Roman"/>
          <w:sz w:val="20"/>
        </w:rPr>
        <w:t xml:space="preserve"> has served as our Chief Executive Officer and as a member of our board of directors since our inception in 2017, and as Chairman since December 2023. Mr. Kuan is also a founding member of Ally Bridge Group, a global healthcare-focused investment platform, and serves on the IP Commercialization Strategy Committee at Moffit Cancer Center. Previously, Mr. Kuan was a member of Themes Investment Partners, a Private Equity fund based in Hong Kong, where he played a central role in coordinating cross-border technology transfer and regulatory submissions for portfolio companies. Mr. Kuan began his career in an operational role at Dinova Capital, a Shanghai-based, medical technology incubator fund, evaluating medical device investment opportunities. Mr. Kuan received his M.S. in Biotechnology from the Johns Hopkins University and his B.A. in Biology from the University of Pennsylvania. Mr. Kuans knowledge of our business and experience investing in a number of biopharmaceutical companies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Ambaw Bellete</w:t>
      </w:r>
      <w:r>
        <w:rPr>
          <w:rFonts w:ascii="Times New Roman" w:hAnsi="Times New Roman"/>
          <w:sz w:val="20"/>
        </w:rPr>
        <w:t xml:space="preserve"> has served as our President and Chief Operating Officer since July 2023. Previously, Mr. Bellete served as Chief Executive Officer of Lion Healthcare Strategies, a strategic advisory firm, from April 2021 to August 2023, and Chief Operating Officer of FerGene, a gene therapy company dedicated to revolutionizing the treatment of bladder cancer, from March 2020 to March 2021. Prior to FerGene, Mr. Bellete served as the president of Photocure, a company focused on developing and commercializing pharmaceutical products based on photodynamic technology to treat bladder cancer, and also held several global leadership positions with biopharma, biotech and medical device companies, including President of Medical Compression Systems from January 2012 to July 2019. Mr. Bellete started his biopharma career at the Upjohn Company (now Pfizer) and then Sanofi, where he held diverse leadership roles in business development, managed care, marketing and sales positions in specialty, oncology and urology. Mr. Bellete currently serves on the board of directors The Axiom REACH Foundation and OncoSTING. Mr. Bellete holds a B.S. in Biology and Chemistry from Murray State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Corleen Roche</w:t>
      </w:r>
      <w:r>
        <w:rPr>
          <w:rFonts w:ascii="Times New Roman" w:hAnsi="Times New Roman"/>
          <w:sz w:val="20"/>
        </w:rPr>
        <w:t xml:space="preserve"> has served as our Chief Financial Officer and Secretary since January 2024. Previously, Ms. Roche served as the Chief Financial Officer of Immunome, Inc., a publicly-traded biotechnology company, from April 2021 to January 2024. Prior to Immunome, Ms. Roche served as the Chief Financial Officer, U.S. of Biogen Inc. from 2019 until April 2021, and served as the Chief Financial Officer U.S. Biopharma for Sandoz, a division of Novartis, from 2015 to 2019. Ms. Roche began her career at PricewaterhouseCoopers and has served as Chief Financial Officer at other companies including IoGenetics, Inc. and the Global Vaccines business unit at Wyeth Pharmaceuticals. Ms. Roche holds a B.A. in Accountancy from Villanova University. </w:t>
      </w:r>
    </w:p>
    <w:p>
      <w:pPr>
        <w:pStyle w:val="TextBody"/>
        <w:bidi w:val="0"/>
        <w:spacing w:before="240" w:after="0"/>
        <w:jc w:val="both"/>
        <w:rPr>
          <w:rFonts w:ascii="Times New Roman" w:hAnsi="Times New Roman"/>
          <w:sz w:val="20"/>
        </w:rPr>
      </w:pPr>
      <w:r>
        <w:rPr>
          <w:rFonts w:ascii="Times New Roman" w:hAnsi="Times New Roman"/>
          <w:b/>
          <w:i/>
          <w:sz w:val="20"/>
        </w:rPr>
        <w:t>Vijay Kasturi</w:t>
      </w:r>
      <w:r>
        <w:rPr>
          <w:rFonts w:ascii="Times New Roman" w:hAnsi="Times New Roman"/>
          <w:sz w:val="20"/>
        </w:rPr>
        <w:t xml:space="preserve"> has served as our Chief Medical Officer since September 2023. Previously, Dr. Kasturi was Vice President of Clinical Development and Medical Affairs of AVEO Pharmaceuticals, a cancer therapeutics company, from April 2021 to August 2023. Prior to AVEO Pharmaceuticals, Dr. Kasturi was Senior Vice President of Scientific Affairs at FerGene from March 2020 to March 2021. Prior to FerGene, Dr. Kasturi was head of U.S. Medical Affairs, Oncology for EMD Serono, a pharmaceutical company focused on reproductive health, multiple sclerosis and cancer, from November 2015 to March 2020, where he had responsibility for developing global and regional strategies that brought new therapies to patients in immunology, hematology and oncology. Earlier in his career, Dr. Kasturi treated patients with cancer and served as an assistant professor of medicine, Division of Hematology-Oncology at the University of Massachusetts Medical School and as the program leader for genitourinary oncology at UMass Memorial Cancer Center. Dr. Kasturi trained in Hematology-Oncology at the National Cancer Institute (NCI) and worked as an investigator and physician at the NCI and Dartmouth Hitchcock Medical Center. Dr. Kasturi holds an M.D. from Rush Medical College of Rush University and a B.S. in Biology from University of Illinois, Chicago.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Susan Graf</w:t>
      </w:r>
      <w:r>
        <w:rPr>
          <w:rFonts w:ascii="Times New Roman" w:hAnsi="Times New Roman"/>
          <w:sz w:val="20"/>
        </w:rPr>
        <w:t xml:space="preserve"> has served as a member of our board of directors since November 2023. Ms. Graf is currently a Senior Advisor and Entrepreneur in Residence at Locust Walk Partners, LLC, a global life science transaction firm. Ms. Graf previously served as Chief Executive Officer of biotechnology company Akamara Therapeutics from August 2019 to May 2021. Prior to Akamara Therapeutics, Ms. Graf was Chief Business Officer and Principal Financial Officer at Epizyme, a biopharmaceutical company, from April 2016 to September 2018. Prior to Epizyme, Ms. Graf held the position of Vice President, Corporate Development and Strategy for NPS Pharma before it was acquired by Shire in 2015. Earlier in her career, Ms. Graf spent nearly 18 years at Roche in a number of leadership and executive positions. Ms. Graf currently chairs the board of directors and audit committee of Finch Therapeutics, a publicly-traded microbiome therapeutics company and serves on the board of directors of Kaléo, a privately held pharmaceutical company. Ms. Graf has an M.B.A. from the Stern School of Business at New York University and a B.Pharm. from Purdue University. Ms. Grafs extensive experience in the life sciences industry and her financial expertise contributed to our board of directors conclusion that she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Brian Liu, M.D.</w:t>
      </w:r>
      <w:r>
        <w:rPr>
          <w:rFonts w:ascii="Times New Roman" w:hAnsi="Times New Roman"/>
          <w:sz w:val="20"/>
        </w:rPr>
        <w:t xml:space="preserve"> has served as a member of our board of directors since September 2022. Dr. Liu is a Managing Director at Longitude Capital, a healthcare venture capital firm, where he has been employed since 2018. Prior to joining Longitude Capital, Dr. Liu was an Engagement Manager in the pharmaceuticals practice of McKinsey &amp; Company from January 2016 to July 2018. Dr. Liu currently serves on the board of directors of Lassen Therapeutics and as a board observer at Quanta Therapeutics., Rivus Pharmaceuticals and Zenas BioPharma. Dr. Liu previously served as a board observer at Endeavor Biomedicines, Inflazome (acquired by Roche Holding), Dascena Lab, Talaris Therapeutics, and Vera Therapeutics. Dr. Liu holds an M.D. from Stanford School of Medicine and a B.S. in Biomedical Engineering from Johns Hopkins University. Dr. Lius investment experience in the pharmaceutical industry and prior board experience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James J. Mulé, IPh.D.</w:t>
      </w:r>
      <w:r>
        <w:rPr>
          <w:rFonts w:ascii="Times New Roman" w:hAnsi="Times New Roman"/>
          <w:sz w:val="20"/>
        </w:rPr>
        <w:t xml:space="preserve"> has served as a member of our board of directors since 2018. Dr. Mulé has served as Associate Center Director for Translational Science and the Michael McGillicuddy (U.S. Senator Connie Mack (ret.) &amp; Family) Endowed Chair for Melanoma Research and Treatment since 2003 and is the Associate Center Director of the Moffitt Cancer Center, Tampa, Florida, where he has served as a Director since 2003. Since 1993,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Dr. Mulé has served multiple tenures as a special government employee to the FDA at the Center for Drug Evaluation and Research and at the Center for Biologics Evaluation and Research and to the National Cancer Institute (NCI). Dr. Mulé also served on the board of directors of publicly-traded company Fulgent Genetics from 2016 to 2020. Dr. Mulé serves on the advisory boards of numerous biotechnology companies, pharmaceutical companies, NCI-designated cancer centers and investment funds, including Buffett Cancer Center, Omaha; Masonic Cancer Center, Minneapolis; Affyimmune Therapeutics; Aleta Biotherapeutics; OncoPep; Turnstone Biologics; UbiVac; Vault Pharma; Vycellix; and Noble Life Science Partners. Dr. Mulé holds an Interdisciplinary Ph.D. in Tumor Immunology, Immunocytology, and Immunopathology from the University of Washington and the Fred Hutchinson Cancer Research Center, Seattle, Washington, a M.S. in Cellular Immunology from the University of Washington School of Medicine and a B.A. from New Jersey City University. Dr. Mulé received his formal postgraduate training at the Surgery Branch, Division of Cancer Treatment, NCI, National Institutes of Health (NIH), Bethesda, Maryland. Dr. Mulé has held tenured senior positions at the NCI/NIH and the University of Michigan, Ann Arbor. Dr. Mulés extensive regulatory, basic, translational and clinical research as well as administration leadership experience in both non-profit and for-profit entities and the biopharmaceutical industry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Leonard Post, Ph.D</w:t>
      </w:r>
      <w:r>
        <w:rPr>
          <w:rFonts w:ascii="Times New Roman" w:hAnsi="Times New Roman"/>
          <w:b/>
          <w:sz w:val="20"/>
        </w:rPr>
        <w:t xml:space="preserve">. </w:t>
      </w:r>
      <w:r>
        <w:rPr>
          <w:rFonts w:ascii="Times New Roman" w:hAnsi="Times New Roman"/>
          <w:sz w:val="20"/>
        </w:rPr>
        <w:t xml:space="preserve">has served as a member of our board of directors since 2018. Dr. Post has over three decades of pharmaceutical R&amp;D experience. Since July 2016, Dr. Post has served as Chief Scientific Officer of Vivace Therapeutics, an oncology company working on small molecules targeting the hippo pathway, and is also Chief Scientific Officer of its sister company Virtuoso Therapeutics, a company working on bispecific antibodies for oncology. From February 2010 until June 2016, Dr. Post worked at BioMarin, in various positions including Chief Scientific Officer. During that time, he oversaw the initiation of BioMarins first gene therapy project for hemophilia A. Prior to that, Dr. Post served as Chief Scientific Officer of LEAD Therapeutics, Senior Vice President of Research &amp; Development at Onyx Pharmaceuticals, and Vice President of Discovery Research at Parke-Davis Pharmaceuticals. Dr. Post is also currently an advisor to Canaan Partners. Mr. Post currently serves on the board of directors of uniQure, a publicly-traded biopharmaceutical company, and several privately-held biopharmaceutical companies. Dr. Post also previously served on the board of directors of publicly-traded genetic diagnostics company Fulgent Genetics from August 2022 to October 2022. Dr. Post is a virologist by training and did early work on engineering of herpes simplex virus as a postdoctoral fellow. Dr. Post has a B.S. in Chemistry from the University of Michigan, and a Ph.D. in Biochemistry from the University of Wisconsin. Dr. Posts extensive experience in the biotechnology industry, and specifically in oncolytic viruses, contributed to our board of directors conclusion that 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Simone Song</w:t>
      </w:r>
      <w:r>
        <w:rPr>
          <w:rFonts w:ascii="Times New Roman" w:hAnsi="Times New Roman"/>
          <w:sz w:val="20"/>
        </w:rPr>
        <w:t xml:space="preserve"> has served as a member of our board of directors since November 2015. Ms. Song is the Founder and has been a Senior Partner of ORI Capital Limited, a venture capital firm, since July 2015. Prior to ORI Capital, Ms. Song served as the Head of Healthcare Investment Banking for Greater China for Goldman Sachs. Prior to Goldman Sachs, Ms. Song was a Managing Director of Cowen, a member of the advisory board of AXA Investment Managers, a global investment management firm, and an executive board advisor to AXA Asia Pacific Holdings Limited. Ms. Hong holds a B.A. in Economics from Fudan University and an M.A. in Economics from Claremont Graduate School. Ms. Songs extensive experience in the healthcare sector contributed to our board of directors conclusion that she should serve as a director of our company. </w:t>
      </w:r>
    </w:p>
    <w:p>
      <w:pPr>
        <w:pStyle w:val="TextBody"/>
        <w:bidi w:val="0"/>
        <w:spacing w:before="240" w:after="0"/>
        <w:jc w:val="both"/>
        <w:rPr>
          <w:rFonts w:ascii="Times New Roman" w:hAnsi="Times New Roman"/>
          <w:sz w:val="20"/>
        </w:rPr>
      </w:pPr>
      <w:r>
        <w:rPr>
          <w:rFonts w:ascii="Times New Roman" w:hAnsi="Times New Roman"/>
          <w:b/>
          <w:i/>
          <w:sz w:val="20"/>
        </w:rPr>
        <w:t>Victor Tong, Jr.</w:t>
      </w:r>
      <w:r>
        <w:rPr>
          <w:rFonts w:ascii="Times New Roman" w:hAnsi="Times New Roman"/>
          <w:sz w:val="20"/>
        </w:rPr>
        <w:t xml:space="preserve"> has served as a member of our board of directors since July 2023. Mr. Tong is a Managing Director at Decheng Capital (Decheng), an investment firm, where he has 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serves on the board of directors of multiple privately held biotechnology and biopharmaceutical companies including Cellares Corp., EpimAb Biotherapeutics, Harton Therapeutics, Hummingbird Bioscience, LevitasBio, Nalu Medical, Take2, and Watchmaker Genomics. Mr. Tong holds a B.A. in Molecular and Cell Biology and B.S. in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Administration from the University of California, Berkeley. Mr. Tongs investment and board experience in the biopharmaceutical industry contributed to our board of directors conclusion that he should serve as a director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and Election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currently consists of seven members. Our board of directors has determined that all of our directors, other than Mr. Kuan,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whose terms then expire will be eligible for reelection until the third annual meeting following reelection. Effective upon the closing of this offering,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will be Mr. Kuan, Dr. Mulé and Dr. Post, and their terms will expire at our first annual meeting of stockholders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will be Ms. Song and Mr. Tong, and their terms will expire at our second annual meeting of stockholders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will be Ms. Graf and Dr. Liu, and their terms will expire at our third annual meeting of stockholders following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currently chaired by Arthur Kuan, our Chief Executive Officer. The board of directors has appointed Leonard Post, Ph.D., as our lead independent director. Our board of directors recognizes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that it is important to determine an optimal board leadership structure to ensure the independent oversight of management as the company continues to grow. The lead independent director is chosen by the independent members of the board of directors. We believe that this separation of responsibilities ensures the appropriate level of oversight, independence and responsibility is applied to all board decisions. </w:t>
      </w:r>
    </w:p>
    <w:p>
      <w:pPr>
        <w:pStyle w:val="TextBody"/>
        <w:bidi w:val="0"/>
        <w:spacing w:before="240" w:after="0"/>
        <w:jc w:val="both"/>
        <w:rPr>
          <w:rFonts w:ascii="Times New Roman" w:hAnsi="Times New Roman"/>
          <w:sz w:val="20"/>
        </w:rPr>
      </w:pPr>
      <w:r>
        <w:rPr>
          <w:rFonts w:ascii="Times New Roman" w:hAnsi="Times New Roman"/>
          <w:sz w:val="20"/>
        </w:rPr>
        <w:t xml:space="preserve">The duties of our lead independent director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chairing meetings of the independent directors in executive session;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communications between other members of our board and our chairman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matters, such as agenda items, schedule sufficiency, and, where appropriate, information provided to other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consulting with our chairman and Chief Executive Officer on matters relating to corporate governance and board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performing such other duties as the board may determine from time to time.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and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three standing committees  audit, compensation and nominating and corporate governance  each of which operates under a charter that has been approved by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The audit committees main function is to oversee our accounting and financial reporting processes and the audits of our financial statements. This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appointing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audit and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the design, implementation, adequacy and effectiveness of our internal accounting controls and our critical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with management and the independent registered public accounting firm the results of our annual audit and the review of our quarterly unaudited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overseeing and monitoring the integrity of our financial statements and our compliance with legal and regulatory requirements as they relate to financial statements or accounting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on a periodic basis, or as appropriate, any investment policy and recommending to our board of directors any changes to such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with management and our auditors any earnings announcements and other public announcements regarding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any related party transactions and reviewing and monitoring compliance with our code of conduct and ethics;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evaluating, at least annually, the performance of the audit committee and its members including compliance of the audit committee with its charter.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members of our audit committee are Ms. Graf, Dr. Liu and Ms. Song. Ms. Graf serves as the chairperson of the committee. All members of our audit committee meet the requirements for financial literacy under the applicable rules and regulations of the SEC and Nasdaq. Our board of directors has determined that Ms. Graf is an audit committee financial expert as defined by applicable SEC rules and has the requisite financial sophistication as defined under the applicable Nasdaq listing standards. Our board of directors has determined that each of Ms. Graf, Dr. Liu and Ms. Song is independent under the applicable rules of the SEC and Nasdaq. Upon the listing of our common stock on Nasdaq, the audit committee will operate under a written charter that satisfies the applicable standards of the SEC and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our compensation committee are Dr. Liu, Dr. Post and Ms. Song. Ms. Song serves as the chairperson of the committee. Our board of directors has determined that each of Dr. Liu, Dr. Post and Ms. Song is independent under the applicable Nasdaq listing standards and is a non-employee director as defined in Rule 16b-3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promulgated under the Exchange Act. Upon the listing of our common stock on Nasdaq, the compensation committee will operate under a written charter, which the compensation committee will review and evaluate at least annually.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of directors with oversight of matters relating to environmental, social and governance matters affecting the company and oversight of the evaluation of our board of directors. The members of our nominating and corporate governance committee are Ms. Graf, Dr. Post and Mr. Tong. Mr. Tong serves as the chairperson of the committee. Our board of directors has determined that each of Ms. Graf, Dr. Post and Mr. Tong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personal and professional integrity, ethics and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in corporate management, such as serving as an officer or former officer of a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as a board member or executive officer of another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strong finance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diversity of expertise and experience in substantive matters pertaining to our business relative to other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diversity of background and perspective, including, but not limited to, with respect to age, gender, race, place of residence and specialized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relevant to our business industry and with relevant social policy concerns;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relevant academic expertise or other proficiency in an area of our business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https://cgoncology.com.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551455_12"/>
      <w:bookmarkEnd w:id="14"/>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for 2023, which consist of our principal executive officer during 2023 and our two next most highly compensated executive officers during 2023,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Arthur Kuan, Chairman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Ambaw Bellete, President and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Vijay Kasturi, M.D., Chief Medical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Mr. Bellete joined the company as President and Chief Operating Officer in July 2023 and Dr. Kasturi joined as Chief Medical Officer in August 2023. Corleen Roche, our Chief Financial Officer and Secretary, commenced employment in January 2024 and is therefore not included as a named executive for 2023. However, we describe the employment arrangements with Ms. Roche in connection with her commencement of employment below.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regarding compensation earned with respect to the fiscal year ended December 31, 2023 by our named executive officers. </w:t>
      </w:r>
    </w:p>
    <w:p>
      <w:pPr>
        <w:pStyle w:val="TextBody"/>
        <w:bidi w:val="0"/>
        <w:spacing w:before="360" w:after="0"/>
        <w:jc w:val="center"/>
        <w:rPr>
          <w:rFonts w:ascii="Times New Roman" w:hAnsi="Times New Roman"/>
          <w:b/>
          <w:sz w:val="20"/>
        </w:rPr>
      </w:pPr>
      <w:r>
        <w:rPr>
          <w:rFonts w:ascii="Times New Roman" w:hAnsi="Times New Roman"/>
          <w:b/>
          <w:sz w:val="20"/>
        </w:rPr>
        <w:t xml:space="preserve">2023 Summary Compensation Table </w:t>
      </w:r>
    </w:p>
    <w:p>
      <w:pPr>
        <w:pStyle w:val="TextBody"/>
        <w:bidi w:val="0"/>
        <w:spacing w:before="0" w:after="0"/>
        <w:jc w:val="left"/>
        <w:rPr/>
      </w:pPr>
      <w:r>
        <w:rPr/>
        <w:t> </w:t>
      </w:r>
    </w:p>
    <w:tbl>
      <w:tblPr>
        <w:tblW w:w="11150" w:type="dxa"/>
        <w:jc w:val="center"/>
        <w:tblInd w:w="0" w:type="dxa"/>
        <w:tblLayout w:type="fixed"/>
        <w:tblCellMar>
          <w:top w:w="0" w:type="dxa"/>
          <w:left w:w="0" w:type="dxa"/>
          <w:bottom w:w="0" w:type="dxa"/>
          <w:right w:w="0" w:type="dxa"/>
        </w:tblCellMar>
      </w:tblPr>
      <w:tblGrid>
        <w:gridCol w:w="2090"/>
        <w:gridCol w:w="120"/>
        <w:gridCol w:w="60"/>
        <w:gridCol w:w="500"/>
        <w:gridCol w:w="60"/>
        <w:gridCol w:w="120"/>
        <w:gridCol w:w="60"/>
        <w:gridCol w:w="800"/>
        <w:gridCol w:w="60"/>
        <w:gridCol w:w="120"/>
        <w:gridCol w:w="60"/>
        <w:gridCol w:w="800"/>
        <w:gridCol w:w="350"/>
        <w:gridCol w:w="60"/>
        <w:gridCol w:w="60"/>
        <w:gridCol w:w="980"/>
        <w:gridCol w:w="60"/>
        <w:gridCol w:w="120"/>
        <w:gridCol w:w="103"/>
        <w:gridCol w:w="1387"/>
        <w:gridCol w:w="350"/>
        <w:gridCol w:w="60"/>
        <w:gridCol w:w="103"/>
        <w:gridCol w:w="1387"/>
        <w:gridCol w:w="60"/>
        <w:gridCol w:w="12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Arthur Kuan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3,293,022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3,744,996</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Chairman and Chief Executive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394,000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694,269</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140,000</w:t>
            </w:r>
          </w:p>
        </w:tc>
        <w:tc>
          <w:tcPr>
            <w:tcW w:w="350" w:type="dxa"/>
            <w:tcBorders/>
            <w:shd w:fill="CCEEFF" w:val="clear"/>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1,130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1,229,399</w:t>
            </w:r>
          </w:p>
        </w:tc>
        <w:tc>
          <w:tcPr>
            <w:tcW w:w="60" w:type="dxa"/>
            <w:tcBorders/>
            <w:shd w:fill="CCEEFF" w:val="clear"/>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18"/>
              </w:rPr>
            </w:pPr>
            <w:r>
              <w:rPr>
                <w:rFonts w:ascii="Times New Roman" w:hAnsi="Times New Roman"/>
                <w:sz w:val="18"/>
              </w:rPr>
              <w:t>Ambaw Bellete,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322,000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189,500</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1,967,465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369,970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2,848,935</w:t>
            </w:r>
          </w:p>
        </w:tc>
        <w:tc>
          <w:tcPr>
            <w:tcW w:w="60" w:type="dxa"/>
            <w:tcBorders/>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18"/>
              </w:rPr>
            </w:pPr>
            <w:r>
              <w:rPr>
                <w:rFonts w:ascii="Times New Roman" w:hAnsi="Times New Roman"/>
                <w:i/>
                <w:sz w:val="18"/>
              </w:rPr>
              <w:t>President and Chief Operating Officer</w:t>
            </w:r>
            <w:r>
              <w:rPr>
                <w:rFonts w:ascii="Times New Roman" w:hAnsi="Times New Roman"/>
                <w:sz w:val="12"/>
              </w:rPr>
              <w:t>(6)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Vijay Kasturi,</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56,000</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2,144,844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4,240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2,357,084</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Chief Medical Officer</w:t>
            </w:r>
            <w:r>
              <w:rPr>
                <w:rFonts w:ascii="Times New Roman" w:hAnsi="Times New Roman"/>
                <w:sz w:val="12"/>
              </w:rPr>
              <w:t>(6)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amounts reported in the Option Awards column represent the aggregate grant date fair value of the stock options awarded to our named executive officers during the applicable fiscal year, calculated in accordance with Financial Accounting Standards Board (FASB), Accounting Standards Codification (ASC) Topic 718. The assumptions used in calculating the grant date fair value of the awards reported in this column are set forth in our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See the subsection Narrative to Summary Compensation TableEquity-Based Incentive Awards below.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 reflects a performance bonus earned by Mr. Kuan in 2022, which was paid in early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reflect $9,919 and $2,217 in 401(k) matching contributions for Mr. Bellete and Dr. Kasturi, respectively, $760, $317 and $253 in company-paid premiums for long-term disability insurance for Mr. Kuan, Mr. Bellete and Dr. Kasturi, respectively, $666, $278 and $222 in company-paid premiums for life insurance for Mr. Kuan, Mr. Bellete and Dr. Kasturi, respectively, and $1,548 related to a company-paid holiday-related gift for each of Mr. Kuan, Mr. Bellete and Dr. Kasturi. Amount for Mr. Bellete also reflects $357,908 for his services as a consultant to the company during 2023 prior to his commencement of employment.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reflect performance bonuses earned by each executive in 2023, which will be paid in early 2024. Bonus amounts for 2023 are not calculable as of the date of this prospectus. It is anticipated that 2023 bonus amounts will be determined in the first quarter of 2024, at which time the company will disclose the amounts of such bonuses.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reflect one-time sign-on bonuses paid to Mr. Bellete and Dr. Kasturi in connection with their commencement of employment with the company in July 2023 and August 2023,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annual base salaries for Mr. Bellete and Dr. Kasturi were each prorated for the portion of the year employed in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Base Salary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of our named executive officers is generally determined and approved by our board of directors. The 2023 base salaries of each of our named executive officers are described under the subsection titled Employment Arrangements with our Named Executive Officers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 </w:t>
      </w:r>
    </w:p>
    <w:p>
      <w:pPr>
        <w:pStyle w:val="TextBody"/>
        <w:bidi w:val="0"/>
        <w:spacing w:before="240" w:after="0"/>
        <w:jc w:val="both"/>
        <w:rPr>
          <w:rFonts w:ascii="Times New Roman" w:hAnsi="Times New Roman"/>
          <w:sz w:val="20"/>
        </w:rPr>
      </w:pPr>
      <w:r>
        <w:rPr>
          <w:rFonts w:ascii="Times New Roman" w:hAnsi="Times New Roman"/>
          <w:sz w:val="20"/>
        </w:rPr>
        <w:t xml:space="preserve">For 2023, Mr. Kuan, Mr. Bellete, and Dr. Kasturi were each eligible to earn a target annual bonus equal to 40% of their respective annual base salaries. The annual bonus for Dr. Kasturi will be prorated for the portion of the year employed in 2023. </w:t>
      </w:r>
    </w:p>
    <w:p>
      <w:pPr>
        <w:pStyle w:val="TextBody"/>
        <w:bidi w:val="0"/>
        <w:spacing w:before="240" w:after="0"/>
        <w:jc w:val="both"/>
        <w:rPr>
          <w:rFonts w:ascii="Times New Roman" w:hAnsi="Times New Roman"/>
          <w:sz w:val="20"/>
        </w:rPr>
      </w:pPr>
      <w:r>
        <w:rPr>
          <w:rFonts w:ascii="Times New Roman" w:hAnsi="Times New Roman"/>
          <w:sz w:val="20"/>
        </w:rPr>
        <w:t xml:space="preserve">The corporate goals the board of directors established for 2023 related to regulatory, clinical and development goals, as well as operational objectives. Bonuses are usually determined and paid in the first quarter of the following year. Accordingly, bonus compensation for our executive officers for 2023 has not yet been determined as of the date of filing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offering, the target annual bonuses for Mr. Kuan and Mr. Bellete will increase to 55% and 45% of annual base salary, respectively, effective upon the closing of the offering and retroactive to January 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both"/>
        <w:rPr>
          <w:rFonts w:ascii="Times New Roman" w:hAnsi="Times New Roman"/>
          <w:sz w:val="20"/>
        </w:rPr>
      </w:pPr>
      <w:r>
        <w:rPr>
          <w:rFonts w:ascii="Times New Roman" w:hAnsi="Times New Roman"/>
          <w:sz w:val="20"/>
        </w:rPr>
        <w:t xml:space="preserve">Our equity-based incentive awards are designed to align our interests and those of our stockholders with those of our employees, including our executive officers. The board of directors or an authorized committee thereof is responsible for approving equity grants.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we have granted stock options pursuant to our 2015 Equity Incentive Plan (2015 Plan) and our 2022 Incentive Award Plan (2022 Plan). Following this offering, we will grant equity awards under the terms of our 2024 Incentive Award Plan (2024 Plan). The terms of our equity plans are described under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 In addition, from time to time our board of directors has also granted performance-based stock options, the vesting of which is tied to key clinical, operational or regulatory milestones. </w:t>
      </w:r>
    </w:p>
    <w:p>
      <w:pPr>
        <w:pStyle w:val="TextBody"/>
        <w:bidi w:val="0"/>
        <w:spacing w:before="240" w:after="0"/>
        <w:jc w:val="both"/>
        <w:rPr>
          <w:rFonts w:ascii="Times New Roman" w:hAnsi="Times New Roman"/>
          <w:sz w:val="20"/>
        </w:rPr>
      </w:pPr>
      <w:r>
        <w:rPr>
          <w:rFonts w:ascii="Times New Roman" w:hAnsi="Times New Roman"/>
          <w:sz w:val="20"/>
        </w:rPr>
        <w:t xml:space="preserve">In June 2023, Mr. Bellete was granted an option to purchase 432,311 shares of our common stock pursuant to our 2022 Plan. The option has an exercise price of $3.72 per share, the fair market value on the date of grant as determined by our board of directors based on an independent third-party valuation, and vests over a period of four years, with 25% of the shares underlying the option vesting on the first-year anniversary of the vesting commencement date (July 9, 2023), and the remaining shares vesting in equal monthly installments over the subsequent three-year period thereafter, subject to Mr. Belletes continuous service with us as of each such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date. In addition, Mr. Bellete was also granted an option to purchase 121,833 shares of our common stock pursuant to our 2022 Plan. The option has an exercise price of $3.72 per share and, subject to Mr. Belletes continuous service with us as of each such vesting date, vests as follows: (1) 29,365 shares vest upon the successful completion of the initial public offering of the companys common stock on a public exchange by December 31, 2026, (2) 29,365 shares vest upon the enrollment of the first patient in the IR trial by December 31, 2026, (3) 16,869 shares vest upon the company achieving commercial organization readiness by December 31, 2026, as determined by our board of directors, (4) 29,365 shares vest upon the approval by the FDA of a BLA with respect to cretostimogene, provided such BLA approval occurs on or before December 31, 2026, and (5) 16,869 shares vest upon the companys achievement of the first successful commercial sale by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In August 2023, Dr. Kasturi was granted an option to purchase 443,628 shares of our common stock pursuant to our 2022 Plan. The option has an exercise price of $5.06 per share, the fair market value on the date of grant as determined by our board of directors based on an independent third-party valuation, and vests over a period of four years, with 25% of the shares underlying the option vesting on the first-year anniversary of the vesting commencement date (August 14, 2023), and the remaining shares vesting in equal monthly installments over the subsequent three-year period thereafter, subject to Dr. Kasturis continuous service with us as of each such vesting date. In addition, Dr. Kasturi was also granted an option to purchase 49,292 shares of our common stock pursuant to our 2022 Plan. The option has an exercise price of $5.06 per share and, subject to Dr. Kasturis continuous service with us as of each such vesting date, vests as follows: (1) 24,646 shares vest upon the filing with the FDA of the companys BLA with respect to cretostimogene, provided that such BLA filing occurs on or before December 31, 2025, and (2) 24,646 shares vest upon the approval by the FDA of a BLA with respect to cretostimogene, provided that such BLA approval occurs on or before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In October 2023, Mr. Kuan was granted an option to purchase 524,383 shares of our common stock pursuant to our 2022 Plan. The option has an exercise price of $6.67 per share, which was the fair market value on the date of grant as determined by our board of directors based on an independent third-party valuation, and vests in equal monthly installments over a period of four years following the grant date, subject to Mr. Kuans continuous service with us as of each such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2023, our compensation committee approved the grant of stock options pursuant to the 2022 Plan to our named executive officers as follows: Mr. Kuan, 83,901 options; Mr. Bellete, 52,438 options; and Dr. Kasturi, 36,706 options. Such stock options have an exercise price of $12.59 per share, which was the fair market value on the date of grant as determined by our board of directors based on an independent third-party valuation, and vest in equal monthly installments over a period of four years following the grant date, provided, that such options will not become exercisable until the closing of this offering, and in each case subject to such executives continuous service with us through the applicable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January 2024, in connection with the commencement of employment of Corleen Roche, our Chief Financial Officer, our board of directors approved a grant of stock options to Ms. Roche to purchase 492,920 shares of our common stock pursuant to our 2024 Plan, which grant will become effective as of the effective date of the registration statement of which this prospectus is a part. The option will have an exercise price per share equal to the initial price to the public of a share of common stock in this offering. The option vests over a four-year period, with 25% of the shares vesting on the date that is 12 months after the vesting commencement date (January 16, 2024), and the remaining shares vesting in 36 equal monthly installments thereafter, subject to Ms. Roches continuous service with us as of each such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Outstanding Equity Awards at 2023 Fiscal Year End</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information regarding the outstanding stock options held by each of our named executive officers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53"/>
        <w:gridCol w:w="60"/>
        <w:gridCol w:w="622"/>
        <w:gridCol w:w="60"/>
        <w:gridCol w:w="153"/>
        <w:gridCol w:w="88"/>
        <w:gridCol w:w="1230"/>
        <w:gridCol w:w="60"/>
        <w:gridCol w:w="153"/>
        <w:gridCol w:w="106"/>
        <w:gridCol w:w="1514"/>
        <w:gridCol w:w="350"/>
        <w:gridCol w:w="95"/>
        <w:gridCol w:w="88"/>
        <w:gridCol w:w="1230"/>
        <w:gridCol w:w="350"/>
        <w:gridCol w:w="96"/>
        <w:gridCol w:w="175"/>
        <w:gridCol w:w="720"/>
        <w:gridCol w:w="60"/>
        <w:gridCol w:w="153"/>
        <w:gridCol w:w="186"/>
        <w:gridCol w:w="985"/>
        <w:gridCol w:w="68"/>
      </w:tblGrid>
      <w:tr>
        <w:trPr/>
        <w:tc>
          <w:tcPr>
            <w:tcW w:w="145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53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8" w:type="dxa"/>
            <w:tcBorders/>
            <w:vAlign w:val="bottom"/>
          </w:tcPr>
          <w:p>
            <w:pPr>
              <w:pStyle w:val="TableContents"/>
              <w:bidi w:val="0"/>
              <w:spacing w:before="0" w:after="283"/>
              <w:jc w:val="left"/>
              <w:rPr/>
            </w:pPr>
            <w:r>
              <w:rPr/>
              <w:t> </w:t>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53" w:type="dxa"/>
            <w:tcBorders/>
            <w:vAlign w:val="bottom"/>
          </w:tcPr>
          <w:p>
            <w:pPr>
              <w:pStyle w:val="TableContents"/>
              <w:bidi w:val="0"/>
              <w:spacing w:before="0" w:after="283"/>
              <w:jc w:val="left"/>
              <w:rPr/>
            </w:pPr>
            <w:r>
              <w:rPr/>
              <w:t>  </w:t>
            </w:r>
          </w:p>
        </w:tc>
        <w:tc>
          <w:tcPr>
            <w:tcW w:w="6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Unexercisable(1)</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br/>
              <w:t>Incentive</w:t>
            </w:r>
            <w:r>
              <w:rPr/>
              <w:br/>
            </w:r>
            <w:r>
              <w:rPr>
                <w:b/>
              </w:rPr>
              <w:t>Plan</w:t>
              <w:br/>
              <w:t>Awards:</w:t>
              <w:br/>
              <w:t>Number of</w:t>
              <w:br/>
              <w:t>Securities</w:t>
              <w:br/>
              <w:t>Underlying</w:t>
              <w:br/>
              <w:t>Unexercised</w:t>
              <w:br/>
              <w:t>Unearned</w:t>
              <w:br/>
              <w:t>Options</w:t>
            </w:r>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Exercise</w:t>
              <w:br/>
              <w:t>Price</w:t>
            </w:r>
            <w:r>
              <w:rPr/>
              <w:br/>
            </w:r>
            <w:r>
              <w:rPr>
                <w:b/>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Expiration</w:t>
            </w:r>
            <w:r>
              <w:rPr/>
              <w:br/>
            </w:r>
            <w:r>
              <w:rPr>
                <w:b/>
              </w:rPr>
              <w:t>Date</w:t>
            </w:r>
          </w:p>
        </w:tc>
        <w:tc>
          <w:tcPr>
            <w:tcW w:w="68"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Kuan</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04/19/21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167,483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 xml:space="preserve"> </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xml:space="preserve"> </w:t>
            </w:r>
          </w:p>
        </w:tc>
        <w:tc>
          <w:tcPr>
            <w:tcW w:w="35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1.72</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04/19/31</w:t>
            </w:r>
          </w:p>
        </w:tc>
        <w:tc>
          <w:tcPr>
            <w:tcW w:w="68"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10/19/22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8,521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289,722</w:t>
            </w:r>
          </w:p>
        </w:tc>
        <w:tc>
          <w:tcPr>
            <w:tcW w:w="350" w:type="dxa"/>
            <w:tcBorders/>
            <w:vAlign w:val="bottom"/>
          </w:tcPr>
          <w:p>
            <w:pPr>
              <w:pStyle w:val="TableContents"/>
              <w:bidi w:val="0"/>
              <w:spacing w:before="0" w:after="283"/>
              <w:jc w:val="left"/>
              <w:rPr/>
            </w:pPr>
            <w:r>
              <w:rPr/>
              <w:t>(2) </w:t>
            </w:r>
          </w:p>
        </w:tc>
        <w:tc>
          <w:tcPr>
            <w:tcW w:w="9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10/19/32</w:t>
            </w:r>
          </w:p>
        </w:tc>
        <w:tc>
          <w:tcPr>
            <w:tcW w:w="68"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10/09/23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32,773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491,609</w:t>
            </w:r>
          </w:p>
        </w:tc>
        <w:tc>
          <w:tcPr>
            <w:tcW w:w="350" w:type="dxa"/>
            <w:tcBorders/>
            <w:shd w:fill="CCEEFF" w:val="clear"/>
            <w:vAlign w:val="bottom"/>
          </w:tcPr>
          <w:p>
            <w:pPr>
              <w:pStyle w:val="TableContents"/>
              <w:bidi w:val="0"/>
              <w:spacing w:before="0" w:after="283"/>
              <w:jc w:val="left"/>
              <w:rPr/>
            </w:pPr>
            <w:r>
              <w:rPr/>
              <w:t>(2) </w:t>
            </w:r>
          </w:p>
        </w:tc>
        <w:tc>
          <w:tcPr>
            <w:tcW w:w="9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10/09/33</w:t>
            </w:r>
          </w:p>
        </w:tc>
        <w:tc>
          <w:tcPr>
            <w:tcW w:w="68"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12/13/23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83,901</w:t>
            </w:r>
          </w:p>
        </w:tc>
        <w:tc>
          <w:tcPr>
            <w:tcW w:w="350" w:type="dxa"/>
            <w:tcBorders/>
            <w:vAlign w:val="bottom"/>
          </w:tcPr>
          <w:p>
            <w:pPr>
              <w:pStyle w:val="TableContents"/>
              <w:bidi w:val="0"/>
              <w:spacing w:before="0" w:after="283"/>
              <w:jc w:val="left"/>
              <w:rPr/>
            </w:pPr>
            <w:r>
              <w:rPr/>
              <w:t>(3) </w:t>
            </w:r>
          </w:p>
        </w:tc>
        <w:tc>
          <w:tcPr>
            <w:tcW w:w="9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12/13/33</w:t>
            </w:r>
          </w:p>
        </w:tc>
        <w:tc>
          <w:tcPr>
            <w:tcW w:w="68" w:type="dxa"/>
            <w:tcBorders/>
            <w:vAlign w:val="bottom"/>
          </w:tcPr>
          <w:p>
            <w:pPr>
              <w:pStyle w:val="TableContents"/>
              <w:bidi w:val="0"/>
              <w:spacing w:before="0" w:after="283"/>
              <w:jc w:val="left"/>
              <w:rPr/>
            </w:pPr>
            <w:r>
              <w:rPr/>
              <w:t> </w:t>
            </w:r>
          </w:p>
        </w:tc>
      </w:tr>
      <w:tr>
        <w:trPr>
          <w:trHeight w:val="120" w:hRule="atLeast"/>
        </w:trPr>
        <w:tc>
          <w:tcPr>
            <w:tcW w:w="1450" w:type="dxa"/>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vAlign w:val="center"/>
          </w:tcPr>
          <w:p>
            <w:pPr>
              <w:pStyle w:val="TableContents"/>
              <w:bidi w:val="0"/>
              <w:spacing w:before="0" w:after="283"/>
              <w:jc w:val="left"/>
              <w:rPr>
                <w:sz w:val="4"/>
                <w:szCs w:val="4"/>
              </w:rPr>
            </w:pPr>
            <w:r>
              <w:rPr>
                <w:sz w:val="4"/>
                <w:szCs w:val="4"/>
              </w:rPr>
            </w:r>
          </w:p>
        </w:tc>
        <w:tc>
          <w:tcPr>
            <w:tcW w:w="2123" w:type="dxa"/>
            <w:gridSpan w:val="4"/>
            <w:tcBorders/>
            <w:vAlign w:val="center"/>
          </w:tcPr>
          <w:p>
            <w:pPr>
              <w:pStyle w:val="TableContents"/>
              <w:bidi w:val="0"/>
              <w:spacing w:before="0" w:after="283"/>
              <w:jc w:val="left"/>
              <w:rPr>
                <w:sz w:val="4"/>
                <w:szCs w:val="4"/>
              </w:rPr>
            </w:pPr>
            <w:r>
              <w:rPr>
                <w:sz w:val="4"/>
                <w:szCs w:val="4"/>
              </w:rPr>
            </w:r>
          </w:p>
        </w:tc>
        <w:tc>
          <w:tcPr>
            <w:tcW w:w="1763"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392" w:type="dxa"/>
            <w:gridSpan w:val="4"/>
            <w:tcBorders/>
            <w:vAlign w:val="center"/>
          </w:tcPr>
          <w:p>
            <w:pPr>
              <w:pStyle w:val="TableContents"/>
              <w:bidi w:val="0"/>
              <w:spacing w:before="0" w:after="283"/>
              <w:jc w:val="left"/>
              <w:rPr>
                <w:sz w:val="4"/>
                <w:szCs w:val="4"/>
              </w:rPr>
            </w:pPr>
            <w:r>
              <w:rPr>
                <w:sz w:val="4"/>
                <w:szCs w:val="4"/>
              </w:rPr>
            </w:r>
          </w:p>
        </w:tc>
      </w:tr>
      <w:tr>
        <w:trPr/>
        <w:tc>
          <w:tcPr>
            <w:tcW w:w="1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Ambaw Bellete</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06/14/23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432,311</w:t>
            </w:r>
          </w:p>
        </w:tc>
        <w:tc>
          <w:tcPr>
            <w:tcW w:w="350" w:type="dxa"/>
            <w:tcBorders/>
            <w:shd w:fill="CCEEFF" w:val="clear"/>
            <w:vAlign w:val="bottom"/>
          </w:tcPr>
          <w:p>
            <w:pPr>
              <w:pStyle w:val="TableContents"/>
              <w:bidi w:val="0"/>
              <w:spacing w:before="0" w:after="283"/>
              <w:jc w:val="left"/>
              <w:rPr/>
            </w:pPr>
            <w:r>
              <w:rPr/>
              <w:t>(4) </w:t>
            </w:r>
          </w:p>
        </w:tc>
        <w:tc>
          <w:tcPr>
            <w:tcW w:w="9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3.72</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06/14/33</w:t>
            </w:r>
          </w:p>
        </w:tc>
        <w:tc>
          <w:tcPr>
            <w:tcW w:w="68"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06/14/23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121,831</w:t>
            </w:r>
          </w:p>
        </w:tc>
        <w:tc>
          <w:tcPr>
            <w:tcW w:w="350" w:type="dxa"/>
            <w:tcBorders/>
            <w:vAlign w:val="bottom"/>
          </w:tcPr>
          <w:p>
            <w:pPr>
              <w:pStyle w:val="TableContents"/>
              <w:bidi w:val="0"/>
              <w:spacing w:before="0" w:after="283"/>
              <w:jc w:val="left"/>
              <w:rPr/>
            </w:pPr>
            <w:r>
              <w:rPr/>
              <w:t>(5) </w:t>
            </w:r>
          </w:p>
        </w:tc>
        <w:tc>
          <w:tcPr>
            <w:tcW w:w="9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06/14/33</w:t>
            </w:r>
          </w:p>
        </w:tc>
        <w:tc>
          <w:tcPr>
            <w:tcW w:w="68"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12/13/23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52,438</w:t>
            </w:r>
          </w:p>
        </w:tc>
        <w:tc>
          <w:tcPr>
            <w:tcW w:w="350" w:type="dxa"/>
            <w:tcBorders/>
            <w:shd w:fill="CCEEFF" w:val="clear"/>
            <w:vAlign w:val="bottom"/>
          </w:tcPr>
          <w:p>
            <w:pPr>
              <w:pStyle w:val="TableContents"/>
              <w:bidi w:val="0"/>
              <w:spacing w:before="0" w:after="283"/>
              <w:jc w:val="left"/>
              <w:rPr/>
            </w:pPr>
            <w:r>
              <w:rPr/>
              <w:t>(3) </w:t>
            </w:r>
          </w:p>
        </w:tc>
        <w:tc>
          <w:tcPr>
            <w:tcW w:w="9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12.59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12/13/33</w:t>
            </w:r>
          </w:p>
        </w:tc>
        <w:tc>
          <w:tcPr>
            <w:tcW w:w="68" w:type="dxa"/>
            <w:tcBorders/>
            <w:shd w:fill="CCEEFF" w:val="clear"/>
            <w:vAlign w:val="bottom"/>
          </w:tcPr>
          <w:p>
            <w:pPr>
              <w:pStyle w:val="TableContents"/>
              <w:bidi w:val="0"/>
              <w:spacing w:before="0" w:after="283"/>
              <w:jc w:val="left"/>
              <w:rPr/>
            </w:pPr>
            <w:r>
              <w:rPr/>
              <w:t> </w:t>
            </w:r>
          </w:p>
        </w:tc>
      </w:tr>
      <w:tr>
        <w:trPr>
          <w:trHeight w:val="120" w:hRule="atLeast"/>
        </w:trPr>
        <w:tc>
          <w:tcPr>
            <w:tcW w:w="1450" w:type="dxa"/>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vAlign w:val="center"/>
          </w:tcPr>
          <w:p>
            <w:pPr>
              <w:pStyle w:val="TableContents"/>
              <w:bidi w:val="0"/>
              <w:spacing w:before="0" w:after="283"/>
              <w:jc w:val="left"/>
              <w:rPr>
                <w:sz w:val="4"/>
                <w:szCs w:val="4"/>
              </w:rPr>
            </w:pPr>
            <w:r>
              <w:rPr>
                <w:sz w:val="4"/>
                <w:szCs w:val="4"/>
              </w:rPr>
            </w:r>
          </w:p>
        </w:tc>
        <w:tc>
          <w:tcPr>
            <w:tcW w:w="2123" w:type="dxa"/>
            <w:gridSpan w:val="4"/>
            <w:tcBorders/>
            <w:vAlign w:val="center"/>
          </w:tcPr>
          <w:p>
            <w:pPr>
              <w:pStyle w:val="TableContents"/>
              <w:bidi w:val="0"/>
              <w:spacing w:before="0" w:after="283"/>
              <w:jc w:val="left"/>
              <w:rPr>
                <w:sz w:val="4"/>
                <w:szCs w:val="4"/>
              </w:rPr>
            </w:pPr>
            <w:r>
              <w:rPr>
                <w:sz w:val="4"/>
                <w:szCs w:val="4"/>
              </w:rPr>
            </w:r>
          </w:p>
        </w:tc>
        <w:tc>
          <w:tcPr>
            <w:tcW w:w="1763"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392" w:type="dxa"/>
            <w:gridSpan w:val="4"/>
            <w:tcBorders/>
            <w:vAlign w:val="center"/>
          </w:tcPr>
          <w:p>
            <w:pPr>
              <w:pStyle w:val="TableContents"/>
              <w:bidi w:val="0"/>
              <w:spacing w:before="0" w:after="283"/>
              <w:jc w:val="left"/>
              <w:rPr>
                <w:sz w:val="4"/>
                <w:szCs w:val="4"/>
              </w:rPr>
            </w:pPr>
            <w:r>
              <w:rPr>
                <w:sz w:val="4"/>
                <w:szCs w:val="4"/>
              </w:rPr>
            </w:r>
          </w:p>
        </w:tc>
      </w:tr>
      <w:tr>
        <w:trPr/>
        <w:tc>
          <w:tcPr>
            <w:tcW w:w="1450" w:type="dxa"/>
            <w:tcBorders/>
          </w:tcPr>
          <w:p>
            <w:pPr>
              <w:pStyle w:val="TableContents"/>
              <w:bidi w:val="0"/>
              <w:spacing w:before="0" w:after="0"/>
              <w:jc w:val="left"/>
              <w:rPr>
                <w:rFonts w:ascii="Times New Roman" w:hAnsi="Times New Roman"/>
                <w:sz w:val="20"/>
              </w:rPr>
            </w:pPr>
            <w:r>
              <w:rPr>
                <w:rFonts w:ascii="Times New Roman" w:hAnsi="Times New Roman"/>
                <w:sz w:val="20"/>
              </w:rPr>
              <w:t>Vijay Kasturi, M.D.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08/15/23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443,628</w:t>
            </w:r>
          </w:p>
        </w:tc>
        <w:tc>
          <w:tcPr>
            <w:tcW w:w="350" w:type="dxa"/>
            <w:tcBorders/>
            <w:vAlign w:val="bottom"/>
          </w:tcPr>
          <w:p>
            <w:pPr>
              <w:pStyle w:val="TableContents"/>
              <w:bidi w:val="0"/>
              <w:spacing w:before="0" w:after="283"/>
              <w:jc w:val="left"/>
              <w:rPr/>
            </w:pPr>
            <w:r>
              <w:rPr/>
              <w:t>(4) </w:t>
            </w:r>
          </w:p>
        </w:tc>
        <w:tc>
          <w:tcPr>
            <w:tcW w:w="9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5.06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08/15/33</w:t>
            </w:r>
          </w:p>
        </w:tc>
        <w:tc>
          <w:tcPr>
            <w:tcW w:w="68"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08/15/23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49,292</w:t>
            </w:r>
          </w:p>
        </w:tc>
        <w:tc>
          <w:tcPr>
            <w:tcW w:w="350" w:type="dxa"/>
            <w:tcBorders/>
            <w:shd w:fill="CCEEFF" w:val="clear"/>
            <w:vAlign w:val="bottom"/>
          </w:tcPr>
          <w:p>
            <w:pPr>
              <w:pStyle w:val="TableContents"/>
              <w:bidi w:val="0"/>
              <w:spacing w:before="0" w:after="283"/>
              <w:jc w:val="left"/>
              <w:rPr/>
            </w:pPr>
            <w:r>
              <w:rPr/>
              <w:t>(6) </w:t>
            </w:r>
          </w:p>
        </w:tc>
        <w:tc>
          <w:tcPr>
            <w:tcW w:w="9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5.06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08/15/33</w:t>
            </w:r>
          </w:p>
        </w:tc>
        <w:tc>
          <w:tcPr>
            <w:tcW w:w="68"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12/13/23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36,706</w:t>
            </w:r>
          </w:p>
        </w:tc>
        <w:tc>
          <w:tcPr>
            <w:tcW w:w="350" w:type="dxa"/>
            <w:tcBorders/>
            <w:vAlign w:val="bottom"/>
          </w:tcPr>
          <w:p>
            <w:pPr>
              <w:pStyle w:val="TableContents"/>
              <w:bidi w:val="0"/>
              <w:spacing w:before="0" w:after="283"/>
              <w:jc w:val="left"/>
              <w:rPr/>
            </w:pPr>
            <w:r>
              <w:rPr/>
              <w:t>(3) </w:t>
            </w:r>
          </w:p>
        </w:tc>
        <w:tc>
          <w:tcPr>
            <w:tcW w:w="9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12/13/33</w:t>
            </w:r>
          </w:p>
        </w:tc>
        <w:tc>
          <w:tcPr>
            <w:tcW w:w="68"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These awards are subject to potential acceleration of vesting in connection with a qualifying termination of employment following a change in control, as described under the subsection titled Employment Arrangements with our Named Executive Officers below.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options vest in equal monthly installments over a period of four years following the vesting commencement date (October 19, 2022 for Mr. Kuans options granted on October 19, 2022 and September 20, 2023 for Mr. Kuans options granted on October 9, 2023), subject to Mr. Kuans continuous service with us through each such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options vest in equal monthly installments over a period of four following the vesting commencement date (December 13, 2023), subject to the executives continuous service with us through each such vesting date, provided, that such options will not become exercisable until the closing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options vest over a period of four years, with 25% of the shares subject to the options vesting on the first anniversary of the vesting commencement date (July 9, 2023 for Mr. Bellete and August 14, 2023 for Dr. Kasturi), and the remaining shares vesting in equal monthly installments thereafter over the subsequent three-year period, subject, respectively, to Mr. Bellete and Dr. Kasturis continuous services with us through each such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vests as follows: (i) 29,365 shares vest upon successful completion of the initial public offering of the companys common stock on a public exchange by December 31, 2026, (ii) 29,365 shares vest upon the enrolment of the first patient in the IR trial by December 31, 2026, (iii) 16,868 shares vest upon the company achieving commercial organization readiness by December 31, 2026, as determined by our board of directors, (iv) 29,365 shares vest upon the approval by the FDA of a BLA with respect to cretostimogene, provided such BLA approval occurs on or before December 31, 2026, and (v) 16,868 shares vest upon the companys achievement of the first successful commercial sale by December 31,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vests as follows: (i) 24,646 shares vest upon the filing with the FDA of a BLA with respect to cretostimogene, provided that such BLA filing occurs on or before December 31, 2025, and (ii) 24,646 shares vest upon the approval by the FDA of the companys BLA with respect to cretostimogene, provided that such BLA approval occurs on or before December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Our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employment agreements with certain of our executive officers, including our named executive officers, which govern the terms of their employment with us. Pursuant to their employment agreements, Mr. Kuan, Mr. Bellete, Dr. Kasturi, and Ms. Roche are each entitled to an annual base salary of $450,000, $430,000, $415,000, and $450,000, respectively. In connection with this offering, the annual base salaries for Mr. Kuan, Mr. Bellete and Dr. Kasturi will be increased to $625,000, $495,000 and $465,000, respectively, effective upon the closing of the offering and retroactive to January 1, 2024. In addition, in accordance with their employment agreements, for 2023, Mr. Kuan, Mr. Bellete, and Dr. Kasturi are eligible to earn an annual bonus at a target amount of 40% of their base salaries actually paid for the year to which such annual bonus relates,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achievement of performance objectives as determined by our board of directors. In connection with this offering, the target annual bonuses for Mr. Kuan and Mr. Bellete will increase to 55% and 45% of annual base salary, respectively, effective upon the closing of the offering and retroactive to January 1, 2024. Commencing in 2024, Ms. Roche is eligible to earn an annual bonus at a target amount of 40% of her base salary actually paid for the year to which such annual bonus relates, subject to the achievement of performance objectives as determined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their employment agreements, Mr. Bellete, Dr. Kasturi and Ms. Roche also received a sign on bonus in the amount of $125,000, $50,000 and $30,000, respectively, subject to repayment if the executive is terminated for cause or resigns without good reason prior to completing 12 months of service, for Mr. Bellete, and 24 months of service for Dr. Kasturi and Ms. Roche. Additionally, Mr. Bellete is also eligible to receive a relocation reimbursement of up to $90,000 should the company require Mr. Bellete to relocate to the Orange County, California area. </w:t>
      </w:r>
    </w:p>
    <w:p>
      <w:pPr>
        <w:pStyle w:val="TextBody"/>
        <w:bidi w:val="0"/>
        <w:spacing w:before="240" w:after="0"/>
        <w:jc w:val="both"/>
        <w:rPr>
          <w:rFonts w:ascii="Times New Roman" w:hAnsi="Times New Roman"/>
          <w:sz w:val="20"/>
        </w:rPr>
      </w:pPr>
      <w:r>
        <w:rPr>
          <w:rFonts w:ascii="Times New Roman" w:hAnsi="Times New Roman"/>
          <w:sz w:val="20"/>
        </w:rPr>
        <w:t xml:space="preserve">Regardless of the manner in which our executive officers employment terminates, they are entitled to receive certain accrued amounts previously earned during their employment, including unpaid salary, reimbursement of expenses owed, and accrued but unpaid paid time off and any continuation of benefits required by applicable law. In addition, our executive officers are entitled to certain severance benefits under their employment agreements, subject to their execution of a release of claims and compliance with post-termination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Arthur Kuan and Ambaw Bellete </w:t>
      </w:r>
    </w:p>
    <w:p>
      <w:pPr>
        <w:pStyle w:val="TextBody"/>
        <w:bidi w:val="0"/>
        <w:spacing w:before="120" w:after="0"/>
        <w:jc w:val="both"/>
        <w:rPr>
          <w:rFonts w:ascii="Times New Roman" w:hAnsi="Times New Roman"/>
          <w:sz w:val="20"/>
        </w:rPr>
      </w:pPr>
      <w:r>
        <w:rPr>
          <w:rFonts w:ascii="Times New Roman" w:hAnsi="Times New Roman"/>
          <w:sz w:val="20"/>
        </w:rPr>
        <w:t xml:space="preserve">Messrs. Kuan and Belletes employment agreements provide for severance benefits for certain terminations that arise during and outside of a change in control period (as defined below). Upon a termination without cause outside of the period commencing upon a change in control and continuing until 18 months after such change in control (such period, the change in control period), Messrs. Kuan and Bellete are entitled to (1) an amount in cash equal to their annual base salary, payable in a lump sum, (2) payment or reimbursement of the COBRA premiums for Messrs. Kuan and Bellete and their respective eligible dependents, or if COBRA is not available under our group health plan, a cash amount equal to such payments or reimbursements, for a maximum period of up to 12 months from the date of their termination of employment, and (3) an amount in cash equal to their target annual bonus, prorated for the portion of the year that elapsed prior to the date of their termination of employment, payable in a lump sum. Additionally, upon a termination without cause occurring outside of the change in control period, Mr. Bellete is entitled to outplacement services for 12 months, up to a maximum cost of $20,000. </w:t>
      </w:r>
    </w:p>
    <w:p>
      <w:pPr>
        <w:pStyle w:val="TextBody"/>
        <w:bidi w:val="0"/>
        <w:spacing w:before="240" w:after="0"/>
        <w:jc w:val="both"/>
        <w:rPr>
          <w:rFonts w:ascii="Times New Roman" w:hAnsi="Times New Roman"/>
          <w:sz w:val="20"/>
        </w:rPr>
      </w:pPr>
      <w:r>
        <w:rPr>
          <w:rFonts w:ascii="Times New Roman" w:hAnsi="Times New Roman"/>
          <w:sz w:val="20"/>
        </w:rPr>
        <w:t xml:space="preserve">In addition, except with respect to Mr. Belletes option award of 432,311 shares granted on June 14, 2023 (the Bellete Initial Option), upon a termination without cause outside of the change in control period, Messrs. Kuan and Bellete are entitled to accelerated vesting of the unvested portion of company equity awards that would have vested during the 12 months following the date of their termination of employment had they continued in employment during such period; provided, however, that any performance-based equity awards shall remain subject to attainment of the relevant performance goals. With respect to the Bellete Initial Option, Mr. Bellete is entitled to the following: (1) if the termination without cause occurs prior to the first anniversary of Mr. Belletes start date, accelerated vesting of the portion of the Bellete Initial Option that would have vested during the 12 months following the date of such termination had he continued in employment during such period, (2) if such termination occurs after the first anniversary of Mr. Belletes start date but prior to the second anniversary of his start date, accelerated vesting of the portion of the Bellete Initial Option that would have vested during the 18 months following the date of such termination had he continued in employment during such period, and (3) if such termination occurs after the second anniversary of Mr. Belletes start date, accelerated vesting of any unvested portion of the Bellete Initial Option. </w:t>
      </w:r>
    </w:p>
    <w:p>
      <w:pPr>
        <w:pStyle w:val="TextBody"/>
        <w:bidi w:val="0"/>
        <w:spacing w:before="240" w:after="0"/>
        <w:jc w:val="both"/>
        <w:rPr>
          <w:rFonts w:ascii="Times New Roman" w:hAnsi="Times New Roman"/>
          <w:sz w:val="20"/>
        </w:rPr>
      </w:pPr>
      <w:r>
        <w:rPr>
          <w:rFonts w:ascii="Times New Roman" w:hAnsi="Times New Roman"/>
          <w:sz w:val="20"/>
        </w:rPr>
        <w:t xml:space="preserve">Upon a termination without cause or a resignation for good reason within the change in control period, Mr. Kuan is entitled to (1) an amount in cash equal to 1.5 times his annual base salary, payable in a lump sum, (2) payment or reimbursement of the COBRA premiums for Mr. Kuan and his eligible dependents, or if COBRA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 not available under our group health plan, a cash amount equal to such payments or reimbursements, for a maximum period of up to 18 months from the date of Mr. Kuans termination of employment, (3) an amount in cash equal to 1.5 times his target annual bonus, payable in a lump sum, and (4) full accelerated vesting of all unvested company equity awards; provided, however, that any performance-based equity awards shall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Upon a termination without cause or a resignation for good reason within the change in control period, Mr. Bellete is entitled to (1) an amount in cash equal to his annual base salary, payable in a lump sum, (2) payment or reimbursement of the COBRA premiums for Mr. Bellete and his eligible dependents, or if COBRA is not available under our group health plan, a cash amount equal to such payments or reimbursements, for a maximum period of up to 12 months from the date of Mr. Belletes termination of employment, (3) an amount in cash equal to his target annual bonus, payable in a lump sum, (4) full accelerated vesting of all unvested company equity awards (provided, however, that any performance-based equity awards shall remain subject to attainment of the relevant performance goals), and (5) outplacement services for 18 months, up to a maximum cost of $20,000.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Vijay Kasturi, M.D. and Corleen Roche </w:t>
      </w:r>
    </w:p>
    <w:p>
      <w:pPr>
        <w:pStyle w:val="TextBody"/>
        <w:bidi w:val="0"/>
        <w:spacing w:before="120" w:after="0"/>
        <w:jc w:val="both"/>
        <w:rPr>
          <w:rFonts w:ascii="Times New Roman" w:hAnsi="Times New Roman"/>
          <w:sz w:val="20"/>
        </w:rPr>
      </w:pPr>
      <w:r>
        <w:rPr>
          <w:rFonts w:ascii="Times New Roman" w:hAnsi="Times New Roman"/>
          <w:sz w:val="20"/>
        </w:rPr>
        <w:t xml:space="preserve">Dr. Kasturi and Ms. Roches employment agreements provide for severance benefits for certain terminations that arise during and outside of a change in control period. Upon a termination without cause outside of the change in control period, Dr. Kasturi and Ms. Roche are entitled to (1) an amount in cash equal to 0.75 times their annual base salary, payable in a lump sum, (2) payment or reimbursement of the COBRA premiums for Dr. Kasturi and Ms. Roche and their respective eligible dependents, or if COBRA is not available under our group health plan, a cash amount equal to such payments or reimbursements, for a maximum period of up to 9 months from the date of their termination of employment, (3) an amount in cash equal to their target annual bonus, prorated for the portion of the year that elapsed prior to the date of their termination of employment, payable in a lump sum, and (4) accelerated vesting of the unvested portion of company equity awards that would have vested during the 9 months following the date of Dr. Kasturi or Ms. Roches termination of employment they he continued in employment with the company during such period; provided, however, that any performance-based equity awards shall remain subject to attainment of the relevant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Upon a termination without cause or a resignation for good reason within the change in control period, Dr. Kasturi and Ms. Roche would be entitled to (1) an amount in cash equal to their annual base salary, payable in a lump sum, (2) payment or reimbursement of the COBRA premiums for Dr. Kasturi and Ms. Roche and their respective eligible dependents, or if COBRA is not available under our group health plan, a cash amount equal to such payments or reimbursements, for a maximum period of up to 12 months from the date of their termination of employment, (3) an amount in cash equal to their target annual bonus, payable in a lump sum, and (4) full accelerated vesting of all unvested company equity awards; provided, however, that any performance-based equity awards shall remain subject to attainment of the relevant performance goals.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both"/>
        <w:rPr>
          <w:rFonts w:ascii="Times New Roman" w:hAnsi="Times New Roman"/>
          <w:sz w:val="20"/>
        </w:rPr>
      </w:pPr>
      <w:r>
        <w:rPr>
          <w:rFonts w:ascii="Times New Roman" w:hAnsi="Times New Roman"/>
          <w:sz w:val="20"/>
        </w:rPr>
        <w:t xml:space="preserve">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4% of eligible compensation deferred by our employees, not to exceed 1% of an employees eligible compensation. Our board of directors may elect to adopt qualified or nonqualified retirement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compensation recovery policy that is compliant with the Nasdaq Listing Rules, as required by the Dodd-Frank Act, to be effective upon the closing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both"/>
        <w:rPr>
          <w:rFonts w:ascii="Times New Roman" w:hAnsi="Times New Roman"/>
          <w:sz w:val="20"/>
        </w:rPr>
      </w:pPr>
      <w:r>
        <w:rPr>
          <w:rFonts w:ascii="Times New Roman" w:hAnsi="Times New Roman"/>
          <w:sz w:val="20"/>
        </w:rPr>
        <w:t xml:space="preserve">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Incentive Award Plan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our board of directors has adopted and our stockholders have approved the 2024 Plan, which would become effective in connection with this offering. Under the 2024 Plan, we may grant cash and equity incentive awards to eligible service providers in order to attract, motivate and retain the talent for which we compete. The material terms of the 2024 Plan are summarized below. </w:t>
      </w:r>
    </w:p>
    <w:p>
      <w:pPr>
        <w:pStyle w:val="TextBody"/>
        <w:bidi w:val="0"/>
        <w:spacing w:before="240" w:after="0"/>
        <w:jc w:val="both"/>
        <w:rPr>
          <w:rFonts w:ascii="Times New Roman" w:hAnsi="Times New Roman"/>
          <w:sz w:val="20"/>
        </w:rPr>
      </w:pPr>
      <w:r>
        <w:rPr>
          <w:rFonts w:ascii="Times New Roman" w:hAnsi="Times New Roman"/>
          <w:i/>
          <w:sz w:val="20"/>
        </w:rPr>
        <w:t>Eligibility and administration.</w:t>
      </w:r>
      <w:r>
        <w:rPr>
          <w:rFonts w:ascii="Times New Roman" w:hAnsi="Times New Roman"/>
          <w:sz w:val="20"/>
        </w:rPr>
        <w:t xml:space="preserve"> Our employees, consultants and directors, and employees and consultants of our subsidiaries, will be eligible to receive awards under the 2024 Plan. Following this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 </w:t>
      </w:r>
    </w:p>
    <w:p>
      <w:pPr>
        <w:pStyle w:val="TextBody"/>
        <w:bidi w:val="0"/>
        <w:spacing w:before="240" w:after="0"/>
        <w:jc w:val="both"/>
        <w:rPr>
          <w:rFonts w:ascii="Times New Roman" w:hAnsi="Times New Roman"/>
          <w:sz w:val="20"/>
        </w:rPr>
      </w:pPr>
      <w:r>
        <w:rPr>
          <w:rFonts w:ascii="Times New Roman" w:hAnsi="Times New Roman"/>
          <w:i/>
          <w:sz w:val="20"/>
        </w:rPr>
        <w:t xml:space="preserve">Limitation on awards and shares available. </w:t>
      </w:r>
      <w:r>
        <w:rPr>
          <w:rFonts w:ascii="Times New Roman" w:hAnsi="Times New Roman"/>
          <w:sz w:val="20"/>
        </w:rPr>
        <w:t xml:space="preserve">The number of shares initially available for issuance under awards granted pursuant to the 2024 Plan will be the sum of (1) 10% of the number of pricing date fully-diluted shares (as defined below), plus (2) any shares of our common stock which, as of the effective date of the 2024 Plan, remain available for issuance under the 2022 Plan, plus (3) any shares subject to outstanding awards under the 2015 Plan and 2022 Plan as of the effective date of the 2024 Plan that become available for issuance under the 2024 Plan thereafter in accordance with its terms. The number of shares initially available for issuance will be increased on January 1 of each calendar year beginning in 2025 and ending in 2034, by an amount equal to the lesser of (a) 5% of the shares of common stock outstanding on the final day of the immediately preceding calendar year and (b) such smaller number of shares as determined by the plan administrator. No more than 200,000,000 shares of common stock may be issued upon the exercise of incentive stock options under the 2024 Plan. Shares issued under the 2024 Plan may be authorized but unissued shares, shares purchased on the open market or treasury shares. For purposes of the 2024 Plan, the pricing date fully-diluted shares means,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date on which the registration statement of which this prospectus forms a part is declared effective, the sum of (1) the shares of our common stock outstanding on such date (calculated on an as-converted basis after giving effect to the conversion of the companys outstanding securities into shares in connection with the initial public offering and after giving effect to the issuance of the shares to be sold in this initial public offering and assuming the exercise in full of the underwriters over-allotment option in such initial public offering), (2) the shares of our common stock subject to compensatory equity awards (including stock options) outstanding on such date (with the number of shares subject to performance-based compensatory equity awards calculated at the maximum level of performance), and (3) all shares of common stock available for future issuance under the 2024 Plan and the ESPP as of such date. </w:t>
      </w:r>
    </w:p>
    <w:p>
      <w:pPr>
        <w:pStyle w:val="TextBody"/>
        <w:bidi w:val="0"/>
        <w:spacing w:before="240" w:after="0"/>
        <w:jc w:val="both"/>
        <w:rPr>
          <w:rFonts w:ascii="Times New Roman" w:hAnsi="Times New Roman"/>
          <w:sz w:val="20"/>
        </w:rPr>
      </w:pPr>
      <w:r>
        <w:rPr>
          <w:rFonts w:ascii="Times New Roman" w:hAnsi="Times New Roman"/>
          <w:sz w:val="20"/>
        </w:rPr>
        <w:t xml:space="preserve">If an award under the 2024 Plan, the 2022 Plan or the 2015 Plan expires, lapses or is terminated, exchanged for or settled in cash, surrendered, repurchased, cancelled without having been fully exercised or forfeited, in any case, in a 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 </w:t>
      </w:r>
    </w:p>
    <w:p>
      <w:pPr>
        <w:pStyle w:val="TextBody"/>
        <w:bidi w:val="0"/>
        <w:spacing w:before="240" w:after="0"/>
        <w:jc w:val="both"/>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2024 Plan provides for the grant of stock options, including incentive stock options (ISOs) within the meaning of Section 422 of the Code, and nonqualified stock options (NSOs); restricted stock; dividend equivalents; restricted stock units (RSUs); stock appreciation rights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Stock options. </w:t>
            </w:r>
            <w:r>
              <w:rPr>
                <w:rFonts w:ascii="Times New Roman" w:hAnsi="Times New Roman"/>
                <w:sz w:val="20"/>
              </w:rPr>
              <w:t xml:space="preserve">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SARs.</w:t>
            </w:r>
            <w:r>
              <w:rPr>
                <w:rFonts w:ascii="Times New Roman" w:hAnsi="Times New Roman"/>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Restricted stock and RSUs.</w:t>
            </w:r>
            <w:r>
              <w:rPr>
                <w:rFonts w:ascii="Times New Roman" w:hAnsi="Times New Roman"/>
                <w:sz w:val="20"/>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Other stock or cash-based awards.</w:t>
            </w:r>
            <w:r>
              <w:rPr>
                <w:rFonts w:ascii="Times New Roman" w:hAnsi="Times New Roman"/>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RSUs or other stock and cash-based awards may be accompanied by the right to receive the equivalent value of 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 </w:t>
            </w:r>
          </w:p>
        </w:tc>
      </w:tr>
    </w:tbl>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before="240" w:after="0"/>
        <w:jc w:val="both"/>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The 2024 Plan provides that the plan administrator may establish compensation for non-employee directors from time to time subject to the 2024 Plans limitations. Prior to this offering, our stockholders approved the initial terms of our non-employee director compensation program, which is described below under the subsection titled Director Compensation.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compensation and the grant date fair value (as determined in accordance with FASB ASC 718, or any successor thereto) of any equity awards granted as compensation for services as a non-employee director during any calendar year may not exceed $1,000,000, increased to $1,500,000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 </w:t>
      </w:r>
    </w:p>
    <w:p>
      <w:pPr>
        <w:pStyle w:val="TextBody"/>
        <w:bidi w:val="0"/>
        <w:spacing w:before="24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the plan administrator may provide that awards issued under the 2024 Plan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2024 Plan, a change in control means and includes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our business, directly or indirectly, at least a majority of the combined voting power of the successor entitys outstanding voting securities immediately after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Foreign participants, clawback provisions, transferability, and participant payments. </w:t>
      </w:r>
      <w:r>
        <w:rPr>
          <w:rFonts w:ascii="Times New Roman" w:hAnsi="Times New Roman"/>
          <w:sz w:val="20"/>
        </w:rPr>
        <w:t xml:space="preserve">With respect to foreign participants, the plan 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240" w:after="0"/>
        <w:jc w:val="both"/>
        <w:rPr>
          <w:rFonts w:ascii="Times New Roman" w:hAnsi="Times New Roman"/>
          <w:sz w:val="20"/>
        </w:rPr>
      </w:pPr>
      <w:r>
        <w:rPr>
          <w:rFonts w:ascii="Times New Roman" w:hAnsi="Times New Roman"/>
          <w:i/>
          <w:sz w:val="20"/>
        </w:rPr>
        <w:t xml:space="preserve">Plan amendment and termination. </w:t>
      </w:r>
      <w:r>
        <w:rPr>
          <w:rFonts w:ascii="Times New Roman" w:hAnsi="Times New Roman"/>
          <w:sz w:val="20"/>
        </w:rPr>
        <w:t xml:space="preserve">Our board of directors may amend, suspend, or terminate the 2024 Plan at any time; however, except in 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No award may be granted pursuant to the 2024 Plan after the tenth anniversary of the date on which our board of directors adopted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Incentive Award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and our stockholders have adopted and approved the 2022 Plan, effective as of September 30, 2022.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a total of 2,774,216 shares are subject to issued and outstanding stock options granted under the 2022 Plan and a total of 1,123,823 shares remain available for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If an award under the 2022 Plan or the 2015 Plan expires, lapses or is terminated, exchanged for or settled in cash, surrendered, repurchased, cancelled without having been fully exercised or forfeited, in any case, in a 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2022 Plan. Awards granted under the 2022 Plan upon the assumption of, or in substitution for, awards authorized or outstanding under a qualifying equity plan maintained by an entity with which we enter into a merger or similar corporate transaction will not reduce the shares available for grant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the 2024 Plan, no additional awards will be granted under the 2022 Plan. However, the 2022 Plan will continue to govern the terms and conditions of the outstanding awards granted under it. Shares of our common stock subject to awards granted under the 2022 Plan or the 2015 Plan that expire, lapse or are terminated, exchanged for cash, surrendered, repurchased, or forfeited following the effective date of the 2024 Plan will be available for issuance under the 2024 Plan in accordance with its terms. </w:t>
      </w:r>
    </w:p>
    <w:p>
      <w:pPr>
        <w:pStyle w:val="TextBody"/>
        <w:bidi w:val="0"/>
        <w:spacing w:before="240" w:after="0"/>
        <w:jc w:val="both"/>
        <w:rPr>
          <w:rFonts w:ascii="Times New Roman" w:hAnsi="Times New Roman"/>
          <w:sz w:val="20"/>
        </w:rPr>
      </w:pPr>
      <w:r>
        <w:rPr>
          <w:rFonts w:ascii="Times New Roman" w:hAnsi="Times New Roman"/>
          <w:i/>
          <w:sz w:val="20"/>
        </w:rPr>
        <w:t>Eligibility and administration.</w:t>
      </w:r>
      <w:r>
        <w:rPr>
          <w:rFonts w:ascii="Times New Roman" w:hAnsi="Times New Roman"/>
          <w:sz w:val="20"/>
        </w:rPr>
        <w:t xml:space="preserve"> Our employees, consultants and directors, and employees and consultants of our subsidiaries, are eligible to receive awards under the 2022 Plan. The 2022 Plan is administered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compensation committee, which may delegate its duties and responsibilities to committees of our directors and/or officers (referred to collectively as the plan administrator below), subject to certain limitations that may be imposed under the 2022 Plan. The plan administrator will have the authority to make all determinations and interpretations under, prescribe all forms for use with, and adopt rules for the administration of, the 2022 Plan, subject to its express terms and conditions. The plan administrator also sets the terms and conditions of all awards under the 2022 Plan, including any vesting and vesting acceleration conditions. </w:t>
      </w:r>
    </w:p>
    <w:p>
      <w:pPr>
        <w:pStyle w:val="TextBody"/>
        <w:bidi w:val="0"/>
        <w:spacing w:before="240" w:after="0"/>
        <w:jc w:val="both"/>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2022 Plan provides for the grant of stock options, including incentive stock options (ISOs) within the meaning of Section 422 of the Code, and nonqualified stock options (NSOs); restricted stock; dividend equivalents; restricted stock units (RSUs); stock appreciation rights (SARs); and other stock or cash-based awards. Certain awards under the 2022 Plan may constitute or provide for a deferral of compensation, subject to Section 409A of the Code, which may impose additional requirements on the terms and conditions of such awards. All awards under the 2022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Stock options. </w:t>
            </w:r>
            <w:r>
              <w:rPr>
                <w:rFonts w:ascii="Times New Roman" w:hAnsi="Times New Roman"/>
                <w:sz w:val="20"/>
              </w:rPr>
              <w:t xml:space="preserve">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SARs.</w:t>
            </w:r>
            <w:r>
              <w:rPr>
                <w:rFonts w:ascii="Times New Roman" w:hAnsi="Times New Roman"/>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Restricted stock and RSUs.</w:t>
            </w:r>
            <w:r>
              <w:rPr>
                <w:rFonts w:ascii="Times New Roman" w:hAnsi="Times New Roman"/>
                <w:sz w:val="20"/>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Other stock or cash-based awards.</w:t>
            </w:r>
            <w:r>
              <w:rPr>
                <w:rFonts w:ascii="Times New Roman" w:hAnsi="Times New Roman"/>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RSUs or other stock and cash-based awards may be accompanied by the right to receive the equivalent value of 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 </w:t>
            </w:r>
          </w:p>
        </w:tc>
      </w:tr>
    </w:tbl>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before="240" w:after="0"/>
        <w:jc w:val="both"/>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The 2022 Plan provides that the plan administrator may establish compensation for non-employee directors from time to time subject to the 2022 Plans limitations. Our board of directors or its authorized committee may modify the non-employee director compensation program from time to time in the exercise of its business judgment, taking into account such factors, circumstances and considerations as it deems relevant from time to time. </w:t>
      </w:r>
    </w:p>
    <w:p>
      <w:pPr>
        <w:pStyle w:val="TextBody"/>
        <w:bidi w:val="0"/>
        <w:spacing w:before="24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2022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2022 Plan. In the event of a change in control where the acquirer does not assume awards granted under the 2022 Plan, the plan administrator may provide that awards issued under the 2022 Plan be subject to accelerated vesting such that 100% of the awards will become vested and exercisable or payable, as applicable. In addition, in the event of certain non-reciprocal transactions with our stockholders (an equity restructuring)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administrator will make equitable adjustments to the 2022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2022 Plan, a change in control means and includes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Foreign participants, clawback provisions, transferability, and participant payments. </w:t>
      </w:r>
      <w:r>
        <w:rPr>
          <w:rFonts w:ascii="Times New Roman" w:hAnsi="Times New Roman"/>
          <w:sz w:val="20"/>
        </w:rPr>
        <w:t xml:space="preserve">With respect to foreign participants, the plan 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2022 Plan are generally nontransferable prior to vesting and are exercisable only by the participant. With regard to tax withholding obligations arising in connection with awards under the 2022 Plan and exercise price obligations arising in connection with the exercise of stock options under the 2022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240" w:after="0"/>
        <w:jc w:val="both"/>
        <w:rPr>
          <w:rFonts w:ascii="Times New Roman" w:hAnsi="Times New Roman"/>
          <w:sz w:val="20"/>
        </w:rPr>
      </w:pPr>
      <w:r>
        <w:rPr>
          <w:rFonts w:ascii="Times New Roman" w:hAnsi="Times New Roman"/>
          <w:i/>
          <w:sz w:val="20"/>
        </w:rPr>
        <w:t xml:space="preserve">Plan amendment and termination. </w:t>
      </w:r>
      <w:r>
        <w:rPr>
          <w:rFonts w:ascii="Times New Roman" w:hAnsi="Times New Roman"/>
          <w:sz w:val="20"/>
        </w:rPr>
        <w:t xml:space="preserve">Our board of directors may amend, suspend, or terminate the 2022 Plan at any time; however, except in connection with certain changes in our capital structure, stockholder approval will be required for any amendment that increases the number of shares available under the 2022 Plan. The plan administrator will have the authority, without the approval of our stockholders, to amend any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option or SAR to reduce its exercise price per share. After the effective date of the 2024 Plan, no additional awards will be granted under the 2022 Plan. However, the 2022 Plan will continue to govern the terms and conditions of the outstanding awards granted under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2015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and our stockholders have adopted and approved the 2015 Equity Incentive Plan, effective as of July 28, 2015.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2023, a total of 1,914,774 shares are subject to issued and outstanding stock options granted under the 2015 Plan.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the 2022 Plan, no additional awards were granted under the 2015 Plan and the 2015 Plan was terminated. However, the 2015 Plan will continue to govern the terms and conditions of the outstanding awards granted under it. Shares of our common stock subject to awards granted under the 2015 Plan that expire, lapse or are terminated, exchanged for cash, surrendered, repurchased, or forfeited following the effective date of the 2022 Plan will be available for issuance under the 2022 Plan in accordance with its terms and, after the effective date of the 2024 Plan, will be available for issuance under the 2024 Plan in accordance with its terms, as described further above. </w:t>
      </w:r>
    </w:p>
    <w:p>
      <w:pPr>
        <w:pStyle w:val="TextBody"/>
        <w:bidi w:val="0"/>
        <w:spacing w:before="240" w:after="0"/>
        <w:jc w:val="both"/>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compensation committee administers the 2015 Plan unless it delegates authority for administration of the plan. Subject to the terms and conditions of the 2015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2015 Plan. The plan administrator is also authorized to establish, adopt, amend, or revise rules relating to administration of the 2015 Plan, subject to certain restrictions.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Awards under the 2015 Plan may be granted to individuals who are then our employees, consultants, and members of our board of directors and our subsidiaries. Only employees may be granted ISOs. </w:t>
      </w:r>
    </w:p>
    <w:p>
      <w:pPr>
        <w:pStyle w:val="TextBody"/>
        <w:bidi w:val="0"/>
        <w:spacing w:before="240" w:after="0"/>
        <w:jc w:val="both"/>
        <w:rPr>
          <w:rFonts w:ascii="Times New Roman" w:hAnsi="Times New Roman"/>
          <w:sz w:val="20"/>
        </w:rPr>
      </w:pPr>
      <w:r>
        <w:rPr>
          <w:rFonts w:ascii="Times New Roman" w:hAnsi="Times New Roman"/>
          <w:i/>
          <w:sz w:val="20"/>
        </w:rPr>
        <w:t>Awards.</w:t>
      </w:r>
      <w:r>
        <w:rPr>
          <w:rFonts w:ascii="Times New Roman" w:hAnsi="Times New Roman"/>
          <w:sz w:val="20"/>
        </w:rPr>
        <w:t xml:space="preserve"> The 2015 Plan provides that our administrator may grant or issue stock options (including NSOs and ISOs) and restricted stock.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 </w:t>
      </w:r>
    </w:p>
    <w:p>
      <w:pPr>
        <w:pStyle w:val="TextBody"/>
        <w:bidi w:val="0"/>
        <w:spacing w:before="240" w:after="0"/>
        <w:jc w:val="both"/>
        <w:rPr>
          <w:rFonts w:ascii="Times New Roman" w:hAnsi="Times New Roman"/>
          <w:sz w:val="20"/>
        </w:rPr>
      </w:pPr>
      <w:r>
        <w:rPr>
          <w:rFonts w:ascii="Times New Roman" w:hAnsi="Times New Roman"/>
          <w:i/>
          <w:sz w:val="20"/>
        </w:rPr>
        <w:t>Certain Transactions; Change in Control.</w:t>
      </w:r>
      <w:r>
        <w:rPr>
          <w:rFonts w:ascii="Times New Roman" w:hAnsi="Times New Roman"/>
          <w:sz w:val="20"/>
        </w:rPr>
        <w:t xml:space="preserve"> The plan administrator has broad discretion to equitably adjust the provisions of the 2015 Plan and the terms and conditions of existing and future awards, including with respect to aggregate number and type of shares subject to the 2015 Plan and awards granted pursuant to the 2015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a merger of the company with or into another corporation or other entity occurs or certain other unusual or nonrecurring events or transactions. In addition, in the event of certain non-reciprocal transactions with our stockholders, or an equity restructuring, the plan administrator will make equitable adjustments to the 2015 Plan and outstanding awards as it deems appropriate to reflect the equity restructuring. </w:t>
      </w:r>
    </w:p>
    <w:p>
      <w:pPr>
        <w:pStyle w:val="TextBody"/>
        <w:bidi w:val="0"/>
        <w:spacing w:before="240" w:after="0"/>
        <w:jc w:val="both"/>
        <w:rPr>
          <w:rFonts w:ascii="Times New Roman" w:hAnsi="Times New Roman"/>
          <w:sz w:val="20"/>
        </w:rPr>
      </w:pPr>
      <w:r>
        <w:rPr>
          <w:rFonts w:ascii="Times New Roman" w:hAnsi="Times New Roman"/>
          <w:i/>
          <w:sz w:val="20"/>
        </w:rPr>
        <w:t>Termination</w:t>
      </w:r>
      <w:r>
        <w:rPr>
          <w:rFonts w:ascii="Times New Roman" w:hAnsi="Times New Roman"/>
          <w:sz w:val="20"/>
        </w:rPr>
        <w:t xml:space="preserve">. Upon the effectiveness of our 2022 Plan, our board of directors terminated the 2015 Plan. However, the 2015 Plan will continue to govern the terms and conditions of the outstanding awards granted under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our board of directors has adopted and our stockholders have approved the CG Oncology, Inc. 2024 Employee Stock Purchase Program (the ESPP), the material terms of which are summarized below. </w:t>
      </w:r>
    </w:p>
    <w:p>
      <w:pPr>
        <w:pStyle w:val="TextBody"/>
        <w:bidi w:val="0"/>
        <w:spacing w:before="240" w:after="0"/>
        <w:jc w:val="both"/>
        <w:rPr>
          <w:rFonts w:ascii="Times New Roman" w:hAnsi="Times New Roman"/>
          <w:sz w:val="20"/>
        </w:rPr>
      </w:pPr>
      <w:r>
        <w:rPr>
          <w:rFonts w:ascii="Times New Roman" w:hAnsi="Times New Roman"/>
          <w:sz w:val="20"/>
        </w:rPr>
        <w:t xml:space="preserve">The ESPP is comprised of two distinct components in order to provide increased flexibility to grant options to purchase shares under the ESPP to U.S. and to non-U.S. employees and certain consultants.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and certain consultants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 </w:t>
      </w:r>
    </w:p>
    <w:p>
      <w:pPr>
        <w:pStyle w:val="TextBody"/>
        <w:bidi w:val="0"/>
        <w:spacing w:before="240" w:after="0"/>
        <w:jc w:val="both"/>
        <w:rPr>
          <w:rFonts w:ascii="Times New Roman" w:hAnsi="Times New Roman"/>
          <w:sz w:val="20"/>
        </w:rPr>
      </w:pPr>
      <w:r>
        <w:rPr>
          <w:rFonts w:ascii="Times New Roman" w:hAnsi="Times New Roman"/>
          <w:i/>
          <w:sz w:val="20"/>
        </w:rPr>
        <w:t xml:space="preserve">Shares available for awards; administration. </w:t>
      </w:r>
      <w:r>
        <w:rPr>
          <w:rFonts w:ascii="Times New Roman" w:hAnsi="Times New Roman"/>
          <w:sz w:val="20"/>
        </w:rPr>
        <w:t xml:space="preserve">The number of shares initially available for issuance pursuant to the ESPP will be equal to a number of shares equal to 1% of the number of pricing date fully-diluted shares (which term has the same meaning as under the 2024 Plan, as described above). In addition, the number of shares available for issuance under the ESPP will be annually increased on January 1 of each calendar year beginning in 2025 and ending in and including 2034, by an amount equal to the lesser of (A) 1% of the shares outstanding on the final day of the immediately preceding calendar year and (B) such smaller number of shares as is determined by the plan administrator, provided that no more than 100,000,000 shares of our common stock may be issued under the ESPP. Our board of directors or a committee of our board of directors will administer and will have authority to interpret the terms of the ESPP and determine eligibility of participants. The compensation committee will be the initial administrator of the ESPP (referred to as the plan administrator below).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We expect that all of our employees will be eligible to participate in the ESPP. However, an employee may not be granted rights to purchase stock under the ESPP if the employee, immediately after the grant, would own (directly or through attribution) stock possessing 5% or more of the total combined voting power or value of all classes of our stock. </w:t>
      </w:r>
    </w:p>
    <w:p>
      <w:pPr>
        <w:pStyle w:val="TextBody"/>
        <w:bidi w:val="0"/>
        <w:spacing w:before="240" w:after="0"/>
        <w:jc w:val="both"/>
        <w:rPr>
          <w:rFonts w:ascii="Times New Roman" w:hAnsi="Times New Roman"/>
          <w:sz w:val="20"/>
        </w:rPr>
      </w:pPr>
      <w:r>
        <w:rPr>
          <w:rFonts w:ascii="Times New Roman" w:hAnsi="Times New Roman"/>
          <w:i/>
          <w:sz w:val="20"/>
        </w:rPr>
        <w:t>Grant of rights.</w:t>
      </w:r>
      <w:r>
        <w:rPr>
          <w:rFonts w:ascii="Times New Roman" w:hAnsi="Times New Roman"/>
          <w:sz w:val="20"/>
        </w:rPr>
        <w:t xml:space="preserve"> Stock will be offered under the ESPP during offering periods. The length of the offering periods under the ESPP will be determined by the plan administrator and may be up to twenty-seven months long and may consist of one or more purchase periods. Employee payroll or fee deductions will be used to purchase shares on each purchase date during an offering period. The purchase dates for each offering period will be the final trading day in each purchase period under an offering period. Offering periods under the ESPP will commence when determined by the plan administrator. The plan administrator may, in its discretion, modify the terms of future offering periods. In non-U.S. jurisdictions where participation in the ESPP through payroll or fee deductions is prohibited, the plan administrator may provide that an eligible employee may elect to participate through contributions to the participants account under the ESPP in a form acceptable to the plan administrator in lieu of or in addition to payroll or fee deductions. </w:t>
      </w:r>
    </w:p>
    <w:p>
      <w:pPr>
        <w:pStyle w:val="TextBody"/>
        <w:bidi w:val="0"/>
        <w:spacing w:before="240" w:after="0"/>
        <w:jc w:val="both"/>
        <w:rPr>
          <w:rFonts w:ascii="Times New Roman" w:hAnsi="Times New Roman"/>
          <w:sz w:val="20"/>
        </w:rPr>
      </w:pPr>
      <w:r>
        <w:rPr>
          <w:rFonts w:ascii="Times New Roman" w:hAnsi="Times New Roman"/>
          <w:sz w:val="20"/>
        </w:rPr>
        <w:t xml:space="preserve">The ESPP permits participants to purchase common stock through payroll or fee deductions of up to a specified percentage of their eligible compensation. The plan administrator will establish a maximum number of shares that may be purchased by a participant during any purchase period or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On the first trading day of each offering period, each participant will automatically be granted an option to purchase shares of our common stock. The option will expire at the end of the applicable offering period and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exercised on each applicable purchase date during an offering period to the extent of the payroll or fee deductions accumulated during the applicable purchase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or fee deductions that have not yet been used to purchase shares of common stock. Participation ends automatically upon a participants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A participant may not transfer rights granted under the ESPP other than by will or the laws of descent and distribution, and such rights are generally exercisable only by the participant. </w:t>
      </w:r>
    </w:p>
    <w:p>
      <w:pPr>
        <w:pStyle w:val="TextBody"/>
        <w:bidi w:val="0"/>
        <w:spacing w:before="240" w:after="0"/>
        <w:jc w:val="both"/>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the event of certain non-reciprocal transactions or events affecting our common stock, the plan administrator will make 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or fee deductions to purchase stock on a new purchase date prior to the next scheduled purchase date and termination of any rights under ongoing offering periods or (5) the termination of all outstanding rights. </w:t>
      </w:r>
    </w:p>
    <w:p>
      <w:pPr>
        <w:pStyle w:val="TextBody"/>
        <w:bidi w:val="0"/>
        <w:spacing w:before="240" w:after="0"/>
        <w:jc w:val="both"/>
        <w:rPr>
          <w:rFonts w:ascii="Times New Roman" w:hAnsi="Times New Roman"/>
          <w:sz w:val="20"/>
        </w:rPr>
      </w:pPr>
      <w:r>
        <w:rPr>
          <w:rFonts w:ascii="Times New Roman" w:hAnsi="Times New Roman"/>
          <w:i/>
          <w:sz w:val="20"/>
        </w:rPr>
        <w:t>Plan amendment.</w:t>
      </w:r>
      <w:r>
        <w:rPr>
          <w:rFonts w:ascii="Times New Roman" w:hAnsi="Times New Roman"/>
          <w:sz w:val="20"/>
        </w:rPr>
        <w:t xml:space="preserve"> The plan administrator may amend, suspend, or terminate the ESPP at any time. However, stockholder approval will be obtained for any amendment that increases the aggregate number or changes the type of shares that may be sold pursuant to rights under the ESPP or changes the corporations or classes of corporations whose employees are eligible to participate in the ESPP.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provide a $36,000 cash retainer, paid in quarterly installments, to certain non-employee directors for their service on our board of directors. We also have a policy of reimbursing all of our non-employee directors for their reasonable out-of-pocket expenses in connection with attending board of directors and committee meetings. </w:t>
      </w:r>
    </w:p>
    <w:p>
      <w:pPr>
        <w:pStyle w:val="TextBody"/>
        <w:bidi w:val="0"/>
        <w:spacing w:before="240" w:after="0"/>
        <w:jc w:val="both"/>
        <w:rPr>
          <w:rFonts w:ascii="Times New Roman" w:hAnsi="Times New Roman"/>
          <w:sz w:val="20"/>
        </w:rPr>
      </w:pPr>
      <w:r>
        <w:rPr>
          <w:rFonts w:ascii="Times New Roman" w:hAnsi="Times New Roman"/>
          <w:sz w:val="20"/>
        </w:rPr>
        <w:t xml:space="preserve">We also from time to time provide equity compensation to certain non-employee directors for their service on our board of directors. On June 14, 2023, Drs. Mulé and Post were granted options to purchase 7,865 shares and 15,731 shares, respectively, of our common stock. The options have an exercise price of $3.72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(June 14, 2023), subject to Dr. Mulé and Dr. Posts continuous service with us as of each such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Additionally, on November 20, 2023, Susan Graf was appointed as a member of our board of directors and was granted an option to purchase 104,876 shares of our common stock, which has an exercise price of $7.82 per share, the fair market value on the date of grant as determined by our board of directors based on an independent third-party valuation. The option vests over a period of three years in equal monthly installments beginning on the first monthly anniversary of the vesting commencement date (November 14, 2023), subject to Ms. Grafs continuous service with us as of each such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On December 13, 2023, Dr. Mulé was granted an option to purchase 15,731 shares of our common stock, which has an exercise price of $12.59 per share, the fair market value on the date of grant as determined by our board of directors based on an independent third-party valuation. The option vests over a period of three years in equal monthly installments following the vesting commencement date (December 13, 2023), subject to Dr. Mulés continuous service with us as of each such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sets forth information regarding compensation earned with respect to the fiscal year </w:t>
      </w:r>
    </w:p>
    <w:p>
      <w:pPr>
        <w:pStyle w:val="TextBody"/>
        <w:bidi w:val="0"/>
        <w:spacing w:before="0" w:after="0"/>
        <w:jc w:val="both"/>
        <w:rPr>
          <w:rFonts w:ascii="Times New Roman" w:hAnsi="Times New Roman"/>
          <w:sz w:val="20"/>
        </w:rPr>
      </w:pPr>
      <w:r>
        <w:rPr>
          <w:rFonts w:ascii="Times New Roman" w:hAnsi="Times New Roman"/>
          <w:sz w:val="20"/>
        </w:rPr>
        <w:t xml:space="preserve">ended December 31, 2023 by each individual who served as a non-employee director during such fiscal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14"/>
        <w:gridCol w:w="307"/>
        <w:gridCol w:w="105"/>
        <w:gridCol w:w="1304"/>
        <w:gridCol w:w="60"/>
        <w:gridCol w:w="307"/>
        <w:gridCol w:w="60"/>
        <w:gridCol w:w="858"/>
        <w:gridCol w:w="60"/>
        <w:gridCol w:w="307"/>
        <w:gridCol w:w="1154"/>
        <w:gridCol w:w="415"/>
        <w:gridCol w:w="60"/>
        <w:gridCol w:w="307"/>
        <w:gridCol w:w="60"/>
        <w:gridCol w:w="857"/>
        <w:gridCol w:w="70"/>
      </w:tblGrid>
      <w:tr>
        <w:trPr/>
        <w:tc>
          <w:tcPr>
            <w:tcW w:w="3914"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7"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pPr>
            <w:r>
              <w:rPr>
                <w:b/>
              </w:rPr>
              <w:t>Fees Earned</w:t>
              <w:br/>
              <w:t>or Paid in</w:t>
              <w:br/>
              <w:t>Cash</w:t>
            </w:r>
            <w:r>
              <w:rPr/>
              <w:br/>
            </w:r>
            <w:r>
              <w:rPr>
                <w:b/>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69"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70" w:type="dxa"/>
            <w:tcBorders/>
            <w:vAlign w:val="bottom"/>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Liu</w:t>
            </w:r>
          </w:p>
        </w:tc>
        <w:tc>
          <w:tcPr>
            <w:tcW w:w="30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w:t>
            </w:r>
          </w:p>
        </w:tc>
        <w:tc>
          <w:tcPr>
            <w:tcW w:w="70" w:type="dxa"/>
            <w:tcBorders/>
            <w:shd w:fill="CCEEFF" w:val="clear"/>
            <w:vAlign w:val="bottom"/>
          </w:tcPr>
          <w:p>
            <w:pPr>
              <w:pStyle w:val="TableContents"/>
              <w:bidi w:val="0"/>
              <w:spacing w:before="0" w:after="283"/>
              <w:jc w:val="left"/>
              <w:rPr/>
            </w:pPr>
            <w:r>
              <w:rPr/>
              <w:t>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Susan Graf(1)(2)</w:t>
            </w:r>
          </w:p>
        </w:tc>
        <w:tc>
          <w:tcPr>
            <w:tcW w:w="30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4,696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594,343</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599,039</w:t>
            </w:r>
          </w:p>
        </w:tc>
        <w:tc>
          <w:tcPr>
            <w:tcW w:w="70" w:type="dxa"/>
            <w:tcBorders/>
            <w:vAlign w:val="bottom"/>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J. Mulé, IPh.D.(1)</w:t>
            </w:r>
          </w:p>
        </w:tc>
        <w:tc>
          <w:tcPr>
            <w:tcW w:w="30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162,004</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198,004</w:t>
            </w:r>
          </w:p>
        </w:tc>
        <w:tc>
          <w:tcPr>
            <w:tcW w:w="70" w:type="dxa"/>
            <w:tcBorders/>
            <w:shd w:fill="CCEEFF" w:val="clear"/>
            <w:vAlign w:val="bottom"/>
          </w:tcPr>
          <w:p>
            <w:pPr>
              <w:pStyle w:val="TableContents"/>
              <w:bidi w:val="0"/>
              <w:spacing w:before="0" w:after="283"/>
              <w:jc w:val="left"/>
              <w:rPr/>
            </w:pPr>
            <w:r>
              <w:rPr/>
              <w:t>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Osamu Nakanishi, Ph.D.(3)</w:t>
            </w:r>
          </w:p>
        </w:tc>
        <w:tc>
          <w:tcPr>
            <w:tcW w:w="30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w:t>
            </w:r>
          </w:p>
        </w:tc>
        <w:tc>
          <w:tcPr>
            <w:tcW w:w="70" w:type="dxa"/>
            <w:tcBorders/>
            <w:vAlign w:val="bottom"/>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Leonard Post, Ph.D.(1)</w:t>
            </w:r>
          </w:p>
        </w:tc>
        <w:tc>
          <w:tcPr>
            <w:tcW w:w="30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41,541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77,541</w:t>
            </w:r>
          </w:p>
        </w:tc>
        <w:tc>
          <w:tcPr>
            <w:tcW w:w="70" w:type="dxa"/>
            <w:tcBorders/>
            <w:shd w:fill="CCEEFF" w:val="clear"/>
            <w:vAlign w:val="bottom"/>
          </w:tcPr>
          <w:p>
            <w:pPr>
              <w:pStyle w:val="TableContents"/>
              <w:bidi w:val="0"/>
              <w:spacing w:before="0" w:after="283"/>
              <w:jc w:val="left"/>
              <w:rPr/>
            </w:pPr>
            <w:r>
              <w:rPr/>
              <w:t>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Jue Pu(4)</w:t>
            </w:r>
          </w:p>
        </w:tc>
        <w:tc>
          <w:tcPr>
            <w:tcW w:w="30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w:t>
            </w:r>
          </w:p>
        </w:tc>
        <w:tc>
          <w:tcPr>
            <w:tcW w:w="70" w:type="dxa"/>
            <w:tcBorders/>
            <w:vAlign w:val="bottom"/>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Simone Song</w:t>
            </w:r>
          </w:p>
        </w:tc>
        <w:tc>
          <w:tcPr>
            <w:tcW w:w="30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w:t>
            </w:r>
          </w:p>
        </w:tc>
        <w:tc>
          <w:tcPr>
            <w:tcW w:w="70" w:type="dxa"/>
            <w:tcBorders/>
            <w:shd w:fill="CCEEFF" w:val="clear"/>
            <w:vAlign w:val="bottom"/>
          </w:tcPr>
          <w:p>
            <w:pPr>
              <w:pStyle w:val="TableContents"/>
              <w:bidi w:val="0"/>
              <w:spacing w:before="0" w:after="283"/>
              <w:jc w:val="left"/>
              <w:rPr/>
            </w:pPr>
            <w:r>
              <w:rPr/>
              <w:t>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Victor Tong, Jr.</w:t>
            </w:r>
          </w:p>
        </w:tc>
        <w:tc>
          <w:tcPr>
            <w:tcW w:w="30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w:t>
            </w:r>
          </w:p>
        </w:tc>
        <w:tc>
          <w:tcPr>
            <w:tcW w:w="7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As of December 31, 2023, Ms. Graf and Drs. Mulé and Post each held options to purchase 104,876 shares, 86,052 shares, and 150,808 shares, respectively, of our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Graf was appointed as a director in November 2023. Ms. Grafs annual cash retainer paid in 2023 was prorated to reflect the portion of the year Ms. Graf served as a director in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Nakanishi ceased serving as a director in October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Pu ceased serving as a director in October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amounts reported in the Option Awards column represent the aggregate grant date fair value of the stock options awarded to our non-employee directors during the applicable fiscal year, calculated in accordance with FASB ASC Topic 718. The assumptions used in calculating the grant date fair value of the awards reported in this column are set forth in our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Post-IPO Director Compensation Program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our board of directors has adopted and our stockholders have approved the initial terms of our non-employee director compensation program. The material terms of the non-employee director compensation program are summarized below. </w:t>
      </w:r>
    </w:p>
    <w:p>
      <w:pPr>
        <w:pStyle w:val="TextBody"/>
        <w:bidi w:val="0"/>
        <w:spacing w:before="240" w:after="0"/>
        <w:jc w:val="both"/>
        <w:rPr>
          <w:rFonts w:ascii="Times New Roman" w:hAnsi="Times New Roman"/>
          <w:sz w:val="20"/>
        </w:rPr>
      </w:pPr>
      <w:r>
        <w:rPr>
          <w:rFonts w:ascii="Times New Roman" w:hAnsi="Times New Roman"/>
          <w:sz w:val="20"/>
        </w:rPr>
        <w:t xml:space="preserve">The non-employee director compensation program will provide for annual retainer fees and equity awards for our non-employee directors. We expect each non-employee director will receive an annual retainer of $40,000, with the non-employee director serving as chair of the board of directors or lead independent director receiving an additional annual retainer of $30,000. The non-employee directors serving as the chairs of the audit, compensation and nominating and corporate governance committees will receive additional annual retainers of $15,000, $12,000 and $10,000, respectively. Non-employee directors serving as members of the audit, compensation and nominating and corporate governance committees will receive additional annual retainers of $7,500, $6,000 and $5,000, respectively. Non-employee directors commencing service following this offering will also receive initial grants of options to purchase 44,500 shares of our common stock, vesting monthly over three years, upon election or appointment to the board of directors. Each year on the date of each annual meeting, each non-employee director will receive an annual grant of options to purchase 22,250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 or upon a non-employee directors death or disability. </w:t>
      </w:r>
    </w:p>
    <w:p>
      <w:pPr>
        <w:pStyle w:val="TextBody"/>
        <w:bidi w:val="0"/>
        <w:spacing w:before="240" w:after="0"/>
        <w:jc w:val="both"/>
        <w:rPr>
          <w:rFonts w:ascii="Times New Roman" w:hAnsi="Times New Roman"/>
          <w:sz w:val="20"/>
        </w:rPr>
      </w:pPr>
      <w:r>
        <w:rPr>
          <w:rFonts w:ascii="Times New Roman" w:hAnsi="Times New Roman"/>
          <w:sz w:val="20"/>
        </w:rPr>
        <w:t xml:space="preserve">Compensation under our non-employee director compensation program will be subject to the annual limits on non-employee director compensation set forth in the 2024 Plan, as described above (which limits will not apply to any non-employee director that serves in any additional capacity with the company for which he or she receives compensation or any compensation paid to any non-employee director prior to the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following the calendar year in which this offering occurs). As provided in the 2024 Plan, our board of directors or its authorized committee may make exceptions to this limit for individual non-employee directors as the board of directors or its authorized committee may determine in its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unlawful payment of dividends or unlawful stock repurchases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551455_13"/>
      <w:bookmarkEnd w:id="15"/>
      <w:r>
        <w:rPr>
          <w:rFonts w:ascii="Times New Roman" w:hAnsi="Times New Roman"/>
          <w:b/>
          <w:sz w:val="20"/>
        </w:rPr>
        <w:t xml:space="preserve">CERTAIN RELATIONSHIPS AND RELATED PERSON TRANSACTIONS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includes a summary of transactions since January 1, 2020 to which we have been a party in which the amount involved exceeded or will exceed the lesser of $120,000 and one percent of the average of our total assets as of December 31, 2021 and 2022,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Redeemable Convertible Preferred Stock Financings </w:t>
      </w:r>
    </w:p>
    <w:p>
      <w:pPr>
        <w:pStyle w:val="TextBody"/>
        <w:bidi w:val="0"/>
        <w:spacing w:before="120" w:after="0"/>
        <w:jc w:val="both"/>
        <w:rPr>
          <w:rFonts w:ascii="Times New Roman" w:hAnsi="Times New Roman"/>
          <w:sz w:val="20"/>
        </w:rPr>
      </w:pPr>
      <w:r>
        <w:rPr>
          <w:rFonts w:ascii="Times New Roman" w:hAnsi="Times New Roman"/>
          <w:i/>
          <w:sz w:val="20"/>
        </w:rPr>
        <w:t xml:space="preserve">Series D Redeemable Convertible Preferred Stock Financing. </w:t>
      </w:r>
      <w:r>
        <w:rPr>
          <w:rFonts w:ascii="Times New Roman" w:hAnsi="Times New Roman"/>
          <w:sz w:val="20"/>
        </w:rPr>
        <w:t xml:space="preserve">In March 2020 we entered into a Series D redeemable convertible preferred stock purchase agreement, as amended in June 2020, pursuant to which in closings between April 2020 and October 2020 we sold to investors, in private placements, an aggregate of 53,271,754 shares of Series D redeemable convertible preferred stock. The per share purchase price was $0.8879, and we received gross proceeds of approximately $47 million. </w:t>
      </w:r>
    </w:p>
    <w:p>
      <w:pPr>
        <w:pStyle w:val="TextBody"/>
        <w:bidi w:val="0"/>
        <w:spacing w:before="240" w:after="0"/>
        <w:jc w:val="both"/>
        <w:rPr>
          <w:rFonts w:ascii="Times New Roman" w:hAnsi="Times New Roman"/>
          <w:sz w:val="20"/>
        </w:rPr>
      </w:pPr>
      <w:r>
        <w:rPr>
          <w:rFonts w:ascii="Times New Roman" w:hAnsi="Times New Roman"/>
          <w:i/>
          <w:sz w:val="20"/>
        </w:rPr>
        <w:t xml:space="preserve">Series E Redeemable Convertible Preferred Stock Financing. </w:t>
      </w:r>
      <w:r>
        <w:rPr>
          <w:rFonts w:ascii="Times New Roman" w:hAnsi="Times New Roman"/>
          <w:sz w:val="20"/>
        </w:rPr>
        <w:t xml:space="preserve">In September 2022, we entered into a Series E redeemable convertible preferred stock purchase agreement, pursuant to which in closings in September 2022 and October 2022 we sold to investors, in private placements, an aggregate of 112,422,700 shares of Series E redeemable convertible preferred stock. The per share purchase price was $1.0674, and we received gross proceeds of approximately $120 million. </w:t>
      </w:r>
    </w:p>
    <w:p>
      <w:pPr>
        <w:pStyle w:val="TextBody"/>
        <w:bidi w:val="0"/>
        <w:spacing w:before="240" w:after="0"/>
        <w:jc w:val="both"/>
        <w:rPr>
          <w:rFonts w:ascii="Times New Roman" w:hAnsi="Times New Roman"/>
          <w:sz w:val="20"/>
        </w:rPr>
      </w:pPr>
      <w:r>
        <w:rPr>
          <w:rFonts w:ascii="Times New Roman" w:hAnsi="Times New Roman"/>
          <w:i/>
          <w:sz w:val="20"/>
        </w:rPr>
        <w:t xml:space="preserve">Series F Redeemable Convertible Preferred Stock Financing. </w:t>
      </w:r>
      <w:r>
        <w:rPr>
          <w:rFonts w:ascii="Times New Roman" w:hAnsi="Times New Roman"/>
          <w:sz w:val="20"/>
        </w:rPr>
        <w:t xml:space="preserve">In July 2023, we entered into a Series F redeemable convertible preferred stock purchase agreement, pursuant to which in July 2023 we sold to investors, in private placements, an aggregate of 81,587,937 shares of Series F redeemable convertible preferred stock. The per share purchase price was $1.2872, and we received gross proceeds of approximately $105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aggregate number of shares acquired by the listed directors, executive officers or holders of more than 5% of our capital stock, or their affiliates. Each outstanding share of redeemable convertible preferred stock identified in the table below will convert into shares of common stock at a ratio of one-for-9.535 immediately prior to the closing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5"/>
        <w:gridCol w:w="127"/>
        <w:gridCol w:w="65"/>
        <w:gridCol w:w="1200"/>
        <w:gridCol w:w="60"/>
        <w:gridCol w:w="127"/>
        <w:gridCol w:w="65"/>
        <w:gridCol w:w="1200"/>
        <w:gridCol w:w="60"/>
        <w:gridCol w:w="127"/>
        <w:gridCol w:w="65"/>
        <w:gridCol w:w="1200"/>
        <w:gridCol w:w="64"/>
      </w:tblGrid>
      <w:tr>
        <w:trPr/>
        <w:tc>
          <w:tcPr>
            <w:tcW w:w="58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w:t>
              <w:b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E</w:t>
              <w:b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F</w:t>
              <w:br/>
              <w:t>Redeemable</w:t>
              <w:br/>
              <w:t>Convertible</w:t>
              <w:br/>
              <w:t>Preferred</w:t>
              <w:br/>
              <w:t>Stock</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stockholders(1)</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ORI Capital(2)</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3,378,758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37,474,236</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Decheng Capital Global Life Sciences Fund IV, L.P.(3)</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21,547,685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4,402,320</w:t>
            </w:r>
          </w:p>
        </w:tc>
        <w:tc>
          <w:tcPr>
            <w:tcW w:w="64" w:type="dxa"/>
            <w:tcBorders/>
            <w:shd w:fill="CCEEFF" w:val="clear"/>
            <w:vAlign w:val="bottom"/>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Capital(4)</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23,306,401</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Kissei Pharmaceutical Co., Ltd.</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33,787,589</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Longitude Venture Partners(5)</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21,547,685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4,402,320</w:t>
            </w:r>
          </w:p>
        </w:tc>
        <w:tc>
          <w:tcPr>
            <w:tcW w:w="64"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TCG Crossover Fund I, L.P.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23,306,401</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Additional details regarding these stockholders and their equity holdings are provided in the section titled Principal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Unique Diamond Investments Limited and Charming Jade Limited. Simone Song is a Founder and Senior Partner at ORI Capital and a member of our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Victor Tong, Jr. is a Managing Director at Decheng and a member of our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Foresite Capital Fund V, L.P., Foresite Capital Fund VI, L.P. and Foresite Capital Opportunity Fund V,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securities acquired by Longitude Prime Fund, L.P. and Longitude Venture Partners IV, L.P. Brian Liu, M.D. is a Managing Director at Longitude Capital Management and a member of our board of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Secondary Stock Sales </w:t>
      </w:r>
    </w:p>
    <w:p>
      <w:pPr>
        <w:pStyle w:val="TextBody"/>
        <w:bidi w:val="0"/>
        <w:spacing w:before="120" w:after="0"/>
        <w:jc w:val="both"/>
        <w:rPr>
          <w:rFonts w:ascii="Times New Roman" w:hAnsi="Times New Roman"/>
          <w:sz w:val="20"/>
        </w:rPr>
      </w:pPr>
      <w:r>
        <w:rPr>
          <w:rFonts w:ascii="Times New Roman" w:hAnsi="Times New Roman"/>
          <w:sz w:val="20"/>
        </w:rPr>
        <w:t xml:space="preserve">In October 2023, Abundant Supply Global Limited, an entity affiliated with ORI Capital, a greater than 5% stockholder of our company, entered into stock transfer agreements with certain other holders of our capital stock pursuant to which Abundant Supply Global Limited sold an aggregate of 27,190,800 shares of Series C redeemable convertible preferred stock at a purchase price of $1.2872 per share for an aggregate purchase price of $34,999,997.84 (the ASGL Secondary Sales). In connection with these transactions, Abundant Supply Global Limited sold 3,107,520 shares of Series C redeemable convertible preferred stock to Decheng Capital Global Life Sciences Fund IV, L.P., a greater than 5% stockholder of our company (Decheng Capital Global), 3,107,520 shares of Series C redeemable convertible preferred stock to TCG Crossover Fund I, L.P., 3,107,520 shares of Series C redeemable convertible preferred stock to Longitude Prime Fund, L.P., an entity affiliated with Longitude Venture Partners, a greater than 5% stockholder of our company, (Longitude Prime), an affiliate of Longitude Venture Partners, and an aggregate of 3,107,520 shares of Series C redeemable convertible preferred stock to entities affiliated with Foresite Capital. In connection with the ASGL Secondary Sales, we entered into a stock transfer agreement with Abundant Supply Global Limited and each purchaser in January 2024, Abundant Supply Global Limited transferred all of its shares to its affiliate, Unique Diamond Investments Limited. </w:t>
      </w:r>
    </w:p>
    <w:p>
      <w:pPr>
        <w:pStyle w:val="TextBody"/>
        <w:bidi w:val="0"/>
        <w:spacing w:before="240" w:after="0"/>
        <w:jc w:val="both"/>
        <w:rPr>
          <w:rFonts w:ascii="Times New Roman" w:hAnsi="Times New Roman"/>
          <w:sz w:val="20"/>
        </w:rPr>
      </w:pPr>
      <w:r>
        <w:rPr>
          <w:rFonts w:ascii="Times New Roman" w:hAnsi="Times New Roman"/>
          <w:sz w:val="20"/>
        </w:rPr>
        <w:t xml:space="preserve">In August 2023, Longitude Prime entered into a stock transfer agreement with an entity affiliated with a holder of our capital stock pursuant to which Longitude Prime sold 1,756,323 shares of Series C redeemable convertible preferred stock at a purchase price of $0.9073 per share for an aggregate purchase price of $1,593,511.86 (the August 2023 Longitude Secondary Transaction). In July 2023, Longitude Prime entered into a stock transfer agreement with Lepu Holdings Limited pursuant to which Longitude Prime purchased 3,512,646 shares of Series C redeemable convertible preferred stock from Lepu Holdings Limited at a purchase price of $0.9073 per share for an aggregate purchase price of $3,187,023.72 (the July 2023 Longitude Secondary Transaction). Jue Pu, our then-director, was an affiliate of Lepu Holdings Limited at the time of the July 2023 Longitude Secondary Transaction. In connection with the August 2023 Longitude Secondary Transaction and the July 2023 Longitude Secondary Transaction, we entered into stock transfer agreements with Longitude Prime and each counterparty. In May 2023, Longitude Venture Partners IV, L.P, an entity affiliated with Longitude Venture Partners, entered into a common stock transfer agreement with various holders of capital stock pursuant to which Longitude Venture Partners IV, L.P. purchased 8,873,500 shares of common stock at a purchase price of $0.80055 per share for an aggregate purchase price of $7,103,680.43 (the May 2023 Longitude Secondary Transaction). In connection with the May 2023 Longitude Secondary Transaction, we entered into a common stock transfer agreement with Longitude Venture Partners IV, L.P. and each seller pursuant to which, among other things, we waived our right of first refusal to purchase the shares of common stock sold in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July 2023, Decheng Capital Global entered into a stock transfer agreement with Lepu Holdings Limited pursuant to which Decheng Capital Global purchased 3,512,646 shares of Series C redeemable convertible preferred stock from Lepu Holdings Limited at a purchase price of $0.9073 per share for an aggregate purchase price of $3,187,023.72 (the July 2023 Decheng Secondary Transaction). Jue Pu, our then-director, was an affiliate of Lepu Holdings Limited at the time of the July 2023 Decheng Secondary Transaction. In June 2023, Decheng Capital Global entered into a stock transfer agreement with a holder of our capital stock pursuant to which Decheng Capital Global purchased 2,024,725 shares of Series C redeemable convertible preferred stock at a purchase price of $0.91 per share for an aggregate purchase price of $1,842,499.75 (the June 2023 Decheng Secondary Transaction). In connection with the July 2023 Decheng Secondary Transaction and the June 2023 Decheng Secondary Transaction, we entered into stock transfer agreements with Decheng Capital Global and each seller. In May 2023, Decheng Capital Global entered into common stock transfer agreements with various holders of capital stock pursuant to which Decheng Capital Global purchased 8,873,500 shares of common stock at a purchase price of $0.80055 per share for an aggregate purchase price of $7,103,680.44 (the May 2023 Decheng Secondary Transaction). In connection with the May 2023 Decheng Secondary Transaction, we entered into a common stock transfer agreement with Decheng Capital Global and each seller pursuant to which, among other things, we waived our right of first refusal to purchase the shares of common stock sold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On March 11, 2019, we entered into the Development and License Agreement with Lepu. Jue Pu, a former member of our board of directors, is an affiliate of Lepu. On March 26, 2020, and as amended September 15, 2022, we entered into the License and Collaboration Agreement with Kissei. Osamu Nakanishi, a former member of our board of directors, is an affiliate of Kissei. Please see the section titled BusinessCollaboration and License Agreements for a description of each of these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investors rights agreement in July 2014, as last amended and restated in July 2023 (the Investors Rights Agreement), with the holders of our redeemable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five years after the closing of this offering or earlier for certain holders. See the section titled Description of Capital StockRegistration Rights for more information regarding these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 voting agreement in July 2014, as last amended and restated in July 2023 (the Voting Agreement), with the holders of our redeemable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Brian Liu, M.D., Simone Song, James J. Mulé, IPh.D., Arthur Kuan, Leonard Post, Ph.D. and Victor Tong, Jr. Pursuant to the Voting Agreement, Mr. Kuan, as our Chief Executive Officer, serves on our board of directors as the CEO director. Mr. Tong was selected to serve on our board of directors as representative of the holders of our common stock and holders of our redeemable convertible preferred stock, voting together as a single class on an as-converted basis, Dr. Post was selected to serve on our board of directors as representative of the holders of our common stock, Mr. Kuan was selected to serve on our board of directors as representative of the holders of our Series A-1 redeemable convertible preferred stock, Dr. Mulé was selected to serve on our board of directors as representative of the holders of our Series B redeemable convertible preferred stock, Ms. Song was selected to serve on our board of directors as representative of the holders of our Series C redeemable convertible preferred stock, and Dr. Liu was selected to serve on our board of directors as a representative of the holders of our Series E redeemable convertible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in the section titled ManagementBoard Composition and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Right of Refusal and Co-Sale Agreement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 right of first refusal and co-sale agreement in July 2014, as last amended and restated in July 2023 (the ROFR Agreement), with holders of our common stock affiliated with our executive officers, which entities are referred to in the ROFR Agreement as key holders, and certain other holders of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convertible preferred stock, including the holders of more than 5% of our capital stock listed above. Pursuant to the ROFR Agreement, we have a right of first refusal on certain transfers of our shares by the key holders, holders of our redeemable convertible preferred stock have a secondary right of first refusal on such transfers, and such redeemable convertible preferred stockholders have a right of co-sale in respect of such transfers. The ROFR Agreement will terminate upon the closing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with Danforth Advisors </w:t>
      </w:r>
    </w:p>
    <w:p>
      <w:pPr>
        <w:pStyle w:val="TextBody"/>
        <w:bidi w:val="0"/>
        <w:spacing w:before="120" w:after="0"/>
        <w:jc w:val="both"/>
        <w:rPr>
          <w:rFonts w:ascii="Times New Roman" w:hAnsi="Times New Roman"/>
          <w:sz w:val="20"/>
        </w:rPr>
      </w:pPr>
      <w:r>
        <w:rPr>
          <w:rFonts w:ascii="Times New Roman" w:hAnsi="Times New Roman"/>
          <w:sz w:val="20"/>
        </w:rPr>
        <w:t>On March 16, 2021, we entered into a consulting agreement with Danforth Advisors, LLC (Danforth) to provide us with resources to assist with our day-to-day finance and accounting functions. Services provided under the agreement with Danforth are billed at hourly rates. Stephen DiPalma, a managing director at Danforth, served as our Chief Financial Officer on a part-time basis through January 2024 and was compensated through his position at Danforth. Mr. DiPalma will continue to provide us consulting services through our agreement with Danforth. The agreement does not have a specified term and can be terminated without cause upon 30 days notice by either party. During the years ended December 31, 2021 and 2022 and during the nine-month period ended September 30, 2023, we made payments to Danforth for such services of $57,875, $38,392 and $201,882, respectively.</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with Lion Healthcare Strategies </w:t>
      </w:r>
    </w:p>
    <w:p>
      <w:pPr>
        <w:pStyle w:val="TextBody"/>
        <w:bidi w:val="0"/>
        <w:spacing w:before="120" w:after="0"/>
        <w:jc w:val="both"/>
        <w:rPr>
          <w:rFonts w:ascii="Times New Roman" w:hAnsi="Times New Roman"/>
          <w:sz w:val="20"/>
        </w:rPr>
      </w:pPr>
      <w:r>
        <w:rPr>
          <w:rFonts w:ascii="Times New Roman" w:hAnsi="Times New Roman"/>
          <w:sz w:val="20"/>
        </w:rPr>
        <w:t xml:space="preserve">On April 15, 2021, we entered into a consulting agreement with Lion Healthcare Strategies to provide us with corporate and strategic consulting services. Services provided under the agreement with Lion Healthcare Strategies are billed at daily or hourly rates. Mr. Bellete is the sole owner of Lion Healthcare Strategies, served as Chief Executive Officer of Lion Healthcare Strategies, from April 2021 to August 2023, and has served as our President and Chief Operating Officer since July 2023. The agreement was terminated when Mr. Bellete joined our company. During the years ended December 31, 2021 and 2022 and during the nine-month period ended September 30, 2023, we made payments to Lion Healthcare Strategies for such services of $204,000, $433,269 and $308,408,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551455_14"/>
      <w:bookmarkEnd w:id="16"/>
      <w:r>
        <w:rPr>
          <w:rFonts w:ascii="Times New Roman" w:hAnsi="Times New Roman"/>
          <w:b/>
          <w:sz w:val="20"/>
        </w:rPr>
        <w:t xml:space="preserve">PRINCIPAL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common stock as of January 10, 2024, and as adjusted to reflect the sale of shares of common stock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43,636,185 shares of common stock outstanding on January 10, 2024, which gives effect to the automatic conversion of all outstanding shares of our redeemable convertible preferred stock into 38,413,913 shares of our common stock immediately prior to the closing of this offering.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January 10, 2024 are considered outstanding, although these shares are not considered outstanding for purposes of computing the percentage ownership of any other person. The table below excludes any potential purchases in this offering by the beneficial owners identified in the table below.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beneficial owner listed below is c/o CG Oncology, Inc., 400 Spectrum Center Drive, Suite 2040, Irvine, CA 92618.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351"/>
        <w:gridCol w:w="68"/>
        <w:gridCol w:w="1146"/>
        <w:gridCol w:w="60"/>
        <w:gridCol w:w="351"/>
        <w:gridCol w:w="193"/>
        <w:gridCol w:w="1420"/>
        <w:gridCol w:w="486"/>
        <w:gridCol w:w="338"/>
        <w:gridCol w:w="231"/>
        <w:gridCol w:w="1260"/>
        <w:gridCol w:w="281"/>
      </w:tblGrid>
      <w:tr>
        <w:trPr/>
        <w:tc>
          <w:tcPr>
            <w:tcW w:w="402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bidi w:val="0"/>
              <w:spacing w:before="0" w:after="283"/>
              <w:jc w:val="left"/>
              <w:rPr/>
            </w:pPr>
            <w:r>
              <w:rPr/>
              <w:t> </w:t>
            </w:r>
          </w:p>
        </w:tc>
        <w:tc>
          <w:tcPr>
            <w:tcW w:w="351" w:type="dxa"/>
            <w:vMerge w:val="restart"/>
            <w:tcBorders/>
            <w:vAlign w:val="bottom"/>
          </w:tcPr>
          <w:p>
            <w:pPr>
              <w:pStyle w:val="TableContents"/>
              <w:bidi w:val="0"/>
              <w:spacing w:before="0" w:after="283"/>
              <w:jc w:val="left"/>
              <w:rPr/>
            </w:pPr>
            <w:r>
              <w:rPr/>
              <w:t>  </w:t>
            </w:r>
          </w:p>
        </w:tc>
        <w:tc>
          <w:tcPr>
            <w:tcW w:w="121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br/>
              <w:t>Shares</w:t>
              <w:br/>
              <w:t>Beneficially</w:t>
            </w:r>
            <w:r>
              <w:rPr/>
              <w:br/>
            </w:r>
            <w:r>
              <w:rPr>
                <w:b/>
              </w:rPr>
              <w:t>Owned</w:t>
            </w:r>
          </w:p>
        </w:tc>
        <w:tc>
          <w:tcPr>
            <w:tcW w:w="60" w:type="dxa"/>
            <w:vMerge w:val="restart"/>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9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 Shares</w:t>
              <w:br/>
              <w:t>Beneficially Owned</w:t>
            </w:r>
          </w:p>
        </w:tc>
        <w:tc>
          <w:tcPr>
            <w:tcW w:w="281" w:type="dxa"/>
            <w:tcBorders/>
            <w:vAlign w:val="bottom"/>
          </w:tcPr>
          <w:p>
            <w:pPr>
              <w:pStyle w:val="TableContents"/>
              <w:bidi w:val="0"/>
              <w:spacing w:before="0" w:after="283"/>
              <w:jc w:val="left"/>
              <w:rPr/>
            </w:pPr>
            <w:r>
              <w:rPr/>
              <w:t> </w:t>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51" w:type="dxa"/>
            <w:vMerge w:val="continue"/>
            <w:tcBorders/>
            <w:vAlign w:val="bottom"/>
          </w:tcPr>
          <w:p>
            <w:pPr>
              <w:pStyle w:val="Normal"/>
              <w:bidi w:val="0"/>
              <w:jc w:val="left"/>
              <w:rPr/>
            </w:pPr>
            <w:r>
              <w:rPr/>
            </w:r>
          </w:p>
        </w:tc>
        <w:tc>
          <w:tcPr>
            <w:tcW w:w="121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51" w:type="dxa"/>
            <w:tcBorders/>
            <w:vAlign w:val="bottom"/>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 Offering</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 Offering</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20"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ORI Capital(1)</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4,941,367</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11.3</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8.9</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Decheng Capital Global Life Sciences Fund IV, L.P.(2)</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4,558,810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10.4</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8.2</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Longitude Venture Partners(3)</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4,162,267</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9.5</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7.5</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Kissei Pharmaceutical Co., Ltd.(4)</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3,543,533</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8.1</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6.4</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Capital(5)</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2,770,203</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6.3</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TCG Crossover Fund I, L.P.(6)</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2,770,206</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6.3</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5.0</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Ally Bridge Group(7)</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2,493,844</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5.7</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4.5</w:t>
            </w:r>
          </w:p>
        </w:tc>
        <w:tc>
          <w:tcPr>
            <w:tcW w:w="281" w:type="dxa"/>
            <w:tcBorders/>
            <w:vAlign w:val="bottom"/>
          </w:tcPr>
          <w:p>
            <w:pPr>
              <w:pStyle w:val="TableContents"/>
              <w:bidi w:val="0"/>
              <w:spacing w:before="0" w:after="283"/>
              <w:jc w:val="left"/>
              <w:rPr/>
            </w:pPr>
            <w:r>
              <w:rPr/>
              <w:t>% </w:t>
            </w:r>
          </w:p>
        </w:tc>
      </w:tr>
      <w:tr>
        <w:trPr>
          <w:trHeight w:val="75" w:hRule="atLeast"/>
        </w:trPr>
        <w:tc>
          <w:tcPr>
            <w:tcW w:w="4020"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450" w:type="dxa"/>
            <w:gridSpan w:val="4"/>
            <w:tcBorders/>
            <w:vAlign w:val="center"/>
          </w:tcPr>
          <w:p>
            <w:pPr>
              <w:pStyle w:val="TableContents"/>
              <w:bidi w:val="0"/>
              <w:spacing w:before="0" w:after="283"/>
              <w:jc w:val="left"/>
              <w:rPr>
                <w:sz w:val="4"/>
                <w:szCs w:val="4"/>
              </w:rPr>
            </w:pPr>
            <w:r>
              <w:rPr>
                <w:sz w:val="4"/>
                <w:szCs w:val="4"/>
              </w:rPr>
            </w:r>
          </w:p>
        </w:tc>
        <w:tc>
          <w:tcPr>
            <w:tcW w:w="2110" w:type="dxa"/>
            <w:gridSpan w:val="4"/>
            <w:tcBorders/>
            <w:vAlign w:val="center"/>
          </w:tcPr>
          <w:p>
            <w:pPr>
              <w:pStyle w:val="TableContents"/>
              <w:bidi w:val="0"/>
              <w:spacing w:before="0" w:after="283"/>
              <w:jc w:val="left"/>
              <w:rPr>
                <w:sz w:val="4"/>
                <w:szCs w:val="4"/>
              </w:rPr>
            </w:pPr>
            <w:r>
              <w:rPr>
                <w:sz w:val="4"/>
                <w:szCs w:val="4"/>
              </w:rPr>
            </w:r>
          </w:p>
        </w:tc>
      </w:tr>
      <w:tr>
        <w:trPr/>
        <w:tc>
          <w:tcPr>
            <w:tcW w:w="402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20"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Arthur Kuan(8)</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287,315</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Ambaw Bellete(9)</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25,125</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Vijay Kasturi(10)</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1,529</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Brian Liu, M.D. </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Susan Graf</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J. Mulé, IPh.D.(11)</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61,138</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Leonard Post, Ph.D.(12)</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138,572</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Simone Song(13)</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5,292,138</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12.1</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9.5</w:t>
            </w:r>
          </w:p>
        </w:tc>
        <w:tc>
          <w:tcPr>
            <w:tcW w:w="281" w:type="dxa"/>
            <w:tcBorders/>
            <w:shd w:fill="CCEEFF" w:val="clear"/>
            <w:vAlign w:val="bottom"/>
          </w:tcPr>
          <w:p>
            <w:pPr>
              <w:pStyle w:val="TableContents"/>
              <w:bidi w:val="0"/>
              <w:spacing w:before="0" w:after="283"/>
              <w:jc w:val="left"/>
              <w:rPr/>
            </w:pPr>
            <w:r>
              <w:rPr/>
              <w:t>% </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Victor Tong, Jr. </w:t>
            </w:r>
          </w:p>
        </w:tc>
        <w:tc>
          <w:tcPr>
            <w:tcW w:w="35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w:t>
            </w:r>
          </w:p>
        </w:tc>
        <w:tc>
          <w:tcPr>
            <w:tcW w:w="486"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(10 persons)(14)</w:t>
            </w:r>
          </w:p>
        </w:tc>
        <w:tc>
          <w:tcPr>
            <w:tcW w:w="35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864,450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2.0</w:t>
            </w:r>
          </w:p>
        </w:tc>
        <w:tc>
          <w:tcPr>
            <w:tcW w:w="48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1,011,191 shares of common stock held by Unique Diamond Investments Limited and (ii) 3,930,176 shares of common stock held by Charming Jade Limited. Unique Diamond Investments Limited is a wholly-owned subsidiary of ORI Healthcare Fund, L.P. ORI Capital Inc. is the general partner of ORI Healthcare Fund, L.P. and may be deemed to have voting, investment and dispositive power with respect to these securities. ORI Capital Inc. is a wholly-owned subsidiary of ORI Capital Holding Inc, which is a wholly-owned subsidiary of Healthcare Seed Limited. Charming Jade Limited is a wholly-owned subsidiary of ORI Healthcare Fund II, L.P. ORI Capital II Inc. is the general partner of ORI Healthcare Fund II, L.P. and may be deemed to have voting, investment and dispositive power with respect to these securities. ORI Capital II Inc. is a wholly-owned subsidiary of ORI Capital Holding Inc, which is a wholly-owned Subsidiary of Healthcare Seed Limited. Ms. Song is the sole owner of Healthcare Seed Limited. The business address for Ms. Song and these entities is C/O Room Nos. 4727-4734, 47/F, Sun Hung Kai Centre, 30 Harbour Road, Wanchai, Hong Kong.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4,558,810 shares of common stock held by Decheng Capital Global Life Sciences Fund IV, L.P. Decheng Capital Management IV (Cayman), LLC (the Decheng GP) is the general partner of the Fund. Xiangmin Cui is the manager of the Decheng GP. Each of the Fund, the Decheng GP and Dr. Cui may be deemed to beneficially own the securities held by the Fund. Each of the Fund, the Decheng GP and Dr. Cui disclaim beneficial ownership of these securities, except to the extent of their respective pecuniary interests therein. The business address for Decheng is 3000 Sand Hill Road, Building 2, Suite 110, Menlo Park, California 94025.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3,190,463 shares of common stock held by Longitude Venture Partners IV, L.P. (LVPIV) and (ii) 971,804 shares of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are the managing members of LCPIV and LPP and may each be deemed to share voting, investment and dispositive power with respect to these securities. Each of LPP, LCPIV, Ms. Tammenoms Bakker and Mr. Enright disclaim beneficial ownership of such shares except to the extent of their respective pecuniary interests therein. The business address for these individuals and entities is 2740 Sand Hill Road, 2nd Floor, Menlo Park, California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3,543,533 shares of common stock held by Kissei Pharmaceutical Co., Ltd. (Tokyo Stock Exchange, stock code: 4547). The business address for Kissei is 19-48 Yoshino, Matsumoto City, Nagano, Japan.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692,550 shares of common stock held by Foresite Capital Fund V, L.P. (Fund V), (ii) 1,385,103 shares of common stock held by Foresite Capital Fund VI, L.P. (Fund VI) and (iii) 692,550 shares of common stock held by Foresite Capital Opportunity Fund V, L.P. (Opportunity Fund V, and, together with Fund V and Fund VI, Foresite). Foresite Capital Management V LLC (FCM V) is the general partner of Fund V. Foresite Capital Management VI, LLC (FCM VI) is the general partner of Fund VI. Foresite Capital Opportunity Management V, LLC (FCOM V) is the general partner of Opportunity Fund V. FCM V, FCM VI and FCOM V may be deemed to have sole voting and dispositive power over these shares. James B. Tananbaum is the sole managing member of FCM V, FCM VI and FCOM V and may be deemed to have sole voting and dispositive power over these shares. Each of FCM V, FCM VI, FCOM V and Dr. Tananbaum disclaim beneficial ownership of these securities, except to the extent of their respective pecuniary interests therein. The address of Foresite, FCM VI, FCM V, FCOM V and Dr. Tananbaum is 900 Larkspur Landing Circle, Suite 150 Larkspur, CA 94939.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2,770,206 shares of common stock held by TCG Crossover Fund I, L.P. TCG Crossover GP I, LLC (TCG Crossover GP I) is the general partner of TCG Crossover Fund I, L.P. (TCG Crossover I) and may be deemed to have voting, investment, and dispositive power with respect to these securities. Chen Yu is the sole managing member of TCG Crossover GP I and may be deemed to share voting, investment and dispositive power with respect to these securities. The business address for TCG Crossover GP I, TCG Crossover I and Mr. Yu is 705 High St., Palo Alto, CA 94301.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1,052,048 shares of common stock held by ABG II-ColdGen Limited (ABG II SPV), (ii) 325,906 shares of common stock held by ABG V-CG Limited (ABG V SPV), (iii) 915,500 shares of common stock held by ABG WTT-CG Limited (ABG WTT SPV) and (iv) 200,390 shares of common stock held by ABG-ColdGen Limited (ABG I SPV). ABG Capital Partners II GP Limited (ABG II GP) is the sole general partner of ABG Capital Partners II GP, L.P., which is the sole general partner of Ally Bridge Group Capital Partners II, L.P. that owns 100% of ABG II SPV. ABG Global Life Science Capital Partners V GP Limited (ABG V GP) is the sole general partner of ABG Global Life Science Capital Partners V GP, L.P., which is the sole general partner of Ally Bridge Group Global Life Science Capital Partners V, L.P. that owns 100% of ABG V SPV. ABG-WTT Global Life Science Capital Partners GP Limited (ABG WTT GP) is the sole general partner of ABG-WTT Global Life Science Capital Partners GP, L.P., which is the sole general partner of Ally Bridge Group-WTT Global Life Science Capital Partners, L.P. that owns 100% of ABG WTT SPV. Ally Bridge Group (ABG I), a Cayman Islands incorporated limited liability company, owns 100% of ABG I SPV. Mr. Fan Yu (Frank) is the controlling person of each of ABG II GP, ABG V GP, ABG WTT GP and the board of ABG I, and in such capacity, has voting control and investment control with respect to the shares held by ABG II SPV, ABG V SPV, ABG WTT SPV and ABG I SPV. The business address for ABG II SPV, ABG V SPV, ABG WTT SPV and ABG I SPV is Room 2128 &amp; 2153, 21/F, New World Tower, 16-18 Queens Road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36,151 shares of common stock held directly and 251,164 shares of common stock underlying options held by Mr. Kuan that are exercisable as of January 10,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25,125 shares of common stock underlying options held by Mr. Bellete that are exercisable as of January 10,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1,529 shares of common stock underlying options held by Dr. Kasturi that are exercisable as of January 10,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61,138 shares of common stock underlying options held by Dr. Mulé that are exercisable as of January 10,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138,572 shares of common stock underlying options held by Dr. Post that are exercisable as of January 10,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1,011,191 shares of common stock held by Unique Diamond Investments Limited, (ii) 3,930,176 shares of common stock held by Charming Jade Limited and (iii) 350,771 shares of common stock held directly by Ms. Song, as further described in footnote 1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Includes the shares described in footnotes 8, 11, 12 and 13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51455_15"/>
      <w:bookmarkEnd w:id="17"/>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Following the closing of this offering, our authorized capital stock will consist of 700,000,000 shares of common stock, $0.0001 par value per share, and 70,000,000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there were 43,482,511 shares of our common stock outstanding and held of record by 102 stockholders, after giving effect to the automatic conversion of all outstanding shares of our redeemable convertible preferred stock into 38,413,913 shares of common stock, which will automatically occur immediately prior to the closing of this offering. Based on the number of shares of common stock outstanding as of September 30, 2023, and further assuming the issuance by us of 11,800,000 shares of common stock in this offering, there will be 55,282,511 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 Anti-Takeover Effects of Delaware Law and Our Certificate of Incorporation and Bylaws-Amendment of Charter Provisions below. </w:t>
      </w:r>
    </w:p>
    <w:p>
      <w:pPr>
        <w:pStyle w:val="TextBody"/>
        <w:bidi w:val="0"/>
        <w:spacing w:before="240" w:after="0"/>
        <w:jc w:val="both"/>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all of our previously outstanding shares of redeemable convertible preferred stock will have been converted into common stock, there will be no authorized shares of our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redeemable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70,000,000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options to purchase 4,688,990 shares of our common stock were outstanding, of which 1,626,947 were vested and exercisable as of that date. For additional information regarding the terms of our 2015 Plan and 2022 Plan, see the sections titled Executive and Director CompensationEquity Incentive Plans2015 Equity Incentive Plan and Executive and Director CompensationEquity Incentive Plans2022 Incentive Award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upon the closing of this offering holders of 38,413,913 shares of our common stock, which includes all of the shares of common stock issuable upon the automatic conversion redeemable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both"/>
        <w:rPr>
          <w:rFonts w:ascii="Times New Roman" w:hAnsi="Times New Roman"/>
          <w:sz w:val="20"/>
        </w:rPr>
      </w:pPr>
      <w:r>
        <w:rPr>
          <w:rFonts w:ascii="Times New Roman" w:hAnsi="Times New Roman"/>
          <w:i/>
          <w:sz w:val="20"/>
        </w:rPr>
        <w:t xml:space="preserve">Form S-1. </w:t>
      </w:r>
      <w:r>
        <w:rPr>
          <w:rFonts w:ascii="Times New Roman" w:hAnsi="Times New Roman"/>
          <w:sz w:val="20"/>
        </w:rPr>
        <w:t xml:space="preserve">If at any time beginning six months following the closing of this offering, the holders of at least 25% of the registrable securities then-outstanding request in writing that we effect a registration,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we have already effected either one registration in the last twelve months or three registrations in total for the holders of registrable securities in response to these demand registration rights, or the anticipated aggregate proceeds of the registration (after deduction for underwriters discounts and expenses related to the issuance) are less than $5 million. </w:t>
      </w:r>
    </w:p>
    <w:p>
      <w:pPr>
        <w:pStyle w:val="TextBody"/>
        <w:bidi w:val="0"/>
        <w:spacing w:before="240" w:after="0"/>
        <w:jc w:val="both"/>
        <w:rPr>
          <w:rFonts w:ascii="Times New Roman" w:hAnsi="Times New Roman"/>
          <w:sz w:val="20"/>
        </w:rPr>
      </w:pPr>
      <w:r>
        <w:rPr>
          <w:rFonts w:ascii="Times New Roman" w:hAnsi="Times New Roman"/>
          <w:i/>
          <w:sz w:val="20"/>
        </w:rPr>
        <w:t>Form S-</w:t>
      </w:r>
      <w:r>
        <w:rPr>
          <w:rFonts w:ascii="Times New Roman" w:hAnsi="Times New Roman"/>
          <w:sz w:val="20"/>
        </w:rPr>
        <w:t xml:space="preserve">3. If at any time beginning six months following the closing of this offering, any holder of registrable securities then-outstanding requests in writing that we effect a registration with respect to all or a part of the registrable securities then outstanding,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Form S-3 is not available for such offering or the anticipated aggregate offering price to the public is less than $1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w:t>
      </w:r>
    </w:p>
    <w:p>
      <w:pPr>
        <w:pStyle w:val="TextBody"/>
        <w:bidi w:val="0"/>
        <w:spacing w:before="120" w:after="0"/>
        <w:jc w:val="both"/>
        <w:rPr>
          <w:rFonts w:ascii="Times New Roman" w:hAnsi="Times New Roman"/>
          <w:sz w:val="20"/>
        </w:rPr>
      </w:pPr>
      <w:r>
        <w:rPr>
          <w:rFonts w:ascii="Times New Roman" w:hAnsi="Times New Roman"/>
          <w:sz w:val="20"/>
        </w:rPr>
        <w:t xml:space="preserve">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registration rights terminate upon the earlier of (i) five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both"/>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 </w:t>
      </w:r>
    </w:p>
    <w:p>
      <w:pPr>
        <w:pStyle w:val="TextBody"/>
        <w:bidi w:val="0"/>
        <w:spacing w:before="240" w:after="0"/>
        <w:jc w:val="both"/>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our board of directors, without action by the stockholders, to issue up to 70,000,000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both"/>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both"/>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The transfer agent and registrar for our common stock will be Broadridge Corporate Issuer Solutions, LLC. The transfer agent and registrars address is 51 Mercedes Way, Edgewood, NY 11717. </w:t>
      </w:r>
    </w:p>
    <w:p>
      <w:pPr>
        <w:pStyle w:val="TextBody"/>
        <w:bidi w:val="0"/>
        <w:spacing w:before="360" w:after="0"/>
        <w:jc w:val="left"/>
        <w:rPr>
          <w:rFonts w:ascii="Times New Roman" w:hAnsi="Times New Roman"/>
          <w:b/>
          <w:sz w:val="20"/>
        </w:rPr>
      </w:pPr>
      <w:r>
        <w:rPr>
          <w:rFonts w:ascii="Times New Roman" w:hAnsi="Times New Roman"/>
          <w:b/>
          <w:sz w:val="20"/>
        </w:rPr>
        <w:t xml:space="preserve">The Nasdaq Global Select Market Listing </w:t>
      </w:r>
    </w:p>
    <w:p>
      <w:pPr>
        <w:pStyle w:val="TextBody"/>
        <w:bidi w:val="0"/>
        <w:spacing w:before="120" w:after="0"/>
        <w:jc w:val="both"/>
        <w:rPr>
          <w:rFonts w:ascii="Times New Roman" w:hAnsi="Times New Roman"/>
          <w:sz w:val="20"/>
        </w:rPr>
      </w:pPr>
      <w:r>
        <w:rPr>
          <w:rFonts w:ascii="Times New Roman" w:hAnsi="Times New Roman"/>
          <w:sz w:val="20"/>
        </w:rPr>
        <w:t xml:space="preserve">We have applied to have our common stock listed on the Nasdaq Global Select Market under the symbol CGON, and this offering is contingent upon obtaining such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For a discussion of liability and indemnification, see the section titled Executive and Director CompensationLimitations of Liability and Indemnification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51455_16"/>
      <w:bookmarkEnd w:id="18"/>
      <w:r>
        <w:rPr>
          <w:rFonts w:ascii="Times New Roman" w:hAnsi="Times New Roman"/>
          <w:b/>
          <w:sz w:val="20"/>
        </w:rPr>
        <w:t xml:space="preserve">SHARES ELIGIBLE FOR FUTURE SALE </w:t>
      </w:r>
    </w:p>
    <w:p>
      <w:pPr>
        <w:pStyle w:val="TextBody"/>
        <w:bidi w:val="0"/>
        <w:spacing w:before="240" w:after="0"/>
        <w:jc w:val="both"/>
        <w:rPr>
          <w:rFonts w:ascii="Times New Roman" w:hAnsi="Times New Roman"/>
          <w:sz w:val="20"/>
        </w:rPr>
      </w:pPr>
      <w:r>
        <w:rPr>
          <w:rFonts w:ascii="Times New Roman" w:hAnsi="Times New Roman"/>
          <w:sz w:val="20"/>
        </w:rPr>
        <w:t xml:space="preserve">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Based on the number of shares of our common stock outstanding as of September 30, 2023, and assuming (i) the issuance of 11,800,000 shares in this offering, (ii) the automatic conversion of all of our outstanding shares of redeemable convertible preferred stock into 38,413,913 shares of common stock and the related reclassification of the carrying value of the redeemable convertible preferred stock to permanent equity upon the closing of this offering, (iii) no exercise of the underwriters over-allotment option and (iv) no exercise of outstanding options, we will have outstanding an aggregate of 55,282,511 shares of common stock following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 </w:t>
      </w:r>
    </w:p>
    <w:p>
      <w:pPr>
        <w:pStyle w:val="TextBody"/>
        <w:bidi w:val="0"/>
        <w:spacing w:before="240" w:after="0"/>
        <w:jc w:val="both"/>
        <w:rPr>
          <w:rFonts w:ascii="Times New Roman" w:hAnsi="Times New Roman"/>
          <w:sz w:val="20"/>
        </w:rPr>
      </w:pPr>
      <w:r>
        <w:rPr>
          <w:rFonts w:ascii="Times New Roman" w:hAnsi="Times New Roman"/>
          <w:sz w:val="20"/>
        </w:rPr>
        <w:t xml:space="preserve">The remaining 43,482,511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both"/>
        <w:rPr>
          <w:rFonts w:ascii="Times New Roman" w:hAnsi="Times New Roman"/>
          <w:sz w:val="20"/>
        </w:rPr>
      </w:pPr>
      <w:r>
        <w:rPr>
          <w:rFonts w:ascii="Times New Roman" w:hAnsi="Times New Roman"/>
          <w:sz w:val="20"/>
        </w:rPr>
        <w:t xml:space="preserve">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Goldman Sachs &amp; Co.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both"/>
        <w:rPr>
          <w:rFonts w:ascii="Times New Roman" w:hAnsi="Times New Roman"/>
          <w:sz w:val="20"/>
        </w:rPr>
      </w:pPr>
      <w:r>
        <w:rPr>
          <w:rFonts w:ascii="Times New Roman" w:hAnsi="Times New Roman"/>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Trading Plans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closing of this offering, certain of our officers, directors and significant stockholders may adopt written plans, known as Rule 10b5-1 trading plans, in which they will contract with a broker to buy or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b/>
          <w:i/>
          <w:sz w:val="20"/>
        </w:rPr>
      </w:pPr>
      <w:r>
        <w:rPr>
          <w:rFonts w:ascii="Times New Roman" w:hAnsi="Times New Roman"/>
          <w:b/>
          <w:i/>
          <w:sz w:val="20"/>
        </w:rPr>
        <w:t xml:space="preserve">Affiliate Resales of Restricted Securities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our common stock then outstanding, which will equal approximately 552,825 shares immediately after this offering, assuming no exercise of the underwriters over-allotment option;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weekly trading volume in our common stock on Nasdaq during the four calendar weeks preceding the filing of a notice on Form 144 with respect to such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Non-Affiliate Resales of Restricted Securities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w:t>
      </w:r>
    </w:p>
    <w:p>
      <w:pPr>
        <w:pStyle w:val="TextBody"/>
        <w:bidi w:val="0"/>
        <w:spacing w:before="240" w:after="0"/>
        <w:jc w:val="both"/>
        <w:rPr>
          <w:rFonts w:ascii="Times New Roman" w:hAnsi="Times New Roman"/>
          <w:sz w:val="20"/>
        </w:rPr>
      </w:pPr>
      <w:r>
        <w:rPr>
          <w:rFonts w:ascii="Times New Roman" w:hAnsi="Times New Roman"/>
          <w:sz w:val="20"/>
        </w:rPr>
        <w:t xml:space="preserve">Non-affiliate resales are not subject to the manner of sale, volume limitation or notice filing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701 as currently in effect, any of an issuers employees, directors, officers, consultants or advisors who purchase shares from the issuer in connection with a compensatory stock 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both"/>
        <w:rPr>
          <w:rFonts w:ascii="Times New Roman" w:hAnsi="Times New Roman"/>
          <w:sz w:val="20"/>
        </w:rPr>
      </w:pPr>
      <w:r>
        <w:rPr>
          <w:rFonts w:ascii="Times New Roman" w:hAnsi="Times New Roman"/>
          <w:sz w:val="20"/>
        </w:rPr>
        <w:t xml:space="preserve">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holders of 38,413,913 shares of our common stock, which includes all of the shares of common stock issuable upon the automatic conversion of our redeemable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StockRegistration Rights for additional information. Shares covered by a registration statement will be eligible for sale in the public market upon the expiration or release from the terms of the lock-up agreements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51455_17"/>
      <w:bookmarkEnd w:id="19"/>
      <w:r>
        <w:rPr>
          <w:rFonts w:ascii="Times New Roman" w:hAnsi="Times New Roman"/>
          <w:b/>
          <w:sz w:val="20"/>
        </w:rPr>
        <w:t xml:space="preserve">MATERIAL UNITED STATES FEDERAL INCOME TAX CONSEQUENCES TO NON-U.S. 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240" w:after="0"/>
        <w:jc w:val="both"/>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in the subsection titled Sale or Other Taxable Disposition below.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both"/>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 below of backup withholding and withholding under FATCA (defined below), 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both"/>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Withholding taxes may be imposed under Sections 1471 to 1474 of the Code (such Sections are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 </w:t>
      </w:r>
    </w:p>
    <w:p>
      <w:pPr>
        <w:pStyle w:val="TextBody"/>
        <w:bidi w:val="0"/>
        <w:spacing w:before="240" w:after="0"/>
        <w:jc w:val="both"/>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51455_18"/>
      <w:bookmarkEnd w:id="20"/>
      <w:r>
        <w:rPr>
          <w:rFonts w:ascii="Times New Roman" w:hAnsi="Times New Roman"/>
          <w:b/>
          <w:sz w:val="20"/>
        </w:rPr>
        <w:t xml:space="preserve">UNDERWRITING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the underwriters named below, for whom Morgan Stanley &amp; Co. LLC, Goldman Sachs &amp; Co. LLC and Cantor Fitzgerald &amp; Co. are acting as representatives, have severally agreed to purchase, and we have agreed to sell to them, severally, the number of shares of common stock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233"/>
        <w:gridCol w:w="181"/>
        <w:gridCol w:w="60"/>
        <w:gridCol w:w="1116"/>
        <w:gridCol w:w="63"/>
      </w:tblGrid>
      <w:tr>
        <w:trPr/>
        <w:tc>
          <w:tcPr>
            <w:tcW w:w="6233"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1" w:type="dxa"/>
            <w:tcBorders/>
            <w:vAlign w:val="bottom"/>
          </w:tcPr>
          <w:p>
            <w:pPr>
              <w:pStyle w:val="TableContents"/>
              <w:bidi w:val="0"/>
              <w:spacing w:before="0" w:after="283"/>
              <w:jc w:val="left"/>
              <w:rPr/>
            </w:pPr>
            <w:r>
              <w:rPr/>
              <w:t>  </w:t>
            </w:r>
          </w:p>
        </w:tc>
        <w:tc>
          <w:tcPr>
            <w:tcW w:w="117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Shares</w:t>
            </w:r>
          </w:p>
        </w:tc>
        <w:tc>
          <w:tcPr>
            <w:tcW w:w="63" w:type="dxa"/>
            <w:tcBorders/>
            <w:vAlign w:val="bottom"/>
          </w:tcPr>
          <w:p>
            <w:pPr>
              <w:pStyle w:val="TableContents"/>
              <w:bidi w:val="0"/>
              <w:spacing w:before="0" w:after="283"/>
              <w:jc w:val="left"/>
              <w:rPr/>
            </w:pPr>
            <w:r>
              <w:rPr/>
              <w:t> </w:t>
            </w:r>
          </w:p>
        </w:tc>
      </w:tr>
      <w:tr>
        <w:trPr/>
        <w:tc>
          <w:tcPr>
            <w:tcW w:w="6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3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33"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3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11,800,000</w:t>
            </w:r>
          </w:p>
        </w:tc>
        <w:tc>
          <w:tcPr>
            <w:tcW w:w="63" w:type="dxa"/>
            <w:tcBorders/>
            <w:shd w:fill="CCEEFF" w:val="clear"/>
            <w:vAlign w:val="bottom"/>
          </w:tcPr>
          <w:p>
            <w:pPr>
              <w:pStyle w:val="TableContents"/>
              <w:bidi w:val="0"/>
              <w:spacing w:before="0" w:after="283"/>
              <w:jc w:val="left"/>
              <w:rPr/>
            </w:pPr>
            <w:r>
              <w:rPr/>
              <w:t> </w:t>
            </w:r>
          </w:p>
        </w:tc>
      </w:tr>
      <w:tr>
        <w:trPr/>
        <w:tc>
          <w:tcPr>
            <w:tcW w:w="623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In addition, we have requested that the underwriters make issuer directed allocations in the aggregate of                  shares of our common stock to certain investors.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to purchase up to 1,770,000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over-allotment option to purchase up to an additional 1,770,000 shares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3"/>
        <w:gridCol w:w="213"/>
        <w:gridCol w:w="140"/>
        <w:gridCol w:w="1066"/>
        <w:gridCol w:w="60"/>
        <w:gridCol w:w="213"/>
        <w:gridCol w:w="188"/>
        <w:gridCol w:w="1084"/>
        <w:gridCol w:w="60"/>
        <w:gridCol w:w="213"/>
        <w:gridCol w:w="161"/>
        <w:gridCol w:w="1236"/>
        <w:gridCol w:w="68"/>
      </w:tblGrid>
      <w:tr>
        <w:trPr/>
        <w:tc>
          <w:tcPr>
            <w:tcW w:w="550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50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9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8"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$5.5 million. We have also agreed to reimburse the underwriters for expenses relating to clearance of this offering with the Financial Industry Regulatory Authority up to $40,000.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underwriters have informed us that they do not intend sales to discretionary accounts to exceed 5% of the total number of shares of common stock offered by them. </w:t>
      </w:r>
    </w:p>
    <w:p>
      <w:pPr>
        <w:pStyle w:val="TextBody"/>
        <w:bidi w:val="0"/>
        <w:spacing w:before="240" w:after="0"/>
        <w:jc w:val="both"/>
        <w:rPr>
          <w:rFonts w:ascii="Times New Roman" w:hAnsi="Times New Roman"/>
          <w:sz w:val="20"/>
        </w:rPr>
      </w:pPr>
      <w:r>
        <w:rPr>
          <w:rFonts w:ascii="Times New Roman" w:hAnsi="Times New Roman"/>
          <w:sz w:val="20"/>
        </w:rPr>
        <w:t xml:space="preserve">We have applied to list our common stock on the Nasdaq Global Select Market under the trading symbol CGON, and this offering is contingent upon obtaining approval of such listing </w:t>
      </w:r>
    </w:p>
    <w:p>
      <w:pPr>
        <w:pStyle w:val="TextBody"/>
        <w:bidi w:val="0"/>
        <w:spacing w:before="240" w:after="0"/>
        <w:jc w:val="both"/>
        <w:rPr>
          <w:rFonts w:ascii="Times New Roman" w:hAnsi="Times New Roman"/>
          <w:sz w:val="20"/>
        </w:rPr>
      </w:pPr>
      <w:r>
        <w:rPr>
          <w:rFonts w:ascii="Times New Roman" w:hAnsi="Times New Roman"/>
          <w:sz w:val="20"/>
        </w:rPr>
        <w:t xml:space="preserve">We and all of our directors and officers and the holders of substantially all of our outstanding securities directly or indirectly convertible into or exchangeable or exercisable for shares of our common stock have entered into lock-up agreements with the underwriters agreeing that, subject to certain exceptions, without the prior written consent of Morgan Stanley &amp; Co. LLC and Goldman Sachs &amp; Co. LLC on behalf of the underwriters, we and they will not, and will not publicly disclose an intention to, during the period ending 180 days after the date of this prospectus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hedging, swap or other arrangement that transfers to another, in whole or in part, any of the economic consequences of ownership of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 or file any registration statement with the SEC relating to the offering of any shares of common stock or any securities convertible into or exercisable or exchangeable for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have agreed that, without the prior written consent of Morgan Stanley &amp; Co.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us, 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shares to be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by us of shares of common stock upon the exercise of an option or warrant or the conversion of a security outstanding on the date of this prospectus as described in the registration statement and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(3)</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grants of compensatory equity-based awards, and/or the issuance of shares of common stock or securities with respect thereto, made pursuant to compensatory equity-based plans as described in this prospectus, provided that we shall cause each recipient of such grant to execute and deliver to the representatives a lock-up agreement if such recipient has not already delivered 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reacquisition or withholding of all or a portion of shares of common stock subject to a stock award to satisfy a tax withholding obligation in connection with the vesting or exercise of such stock award or to satisfy the purchase price or exercise price of such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(5)</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of a registration of Form S-8 to register shares of common stock issuable pursuant to any employee benefit plans, qualified stock option plans or other employee compensation plans,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(6)</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shares of common stock issuable pursuant to any non-employee director stock compensation plan or program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(7)</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provided that the aggregate number of shares of common stock or any other securities convertible into, or exercisable or exchangeable for, shares of common stock that we may issue or agree to issue pursuant to this clause (7) shall not exceed 10% of our total outstanding share capital immediately following this offering; and provided further, that the recipients of any such shares of common stock and securities issued pursuant to this clause (7) during the restricted period described above shall enter into a lock-up agreement on or prior to such issuance;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(8)</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of a trading plan on behalf of any of our shareholders, officers or directors pursuant to Rule 10b5-1 under the Exchange Act for the transfer of shares of our common stock, provided that (a) such plan does not provide for the transfer of common stock during the restricted period and (b)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With respect to our directors, officers and securityholders,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or other public announcement shall be required or shall be voluntarily made during the restricted period in connection with subsequent sales of common stock or other securities acquired in this offering or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of shares of common stock or any security convertible into common stock (i) as a bona fide gift, (ii) to an immediate family member or to any trust for the direct or indirect benefit of the holder or an immediate family member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provided that in the case of any transfer or distribution pursuant to this clause (2), (A) such transfer shall not involve a disposition for value, (B) each donee, distributee or transferee shall sign and deliver a lock-up agreement and (C) no public disclosure or filing shall be made voluntarily during the restricted period, and to the extent a filing under Section 16(a) of the Exchange Act is required during the restricted period as a result of transfers made pursuant to this clause (2), it shall clearly indicate that the filing relates to the circumstances described in this clause (2),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holder is a corporation, partnership, limited liability company, trust or other business entity, (i) transfers or distributions of shares of common stock or any security convertible into shares of common stock to current or former general or limited partners, managers or members, stockholders, other equityholders or direct or indirect affiliates (within the meaning of Rule 405 under the Securities Act) of the holder, or to the estates of any of the foregoing or (ii) transfers or distributions to any investment fund or other entity controlling, controlled by, managing or managed by or under common control with the holder or affiliates of the holder (including, for the avoidance of doubt, where the holder is a partnership, to its general partner or a successor partnership or fund, or any other funds managed by such partnership); </w:t>
            </w:r>
            <w:r>
              <w:rPr>
                <w:rFonts w:ascii="Times New Roman" w:hAnsi="Times New Roman"/>
                <w:i/>
                <w:sz w:val="20"/>
              </w:rPr>
              <w:t>provided</w:t>
            </w:r>
            <w:r>
              <w:rPr>
                <w:rFonts w:ascii="Times New Roman" w:hAnsi="Times New Roman"/>
                <w:sz w:val="20"/>
              </w:rPr>
              <w:t xml:space="preserve"> that, in the case of any transfer or distribution pursuant to this clause (3), (A) each transferee, donee or distributee shall sign and deliver a lock-up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or amendment of a trading plan on behalf of any of our stockholders, officers, or directors pursuant to Rule 10b5-1 under the Exchange Act for the transfer of shares of common stock, provided that (i) such plan does not provide for the transfer of shares of our common stock during the restricted period and (ii) to the extent a public announcement or filing under the Exchange Act, if any, is required of or voluntarily made by or on behalf of the holder or us regarding the establishment or amendment of such plan during the restricted period,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(5)</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our equity incentive plan or other equity award plan described in this prospectus; </w:t>
            </w:r>
            <w:r>
              <w:rPr>
                <w:rFonts w:ascii="Times New Roman" w:hAnsi="Times New Roman"/>
                <w:i/>
                <w:sz w:val="20"/>
              </w:rPr>
              <w:t>provided</w:t>
            </w:r>
            <w:r>
              <w:rPr>
                <w:rFonts w:ascii="Times New Roman" w:hAnsi="Times New Roman"/>
                <w:sz w:val="20"/>
              </w:rPr>
              <w:t xml:space="preserve">, that any remaining shares of common stock or other securities received upon such vesting, settlement or exercise shall be subject to the terms of the lock-up agreement; and </w:t>
            </w:r>
            <w:r>
              <w:rPr>
                <w:rFonts w:ascii="Times New Roman" w:hAnsi="Times New Roman"/>
                <w:i/>
                <w:sz w:val="20"/>
              </w:rPr>
              <w:t xml:space="preserve">provided </w:t>
            </w:r>
            <w:r>
              <w:rPr>
                <w:rFonts w:ascii="Times New Roman" w:hAnsi="Times New Roman"/>
                <w:sz w:val="20"/>
              </w:rPr>
              <w:t xml:space="preserve">further, that no public disclosure or filing shall be made voluntarily during the restricted period and, to the extent a filing under Section 16(a) of the Exchange Act is required during the restricted period as a result of transfers made pursuant to this clause (5), it shall clearly indicate that the filing relates to the circumstances described in this clause (5),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(6)</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that occurs by operation of law pursuant to a qualified domestic order or other court order in connection with a divorce settlement, provided that (i) the transferee shall sign and deliver a lock-up agreement, (ii) no public disclosure or filing shall be voluntarily made during the restricted period and (iii) any filing required under Section 16(a) of the Exchange Act during the restricted period shall clearly indicate in the footnotes thereto that the filing relates to the circumstances described in this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(7)</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to us (A) from any of our employees upon death, disability or termination of employment, in each case, of such employee or (B) pursuant to any contractual arrangement described in this prospectus or in an exhibit filed with the registration statement related to this offering and disclosed to the Representatives that provides for the repurchase of shares of common stock in connection with the termination of the holders employment with or service to us; provided that in the case of clause (B), no public disclosure or filing under Section 16(a) of the Exchange Act shall be required or shall be voluntarily made during the restricted period within the first 75 days after the date of this prospectus, and after such 75th day, to the extent a filing under Section 16(a) of the Exchange Act is required during the restricted period as a result of transfers made pursuant to this clause (7), it shall clearly indicate that the filing relates to the circumstances described in this clause (7) and no public disclosure or filing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(8)</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of shares of our redeemable convertible preferred stock into shares of common stock as described in this prospectus, provided that, in each case such shares shall continue to be subject to the restrictions on transfer set forth in the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(9)</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pursuant to a bona fide third- 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restrictions contained in the lock-up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Goldman Sachs &amp; Co. LLC, in their sole discretion, may release the common stock and other securities subject to the lock-up agreements described above in whole or in part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or subsection 73.3(1) of the </w:t>
      </w:r>
      <w:r>
        <w:rPr>
          <w:rFonts w:ascii="Times New Roman" w:hAnsi="Times New Roman"/>
          <w:i/>
          <w:sz w:val="20"/>
        </w:rPr>
        <w:t>Securities Act</w:t>
      </w:r>
      <w:r>
        <w:rPr>
          <w:rFonts w:ascii="Times New Roman" w:hAnsi="Times New Roman"/>
          <w:sz w:val="20"/>
        </w:rPr>
        <w:t>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EU Prospectus Regulation (as defined below), except that offers of shares may be made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the EU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EU Prospectus Regulation or supplement a prospectus pursuant to Article 23 of the EU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EU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shares in, from or otherwise involving the United Kingdom.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Section 85 of the FSMA or supplement a prospectus pursuant to Article 23 of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both"/>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(i)</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(ii)</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 on Collective Investment Schemes (the CISA). The investor protection afforded to acquirers of interests in collective investment schemes under the CISA does not extend to acquirers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both"/>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shall not be regarded as an offer to the public to purchase shares of common stock under the Israeli Securities Law, 5728 -1968, which requires a prospectus to be published and authorized by the Israel Securities Authority, if it complies with certain provisions of Section 15 of the Israeli Securities Law, 5728 -1968, including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prospectus in accordance with and subject to the Israeli Securities Law, 5728 -1968.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51455_19"/>
      <w:bookmarkEnd w:id="21"/>
      <w:r>
        <w:rPr>
          <w:rFonts w:ascii="Times New Roman" w:hAnsi="Times New Roman"/>
          <w:b/>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San Diego, California. The underwriters are being represented by Cooley LLP, San Diego, California. </w:t>
      </w:r>
    </w:p>
    <w:p>
      <w:pPr>
        <w:pStyle w:val="TextBody"/>
        <w:bidi w:val="0"/>
        <w:spacing w:before="480" w:after="0"/>
        <w:jc w:val="center"/>
        <w:rPr>
          <w:rFonts w:ascii="Times New Roman" w:hAnsi="Times New Roman"/>
          <w:b/>
          <w:sz w:val="20"/>
        </w:rPr>
      </w:pPr>
      <w:bookmarkStart w:id="22" w:name="toc551455_20"/>
      <w:bookmarkEnd w:id="22"/>
      <w:r>
        <w:rPr>
          <w:rFonts w:ascii="Times New Roman" w:hAnsi="Times New Roman"/>
          <w:b/>
          <w:sz w:val="20"/>
        </w:rPr>
        <w:t xml:space="preserve">EXPERTS </w:t>
      </w:r>
    </w:p>
    <w:p>
      <w:pPr>
        <w:pStyle w:val="TextBody"/>
        <w:bidi w:val="0"/>
        <w:spacing w:before="120" w:after="0"/>
        <w:jc w:val="both"/>
        <w:rPr>
          <w:rFonts w:ascii="Times New Roman" w:hAnsi="Times New Roman"/>
          <w:sz w:val="20"/>
        </w:rPr>
      </w:pPr>
      <w:r>
        <w:rPr>
          <w:rFonts w:ascii="Times New Roman" w:hAnsi="Times New Roman"/>
          <w:sz w:val="20"/>
        </w:rPr>
        <w:t xml:space="preserve">Ernst &amp; Young LLP, independent registered public accounting firm, has audited our financial statements at December 31, 2021 and 2022, and for each of the two years in the period ended December 31, 2022, as set forth in their report. Weve included our financial statements in the prospectus and elsewhere in the registration statement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3" w:name="toc551455_21"/>
      <w:bookmarkEnd w:id="23"/>
      <w:r>
        <w:rPr>
          <w:rFonts w:ascii="Times New Roman" w:hAnsi="Times New Roman"/>
          <w:b/>
          <w:sz w:val="20"/>
        </w:rPr>
        <w:t xml:space="preserve">WHERE YOU CAN FIND MORE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website at https://cgoncology.com.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bookmarkStart w:id="24" w:name="toc551455_22"/>
      <w:bookmarkStart w:id="25" w:name="toc1"/>
      <w:bookmarkEnd w:id="24"/>
      <w:bookmarkEnd w:id="25"/>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6"/>
        <w:gridCol w:w="140"/>
        <w:gridCol w:w="60"/>
        <w:gridCol w:w="457"/>
        <w:gridCol w:w="62"/>
      </w:tblGrid>
      <w:tr>
        <w:trPr/>
        <w:tc>
          <w:tcPr>
            <w:tcW w:w="948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as of and for the Years Ended December 31, 2021 and 2022</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vAlign w:val="bottom"/>
          </w:tcPr>
          <w:p>
            <w:pPr>
              <w:pStyle w:val="TableContents"/>
              <w:bidi w:val="0"/>
              <w:spacing w:before="0" w:after="0"/>
              <w:jc w:val="left"/>
              <w:rPr/>
            </w:pPr>
            <w:hyperlink w:anchor="fin551455_1">
              <w:r>
                <w:rPr>
                  <w:rStyle w:val="InternetLink"/>
                  <w:rFonts w:ascii="Times New Roman" w:hAnsi="Times New Roman"/>
                  <w:sz w:val="20"/>
                </w:rPr>
                <w:t>Report of Independent Registered Public Accounting Firm</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F-2</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2">
              <w:r>
                <w:rPr>
                  <w:rStyle w:val="InternetLink"/>
                  <w:rFonts w:ascii="Times New Roman" w:hAnsi="Times New Roman"/>
                  <w:sz w:val="20"/>
                </w:rPr>
                <w:t>Balance Sheets as of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F-3</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3">
              <w:r>
                <w:rPr>
                  <w:rStyle w:val="InternetLink"/>
                  <w:rFonts w:ascii="Times New Roman" w:hAnsi="Times New Roman"/>
                  <w:sz w:val="20"/>
                </w:rPr>
                <w:t>Statements of Operations and Comprehensive Loss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F-4</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4">
              <w:r>
                <w:rPr>
                  <w:rStyle w:val="InternetLink"/>
                  <w:rFonts w:ascii="Times New Roman" w:hAnsi="Times New Roman"/>
                  <w:sz w:val="20"/>
                </w:rPr>
                <w:t>Statements of Redeemable Convertible Preferred Stock and Stockholders Deficit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F-5</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5">
              <w:r>
                <w:rPr>
                  <w:rStyle w:val="InternetLink"/>
                  <w:rFonts w:ascii="Times New Roman" w:hAnsi="Times New Roman"/>
                  <w:sz w:val="20"/>
                </w:rPr>
                <w:t>Statements of Cash Flows for the years ended December  31, 2021 and 2022</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F-6</w:t>
            </w:r>
          </w:p>
        </w:tc>
        <w:tc>
          <w:tcPr>
            <w:tcW w:w="62" w:type="dxa"/>
            <w:tcBorders/>
            <w:vAlign w:val="bottom"/>
          </w:tcPr>
          <w:p>
            <w:pPr>
              <w:pStyle w:val="TableContents"/>
              <w:bidi w:val="0"/>
              <w:spacing w:before="0" w:after="283"/>
              <w:jc w:val="left"/>
              <w:rPr/>
            </w:pPr>
            <w:r>
              <w:rPr/>
              <w:t> </w:t>
            </w:r>
          </w:p>
        </w:tc>
      </w:tr>
      <w:tr>
        <w:trPr/>
        <w:tc>
          <w:tcPr>
            <w:tcW w:w="9486" w:type="dxa"/>
            <w:tcBorders/>
            <w:vAlign w:val="bottom"/>
          </w:tcPr>
          <w:p>
            <w:pPr>
              <w:pStyle w:val="TableContents"/>
              <w:bidi w:val="0"/>
              <w:spacing w:before="0" w:after="0"/>
              <w:jc w:val="left"/>
              <w:rPr/>
            </w:pPr>
            <w:hyperlink w:anchor="fin551455_6">
              <w:r>
                <w:rPr>
                  <w:rStyle w:val="InternetLink"/>
                  <w:rFonts w:ascii="Times New Roman" w:hAnsi="Times New Roman"/>
                  <w:sz w:val="20"/>
                </w:rPr>
                <w:t>Notes to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center"/>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86" w:type="dxa"/>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(Unaudited) as of and for the Nine Months Ended September 30, 2023</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pPr>
            <w:hyperlink w:anchor="fin551455_7">
              <w:r>
                <w:rPr>
                  <w:rStyle w:val="InternetLink"/>
                  <w:rFonts w:ascii="Times New Roman" w:hAnsi="Times New Roman"/>
                  <w:sz w:val="20"/>
                </w:rPr>
                <w:t xml:space="preserve">Unaudited Condensed Balance Sheets as of December 31, 2022 and September 30, 2023 </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8">
              <w:r>
                <w:rPr>
                  <w:rStyle w:val="InternetLink"/>
                  <w:rFonts w:ascii="Times New Roman" w:hAnsi="Times New Roman"/>
                  <w:sz w:val="20"/>
                </w:rPr>
                <w:t>Unaudited Condensed Statements of Operations and Comprehensive Loss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9">
              <w:r>
                <w:rPr>
                  <w:rStyle w:val="InternetLink"/>
                  <w:rFonts w:ascii="Times New Roman" w:hAnsi="Times New Roman"/>
                  <w:sz w:val="20"/>
                </w:rPr>
                <w:t>Unaudited Condensed Statements of Redeemable Convertible Preferred Stock and Stockholders Deficit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F-36</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10">
              <w:r>
                <w:rPr>
                  <w:rStyle w:val="InternetLink"/>
                  <w:rFonts w:ascii="Times New Roman" w:hAnsi="Times New Roman"/>
                  <w:sz w:val="20"/>
                </w:rPr>
                <w:t>Unaudited Condensed Statements of Cash Flows for the Nine Months Ended September 30, 2022 and 2023</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F-38</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551455_11">
              <w:r>
                <w:rPr>
                  <w:rStyle w:val="InternetLink"/>
                  <w:rFonts w:ascii="Times New Roman" w:hAnsi="Times New Roman"/>
                  <w:sz w:val="20"/>
                </w:rPr>
                <w:t>Notes to the Unaudited Condensed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fin551455_1"/>
      <w:bookmarkEnd w:id="26"/>
      <w:r>
        <w:rPr>
          <w:rFonts w:ascii="Times New Roman" w:hAnsi="Times New Roman"/>
          <w:b/>
          <w:sz w:val="20"/>
        </w:rPr>
        <w:t xml:space="preserve">Report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To the Stockholders and the Board of Directors of CG Oncology,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We have audited the accompanying balance sheets of CG Oncology, Inc. (the Company) as of December 31, 2021 and 2022,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2021 and 2022,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both"/>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both"/>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27, 2023 </w:t>
      </w:r>
    </w:p>
    <w:p>
      <w:pPr>
        <w:pStyle w:val="TextBody"/>
        <w:bidi w:val="0"/>
        <w:spacing w:before="0" w:after="0"/>
        <w:jc w:val="both"/>
        <w:rPr>
          <w:rFonts w:ascii="Times New Roman" w:hAnsi="Times New Roman"/>
          <w:sz w:val="20"/>
        </w:rPr>
      </w:pPr>
      <w:r>
        <w:rPr>
          <w:rFonts w:ascii="Times New Roman" w:hAnsi="Times New Roman"/>
          <w:sz w:val="20"/>
        </w:rPr>
        <w:t xml:space="preserve">except for the retroactive effect of the 1-for-9.535 reverse stock split as described in the seventh and eighth paragraphs of Note 14, as to which the date is January 18,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fin551455_2"/>
      <w:bookmarkEnd w:id="27"/>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20"/>
        <w:gridCol w:w="172"/>
        <w:gridCol w:w="194"/>
        <w:gridCol w:w="1773"/>
        <w:gridCol w:w="155"/>
        <w:gridCol w:w="172"/>
        <w:gridCol w:w="176"/>
        <w:gridCol w:w="1783"/>
        <w:gridCol w:w="160"/>
      </w:tblGrid>
      <w:tr>
        <w:trPr/>
        <w:tc>
          <w:tcPr>
            <w:tcW w:w="562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xml:space="preserve">2021            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xml:space="preserve">2022             </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Current assets: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53,607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88,143</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Marketable securities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55,338</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Prepaid expenses and other current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4,798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3,424</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Other receivables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303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current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58,407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147,208</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Property and equipment, net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86</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lease right-of-use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420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Other assets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assets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          </w:t>
            </w:r>
            <w:r>
              <w:rPr/>
              <w:t>58,692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          </w:t>
            </w:r>
            <w:r>
              <w:rPr/>
              <w:t>147,747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Liabilities, Redeemable Convertible Preferred Stock and 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Current liabilities: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Accounts payable</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773" w:type="dxa"/>
            <w:tcBorders/>
            <w:vAlign w:val="bottom"/>
          </w:tcPr>
          <w:p>
            <w:pPr>
              <w:pStyle w:val="TableContents"/>
              <w:bidi w:val="0"/>
              <w:spacing w:before="0" w:after="283"/>
              <w:jc w:val="right"/>
              <w:rPr/>
            </w:pPr>
            <w:r>
              <w:rPr/>
              <w:t>1,003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783" w:type="dxa"/>
            <w:tcBorders/>
            <w:vAlign w:val="bottom"/>
          </w:tcPr>
          <w:p>
            <w:pPr>
              <w:pStyle w:val="TableContents"/>
              <w:bidi w:val="0"/>
              <w:spacing w:before="0" w:after="283"/>
              <w:jc w:val="right"/>
              <w:rPr/>
            </w:pPr>
            <w:r>
              <w:rPr/>
              <w:t>985</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Long-term debt, current portion</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2,943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8,966</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Operating lease liabilities, current portion</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189</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Accrued expenses and other current liabilities</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5,289</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current liabilities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5,975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15,429</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Long-term debt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12,064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6,532</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Success fee liability, non-current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352</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lease liabilities, net of current portion</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257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liabilities</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18,440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22,570</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Commitments and contingencies (Note 5)</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Redeemable convertible preferred stock:</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A-1 redeemable convertible preferred stock, $0.0001 par value per share; 5,075,000 shares authorized, issued and outstanding as of December 31, 2021 and 2022; liquidation value of $3,570 as of December 31, 2021 and 2022.</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3,570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3,570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Series B redeemable convertible preferred stock, $0.0001 par value per share; 11,973,000 shares authorized, issued and outstanding as of December 31, 2021 and 2022; liquidation value of $10,000 as of December 31, 2021 and 2022.</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10,000</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C redeemable convertible preferred stock, $0.0001 par value per share; 73,598,283 shares authorized, issued and outstanding of December 31, 2021 and 2022; liquidation value of $22,000 as of December 31, 2021 and 2022.</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22,000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22,000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Series D redeemable convertible preferred stock, $0.0001 par value per share; 53,271,754 shares authorized, issued and outstanding as of December 31, 2021 and 2022; liquidation value of $47,300 as of December 31, 2021 and 2022.</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47,300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47,300</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E redeemable convertible preferred stock, $0.0001 par value per share; zero and 112,422,700 shares authorized, issued and outstanding as of December 31, 2021 and 2022, respectively; liquidation value of zero and $120,000 as of December 31, 2021 and 2022, respectively.</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120,000</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7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Common stock, $0.0001 par value per share; 263,000,000 and 393,500,000 shares authorized as of December 31, 2021 and 2022, respectively; 3,713,539 and 3,842,694 shares issued and outstanding at December 31, 2021 and 2022, respectively.</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Additional paid-in capital</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3,274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3,642</w:t>
            </w:r>
          </w:p>
        </w:tc>
        <w:tc>
          <w:tcPr>
            <w:tcW w:w="160"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Accumulated deficit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(45,892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(81,335</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19"/>
              </w:rPr>
            </w:pPr>
            <w:r>
              <w:rPr>
                <w:rFonts w:ascii="Times New Roman" w:hAnsi="Times New Roman"/>
                <w:sz w:val="19"/>
              </w:rPr>
              <w:t>Total stockholders deficit</w:t>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(42,618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(77,693</w:t>
            </w:r>
          </w:p>
        </w:tc>
        <w:tc>
          <w:tcPr>
            <w:tcW w:w="160" w:type="dxa"/>
            <w:tcBorders/>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7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liabilities, redeemable convertible preferred stock and stockholders deficit</w:t>
            </w:r>
          </w:p>
        </w:tc>
        <w:tc>
          <w:tcPr>
            <w:tcW w:w="1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58,692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783" w:type="dxa"/>
            <w:tcBorders/>
            <w:shd w:fill="CCEEFF" w:val="clear"/>
            <w:vAlign w:val="bottom"/>
          </w:tcPr>
          <w:p>
            <w:pPr>
              <w:pStyle w:val="TableContents"/>
              <w:bidi w:val="0"/>
              <w:spacing w:before="0" w:after="283"/>
              <w:jc w:val="right"/>
              <w:rPr/>
            </w:pPr>
            <w:r>
              <w:rPr/>
              <w:t>147,747</w:t>
            </w:r>
          </w:p>
        </w:tc>
        <w:tc>
          <w:tcPr>
            <w:tcW w:w="160" w:type="dxa"/>
            <w:tcBorders/>
            <w:shd w:fill="CCEEFF" w:val="clear"/>
            <w:vAlign w:val="bottom"/>
          </w:tcPr>
          <w:p>
            <w:pPr>
              <w:pStyle w:val="TableContents"/>
              <w:bidi w:val="0"/>
              <w:spacing w:before="0" w:after="283"/>
              <w:jc w:val="left"/>
              <w:rPr/>
            </w:pPr>
            <w:r>
              <w:rPr/>
              <w:t> </w:t>
            </w:r>
          </w:p>
        </w:tc>
      </w:tr>
      <w:tr>
        <w:trPr/>
        <w:tc>
          <w:tcPr>
            <w:tcW w:w="56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7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19"/>
        </w:rPr>
      </w:pPr>
      <w:r>
        <w:rPr>
          <w:rFonts w:ascii="Times New Roman" w:hAnsi="Times New Roman"/>
          <w:i/>
          <w:sz w:val="19"/>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fin551455_3"/>
      <w:bookmarkEnd w:id="28"/>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3"/>
        <w:gridCol w:w="501"/>
        <w:gridCol w:w="140"/>
        <w:gridCol w:w="1225"/>
        <w:gridCol w:w="155"/>
        <w:gridCol w:w="458"/>
        <w:gridCol w:w="140"/>
        <w:gridCol w:w="1225"/>
        <w:gridCol w:w="158"/>
      </w:tblGrid>
      <w:tr>
        <w:trPr/>
        <w:tc>
          <w:tcPr>
            <w:tcW w:w="6203"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3"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3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10,358</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191</w:t>
            </w:r>
          </w:p>
        </w:tc>
        <w:tc>
          <w:tcPr>
            <w:tcW w:w="158" w:type="dxa"/>
            <w:tcBorders/>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18,319</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29,029</w:t>
            </w:r>
          </w:p>
        </w:tc>
        <w:tc>
          <w:tcPr>
            <w:tcW w:w="158" w:type="dxa"/>
            <w:tcBorders/>
            <w:vAlign w:val="bottom"/>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4,645</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6,408</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22,964</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35,437</w:t>
            </w:r>
          </w:p>
        </w:tc>
        <w:tc>
          <w:tcPr>
            <w:tcW w:w="158" w:type="dxa"/>
            <w:tcBorders/>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(12,606</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(35,246</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(451</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218</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(196</w:t>
            </w:r>
          </w:p>
        </w:tc>
        <w:tc>
          <w:tcPr>
            <w:tcW w:w="158" w:type="dxa"/>
            <w:tcBorders/>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(233</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(35,443</w:t>
            </w:r>
          </w:p>
        </w:tc>
        <w:tc>
          <w:tcPr>
            <w:tcW w:w="158" w:type="dxa"/>
            <w:tcBorders/>
            <w:vAlign w:val="bottom"/>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(474</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(5,544</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(7,871</w:t>
            </w:r>
          </w:p>
        </w:tc>
        <w:tc>
          <w:tcPr>
            <w:tcW w:w="158" w:type="dxa"/>
            <w:tcBorders/>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20"/>
              </w:rPr>
            </w:pPr>
            <w:r>
              <w:rPr>
                <w:sz w:val="20"/>
              </w:rPr>
              <w:t>$</w:t>
            </w:r>
          </w:p>
        </w:tc>
        <w:tc>
          <w:tcPr>
            <w:tcW w:w="1225" w:type="dxa"/>
            <w:tcBorders/>
            <w:shd w:fill="CCEEFF" w:val="clear"/>
            <w:vAlign w:val="bottom"/>
          </w:tcPr>
          <w:p>
            <w:pPr>
              <w:pStyle w:val="TableContents"/>
              <w:bidi w:val="0"/>
              <w:spacing w:before="0" w:after="283"/>
              <w:jc w:val="right"/>
              <w:rPr>
                <w:sz w:val="20"/>
              </w:rPr>
            </w:pPr>
            <w:r>
              <w:rPr>
                <w:sz w:val="20"/>
              </w:rPr>
              <w:t>(18,383</w:t>
            </w:r>
          </w:p>
        </w:tc>
        <w:tc>
          <w:tcPr>
            <w:tcW w:w="155" w:type="dxa"/>
            <w:tcBorders/>
            <w:shd w:fill="CCEEFF" w:val="clear"/>
            <w:vAlign w:val="bottom"/>
          </w:tcPr>
          <w:p>
            <w:pPr>
              <w:pStyle w:val="TableContents"/>
              <w:bidi w:val="0"/>
              <w:spacing w:before="0" w:after="283"/>
              <w:jc w:val="left"/>
              <w:rPr>
                <w:sz w:val="20"/>
              </w:rPr>
            </w:pPr>
            <w:r>
              <w:rPr>
                <w:sz w:val="20"/>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20"/>
              </w:rPr>
            </w:pPr>
            <w:r>
              <w:rPr>
                <w:sz w:val="20"/>
              </w:rPr>
              <w:t>$</w:t>
            </w:r>
          </w:p>
        </w:tc>
        <w:tc>
          <w:tcPr>
            <w:tcW w:w="1225" w:type="dxa"/>
            <w:tcBorders/>
            <w:shd w:fill="CCEEFF" w:val="clear"/>
            <w:vAlign w:val="bottom"/>
          </w:tcPr>
          <w:p>
            <w:pPr>
              <w:pStyle w:val="TableContents"/>
              <w:bidi w:val="0"/>
              <w:spacing w:before="0" w:after="283"/>
              <w:jc w:val="right"/>
              <w:rPr>
                <w:sz w:val="20"/>
              </w:rPr>
            </w:pPr>
            <w:r>
              <w:rPr>
                <w:sz w:val="20"/>
              </w:rPr>
              <w:t>(43,788</w:t>
            </w:r>
          </w:p>
        </w:tc>
        <w:tc>
          <w:tcPr>
            <w:tcW w:w="158" w:type="dxa"/>
            <w:tcBorders/>
            <w:shd w:fill="CCEEFF" w:val="clear"/>
            <w:vAlign w:val="bottom"/>
          </w:tcPr>
          <w:p>
            <w:pPr>
              <w:pStyle w:val="TableContents"/>
              <w:bidi w:val="0"/>
              <w:spacing w:before="0" w:after="283"/>
              <w:jc w:val="left"/>
              <w:rPr>
                <w:sz w:val="20"/>
              </w:rPr>
            </w:pPr>
            <w:r>
              <w:rPr>
                <w:sz w:val="20"/>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20"/>
              </w:rPr>
            </w:pPr>
            <w:r>
              <w:rPr>
                <w:sz w:val="20"/>
              </w:rPr>
              <w:t>$</w:t>
            </w:r>
          </w:p>
        </w:tc>
        <w:tc>
          <w:tcPr>
            <w:tcW w:w="1225" w:type="dxa"/>
            <w:tcBorders/>
            <w:vAlign w:val="bottom"/>
          </w:tcPr>
          <w:p>
            <w:pPr>
              <w:pStyle w:val="TableContents"/>
              <w:bidi w:val="0"/>
              <w:spacing w:before="0" w:after="283"/>
              <w:jc w:val="right"/>
              <w:rPr>
                <w:sz w:val="20"/>
              </w:rPr>
            </w:pPr>
            <w:r>
              <w:rPr>
                <w:sz w:val="20"/>
              </w:rPr>
              <w:t>(5.04</w:t>
            </w:r>
          </w:p>
        </w:tc>
        <w:tc>
          <w:tcPr>
            <w:tcW w:w="155" w:type="dxa"/>
            <w:tcBorders/>
            <w:vAlign w:val="bottom"/>
          </w:tcPr>
          <w:p>
            <w:pPr>
              <w:pStyle w:val="TableContents"/>
              <w:bidi w:val="0"/>
              <w:spacing w:before="0" w:after="283"/>
              <w:jc w:val="left"/>
              <w:rPr>
                <w:sz w:val="20"/>
              </w:rPr>
            </w:pPr>
            <w:r>
              <w:rPr>
                <w:sz w:val="20"/>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20"/>
              </w:rPr>
            </w:pPr>
            <w:r>
              <w:rPr>
                <w:sz w:val="20"/>
              </w:rPr>
              <w:t>$</w:t>
            </w:r>
          </w:p>
        </w:tc>
        <w:tc>
          <w:tcPr>
            <w:tcW w:w="1225" w:type="dxa"/>
            <w:tcBorders/>
            <w:vAlign w:val="bottom"/>
          </w:tcPr>
          <w:p>
            <w:pPr>
              <w:pStyle w:val="TableContents"/>
              <w:bidi w:val="0"/>
              <w:spacing w:before="0" w:after="283"/>
              <w:jc w:val="right"/>
              <w:rPr>
                <w:sz w:val="20"/>
              </w:rPr>
            </w:pPr>
            <w:r>
              <w:rPr>
                <w:sz w:val="20"/>
              </w:rPr>
              <w:t>(11.71</w:t>
            </w:r>
          </w:p>
        </w:tc>
        <w:tc>
          <w:tcPr>
            <w:tcW w:w="158" w:type="dxa"/>
            <w:tcBorders/>
            <w:vAlign w:val="bottom"/>
          </w:tcPr>
          <w:p>
            <w:pPr>
              <w:pStyle w:val="TableContents"/>
              <w:bidi w:val="0"/>
              <w:spacing w:before="0" w:after="283"/>
              <w:jc w:val="left"/>
              <w:rPr>
                <w:sz w:val="20"/>
              </w:rPr>
            </w:pPr>
            <w:r>
              <w:rPr>
                <w:sz w:val="20"/>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r>
              <w:rPr/>
              <w:t>3,650,543</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r>
              <w:rPr/>
              <w:t>3,740,892</w:t>
            </w:r>
          </w:p>
        </w:tc>
        <w:tc>
          <w:tcPr>
            <w:tcW w:w="158" w:type="dxa"/>
            <w:tcBorders/>
            <w:shd w:fill="CCEEFF" w:val="clear"/>
            <w:vAlign w:val="bottom"/>
          </w:tcPr>
          <w:p>
            <w:pPr>
              <w:pStyle w:val="TableContents"/>
              <w:bidi w:val="0"/>
              <w:spacing w:before="0" w:after="283"/>
              <w:jc w:val="left"/>
              <w:rPr/>
            </w:pPr>
            <w:r>
              <w:rPr/>
              <w:t> </w:t>
            </w:r>
          </w:p>
        </w:tc>
      </w:tr>
      <w:tr>
        <w:trPr/>
        <w:tc>
          <w:tcPr>
            <w:tcW w:w="620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fin551455_4"/>
      <w:bookmarkEnd w:id="29"/>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Redeemable Convertible Preferred Stock and Stockholders Deficit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In thousands, except share amounts)</w:t>
      </w:r>
      <w:r>
        <w:rPr>
          <w:rFonts w:ascii="Times New Roman" w:hAnsi="Times New Roman"/>
          <w:sz w:val="20"/>
        </w:rPr>
        <w:t xml:space="preserve"> </w:t>
      </w:r>
    </w:p>
    <w:p>
      <w:pPr>
        <w:pStyle w:val="TextBody"/>
        <w:bidi w:val="0"/>
        <w:spacing w:before="0" w:after="0"/>
        <w:jc w:val="left"/>
        <w:rPr/>
      </w:pPr>
      <w:r>
        <w:rPr/>
        <w:t> </w:t>
      </w:r>
    </w:p>
    <w:tbl>
      <w:tblPr>
        <w:tblW w:w="18985" w:type="dxa"/>
        <w:jc w:val="center"/>
        <w:tblInd w:w="0" w:type="dxa"/>
        <w:tblLayout w:type="fixed"/>
        <w:tblCellMar>
          <w:top w:w="0" w:type="dxa"/>
          <w:left w:w="0" w:type="dxa"/>
          <w:bottom w:w="0" w:type="dxa"/>
          <w:right w:w="0" w:type="dxa"/>
        </w:tblCellMar>
      </w:tblPr>
      <w:tblGrid>
        <w:gridCol w:w="1010"/>
        <w:gridCol w:w="60"/>
        <w:gridCol w:w="60"/>
        <w:gridCol w:w="980"/>
        <w:gridCol w:w="60"/>
        <w:gridCol w:w="60"/>
        <w:gridCol w:w="172"/>
        <w:gridCol w:w="688"/>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220"/>
        <w:gridCol w:w="60"/>
        <w:gridCol w:w="60"/>
        <w:gridCol w:w="140"/>
        <w:gridCol w:w="800"/>
        <w:gridCol w:w="60"/>
        <w:gridCol w:w="60"/>
        <w:gridCol w:w="60"/>
        <w:gridCol w:w="980"/>
        <w:gridCol w:w="60"/>
        <w:gridCol w:w="60"/>
        <w:gridCol w:w="602"/>
        <w:gridCol w:w="258"/>
        <w:gridCol w:w="60"/>
        <w:gridCol w:w="60"/>
        <w:gridCol w:w="220"/>
        <w:gridCol w:w="880"/>
        <w:gridCol w:w="155"/>
        <w:gridCol w:w="60"/>
        <w:gridCol w:w="214"/>
        <w:gridCol w:w="1156"/>
        <w:gridCol w:w="155"/>
        <w:gridCol w:w="60"/>
        <w:gridCol w:w="209"/>
        <w:gridCol w:w="1131"/>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A-1</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53,271,754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3,602,186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1,917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(33,053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(31,136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111,393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53,271,754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3,713,579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(45,892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(42,618</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E redeemable convertible preferred stock (inclusive of deemed dividend of $474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129,115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(35,443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73,598,283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3,842,694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(81,335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(77,693</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fin551455_5"/>
      <w:bookmarkEnd w:id="30"/>
      <w:r>
        <w:rPr>
          <w:rFonts w:ascii="Times New Roman" w:hAnsi="Times New Roman"/>
          <w:b/>
          <w:sz w:val="20"/>
        </w:rPr>
        <w:t xml:space="preserve">CG Oncology, Inc. </w:t>
      </w:r>
    </w:p>
    <w:p>
      <w:pPr>
        <w:pStyle w:val="TextBody"/>
        <w:bidi w:val="0"/>
        <w:spacing w:before="8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7"/>
        <w:gridCol w:w="194"/>
        <w:gridCol w:w="173"/>
        <w:gridCol w:w="1291"/>
        <w:gridCol w:w="155"/>
        <w:gridCol w:w="142"/>
        <w:gridCol w:w="173"/>
        <w:gridCol w:w="1291"/>
        <w:gridCol w:w="159"/>
      </w:tblGrid>
      <w:tr>
        <w:trPr/>
        <w:tc>
          <w:tcPr>
            <w:tcW w:w="662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(35,443</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Adjustments to reconcile net loss to net cash used in 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Depreciation and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15</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Amortization of loan fees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Final payment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448</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Mark to market on success fee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237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Success fee amortization</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Forgiveness of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(372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1,112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676</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Non-cash lease expense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17</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Changes in operating assets and liabilities: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Prepaid and current assets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(1,996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1,073</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Other assets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52</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Accounts payable</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578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Accrued expenses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3,332</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used in operating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(13,654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(29,804</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Investing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Purchase of securities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(55,338</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Purchase of property and equipment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used in investing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(55,352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Financing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from issuance of Series E redeemable convertible preferred stock, net of issuance costs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119,526</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Proceeds from issuance of long-term debt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14,959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from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Proceeds from exercise of common stock options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166</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provided by financing activities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15,446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119,692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Net increase in cash, cash equivalent and restricted cash</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1,695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34,536</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beginning of year</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51,912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53,607</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end of period</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      </w:t>
            </w:r>
            <w:r>
              <w:rPr/>
              <w:t>53,607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      </w:t>
            </w:r>
            <w:r>
              <w:rPr/>
              <w:t>88,143</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Supplemental Disclosure of Cash Flow Information: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Cash paid for interest</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1,091</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paid for taxes</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Supplemental Schedule of Noncash Investing And Financing Activities: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Forgiveness of PPP loan</w:t>
            </w:r>
          </w:p>
        </w:tc>
        <w:tc>
          <w:tcPr>
            <w:tcW w:w="19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372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17"/>
              </w:rPr>
            </w:pPr>
            <w:r>
              <w:rPr>
                <w:rFonts w:ascii="Times New Roman" w:hAnsi="Times New Roman"/>
                <w:sz w:val="17"/>
              </w:rPr>
              <w:t>Operating lease right-of-use asset obtained in exchange for lease liabilities</w:t>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474</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fin551455_6"/>
      <w:bookmarkEnd w:id="31"/>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both"/>
        <w:rPr>
          <w:rFonts w:ascii="Times New Roman" w:hAnsi="Times New Roman"/>
          <w:sz w:val="20"/>
        </w:rPr>
      </w:pPr>
      <w:r>
        <w:rPr>
          <w:rFonts w:ascii="Times New Roman" w:hAnsi="Times New Roman"/>
          <w:sz w:val="20"/>
        </w:rPr>
        <w:t xml:space="preserve">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financial statements are prepared in conformity with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Managements Plans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the Company had approximately $143.5 million of cash, cash equivalents and marketable securities and working capital of approximately $131.8 million. The revenue and income potential of the Companys business and market are unproven. The Company has experienced net losses and negative cash flows from operations since its inception and, as of December 31, 2022, the Company had an accumulated deficit of $81.3 million. During the year ended December 31, 2022, the Company incurred a net loss of $35.4 million and negative cash flows from operations of $29.8 million. The Company will continue to incur significant costs and expenses related to its ongoing operations until it successfully develops, obtains regulatory approval and gains market acceptance of cretostimogene and achieves a level of revenues adequate to support the Companys operations. </w:t>
      </w:r>
    </w:p>
    <w:p>
      <w:pPr>
        <w:pStyle w:val="TextBody"/>
        <w:bidi w:val="0"/>
        <w:spacing w:before="240" w:after="0"/>
        <w:jc w:val="both"/>
        <w:rPr>
          <w:rFonts w:ascii="Times New Roman" w:hAnsi="Times New Roman"/>
          <w:sz w:val="20"/>
        </w:rPr>
      </w:pPr>
      <w:r>
        <w:rPr>
          <w:rFonts w:ascii="Times New Roman" w:hAnsi="Times New Roman"/>
          <w:sz w:val="20"/>
        </w:rPr>
        <w:t xml:space="preserve">From inception to December 31, 2022, the Company has funded its operations through the issuance of shares of its redeemable convertible preferred stock and long-term debt. The Company believes that its current capital resources, which consist of cash, cash equivalents and marketable securities, will be sufficient to fund operations through at least the next twelve months from the date the accompanying financial statements are issued based on its expected cash needs. As the Company continues to pursue its business plan, it expects to finance its operations through equity offerings, debt financings, or other capital sources, including current or potential future collaborations, licenses, and other similar arrangements. However, there can be no assurance that any additional financing or strategic arrangements will be available to the Company on acceptable terms, if at all. If events or circumstances occur such that the Company does not obtain additional funding, it may be necessary to significantly reduce its scope of operations to reduce the current rate of spending through actions such as reductions in staff and the need to delay, limit, reduce or terminate its product development or future commercialization efforts or grant rights to develop and market product candidates that it would otherwise prefer to develop and market itself, which could have a material adverse effect on the Companys business, results of operations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GAAP requires management to make estimates, assumptions, and judgements that affect the reported amounts of assets, liabilities, expenses,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disclosures in the accompanying notes. The Company bases its estimates, assumptions and judgements on historical experience when available and on various factors that it believes to be reasonable under the circumstances as of the date of the accompanying financial statements including the fair value of common stock, stock-based compensation expense, accrued expenses,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financial statements under different assumptions or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Marketable Securities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 liquid investments and instruments with original maturities of 90 days or less that can be liquidated without prior notice or penalty to be cash equivalents. Cash equivalents consisted primarily of demand deposit accounts, insurance deposits and short-term U.S. Treasury money market funds as of December 31, 2021 and 2022. Marketable securities represent fixed income securities which consists of U.S. Treasury bills with maturities greater than 90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Risks </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that subject the Company to significant concentrations of credit risk consist primarily of cash and cash equivalents. The Company deposits cash and cash equivalents with high credit quality financial institutions in the United States. These deposits are held in checking and money market accounts and may, from time to time, exceed the federally insured amounts. The Company has not experienced any losses in such accounts. The Company believes it is not exposed to any significant risk in its cash and cash equivalents. The primary objectives of the Companys investment portfolio are the preservation of capital and maintenance of liquidity.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subject to risks common to companies in the biopharmaceutical industry, including, but not limited to, risks related to the successful development and commercialization of product candidates, fluctuations in operating results and financial risks, the ability to successfully raise additional funds when needed, protection of proprietary rights and patent risks, patent litigation, compliance with government regulations, dependence on key personnel and collaboration partners, and competition from competing products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applies fair value measurements to record fair value adjustments to certain assets and liabilities and to determine fair value disclosures. The Companys financial instruments consist principally of cash, cash equivalents, marketable securities, accounts payable and operating lease liabilities. Fair value is measured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1</w:t>
      </w:r>
      <w:r>
        <w:rPr>
          <w:rFonts w:ascii="Times New Roman" w:hAnsi="Times New Roman"/>
          <w:sz w:val="20"/>
        </w:rPr>
        <w:t xml:space="preserve">Observable inputs such as unadjusted quoted prices in active markets that are accessible at the measurement date for identical unrestricted assets or liabilities the Company has the ability to access;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2</w:t>
      </w:r>
      <w:r>
        <w:rPr>
          <w:rFonts w:ascii="Times New Roman" w:hAnsi="Times New Roman"/>
          <w:sz w:val="20"/>
        </w:rPr>
        <w:t xml:space="preserve">Inputs (other than quoted prices included within Level 1) that are observable for the asset or liability, either directly or indirectly, for substantially the full term of the asset or liability. These include quoted prices for similar assets or liabilities in active markets and quoted prices for identical or similar assets or liabilities in markets that are not active; and </w:t>
      </w:r>
    </w:p>
    <w:p>
      <w:pPr>
        <w:pStyle w:val="TextBody"/>
        <w:bidi w:val="0"/>
        <w:spacing w:before="120" w:after="0"/>
        <w:jc w:val="both"/>
        <w:rPr>
          <w:rFonts w:ascii="Times New Roman" w:hAnsi="Times New Roman"/>
          <w:sz w:val="20"/>
        </w:rPr>
      </w:pPr>
      <w:r>
        <w:rPr>
          <w:rFonts w:ascii="Times New Roman" w:hAnsi="Times New Roman"/>
          <w:b/>
          <w:i/>
          <w:sz w:val="20"/>
        </w:rPr>
        <w:t>Level</w:t>
      </w:r>
      <w:r>
        <w:rPr>
          <w:rFonts w:ascii="Times New Roman" w:hAnsi="Times New Roman"/>
          <w:sz w:val="20"/>
        </w:rPr>
        <w:t xml:space="preserve"> </w:t>
      </w:r>
      <w:r>
        <w:rPr>
          <w:rFonts w:ascii="Times New Roman" w:hAnsi="Times New Roman"/>
          <w:b/>
          <w:sz w:val="20"/>
        </w:rPr>
        <w:t>3</w:t>
      </w:r>
      <w:r>
        <w:rPr>
          <w:rFonts w:ascii="Times New Roman" w:hAnsi="Times New Roman"/>
          <w:sz w:val="20"/>
        </w:rPr>
        <w:t xml:space="preserve">Unobservable inputs that are significant to the fair value measurement and reflect the reporting entitys use of significant management judgment and assumptions when there is little or no market data. Level 3 assets and liabilities include those whose fair value measurements are determined using pricing models, discounted cash flow methodologies or similar valuation techniques and significant management judgment or estimation. </w:t>
      </w:r>
    </w:p>
    <w:p>
      <w:pPr>
        <w:pStyle w:val="TextBody"/>
        <w:bidi w:val="0"/>
        <w:spacing w:before="240" w:after="0"/>
        <w:jc w:val="both"/>
        <w:rPr>
          <w:rFonts w:ascii="Times New Roman" w:hAnsi="Times New Roman"/>
          <w:sz w:val="20"/>
        </w:rPr>
      </w:pPr>
      <w:r>
        <w:rPr>
          <w:rFonts w:ascii="Times New Roman" w:hAnsi="Times New Roman"/>
          <w:sz w:val="20"/>
        </w:rPr>
        <w:t xml:space="preserve">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There were no differences between net loss and comprehensive loss presented in the statements of operations for the years ended December 31, 2021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are stated at cost, less accumulated depreciation. Depreciation is calculated over five years, which equals the estimated useful lives of the respective assets. </w:t>
      </w:r>
    </w:p>
    <w:p>
      <w:pPr>
        <w:pStyle w:val="TextBody"/>
        <w:bidi w:val="0"/>
        <w:spacing w:before="240" w:after="0"/>
        <w:jc w:val="both"/>
        <w:rPr>
          <w:rFonts w:ascii="Times New Roman" w:hAnsi="Times New Roman"/>
          <w:sz w:val="20"/>
        </w:rPr>
      </w:pPr>
      <w:r>
        <w:rPr>
          <w:rFonts w:ascii="Times New Roman" w:hAnsi="Times New Roman"/>
          <w:sz w:val="20"/>
        </w:rPr>
        <w:t xml:space="preserve">The initial cost of property and equipment consists of its purchase price and any directly attributable costs of bringing the asset to its working condition and location for its intended use. Expenditures incurred after the assets have been put into operation, such as repairs and maintenance, are charged to expense in the period in which the costs are incurred. Major replacements, improvements, and additions are capitalized in accordance with Company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evaluates its long-lived assets, which consist of property and equipment and operating lease right-of-use assets, for impairment at least annually and whenever events or changes in circumstances indicate that the carrying value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use of the assets. If the asset is considered to be impaired, the amount of any impairment is measured as the difference between the carrying value and the fair value of the impaired asset. The Company recognized no impairment losses for the years ended December 31, 2021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w:t>
      </w:r>
    </w:p>
    <w:p>
      <w:pPr>
        <w:pStyle w:val="TextBody"/>
        <w:bidi w:val="0"/>
        <w:spacing w:before="120" w:after="0"/>
        <w:jc w:val="both"/>
        <w:rPr>
          <w:rFonts w:ascii="Times New Roman" w:hAnsi="Times New Roman"/>
          <w:sz w:val="20"/>
        </w:rPr>
      </w:pPr>
      <w:r>
        <w:rPr>
          <w:rFonts w:ascii="Times New Roman" w:hAnsi="Times New Roman"/>
          <w:sz w:val="20"/>
        </w:rPr>
        <w:t xml:space="preserve">On March 27, 2020, President Trump signed into law the Coronavirus Aid, Relief and Economic Security Act (CARES Act). The Company entered into a loan agreement (the PPP Loan) with Silicon Valley Bank (SVB) under the Paycheck Protection Program (the PPP), which is part of the CARES Act administered by the U.S. Small Business Administration (SBA). As part of the application for these funds, the Company, in good faith, certified that the then current economic uncertainty made the loan request necessary to support the ongoing operations of the Company. The certification further required the Company to take into account its current business activity and its ability to access other sources of liquidity sufficient to support ongoing operations in a manner that was not significantly detrimental to the business. The Company recorded the entire amount of the PPP Loan as debt. </w:t>
      </w:r>
    </w:p>
    <w:p>
      <w:pPr>
        <w:pStyle w:val="TextBody"/>
        <w:bidi w:val="0"/>
        <w:spacing w:before="240" w:after="0"/>
        <w:jc w:val="both"/>
        <w:rPr>
          <w:rFonts w:ascii="Times New Roman" w:hAnsi="Times New Roman"/>
          <w:sz w:val="20"/>
        </w:rPr>
      </w:pPr>
      <w:r>
        <w:rPr>
          <w:rFonts w:ascii="Times New Roman" w:hAnsi="Times New Roman"/>
          <w:sz w:val="20"/>
        </w:rPr>
        <w:t xml:space="preserve">The Company applied for forgiveness of the PPP Loan of $0.4 million in 2021. In 2021, the Company received a confirmation notice from SVB that the forgiveness of the PPP Loan was approved by the SBA.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At the inception of a contract, the Company determines whether the arrangement is or contains a lease based on the facts and circumstances present. The Company had no finance leases as of December 31, 2021 and 2022. </w:t>
      </w:r>
    </w:p>
    <w:p>
      <w:pPr>
        <w:pStyle w:val="TextBody"/>
        <w:bidi w:val="0"/>
        <w:spacing w:before="240" w:after="0"/>
        <w:jc w:val="both"/>
        <w:rPr>
          <w:rFonts w:ascii="Times New Roman" w:hAnsi="Times New Roman"/>
          <w:sz w:val="20"/>
        </w:rPr>
      </w:pPr>
      <w:r>
        <w:rPr>
          <w:rFonts w:ascii="Times New Roman" w:hAnsi="Times New Roman"/>
          <w:sz w:val="20"/>
        </w:rPr>
        <w:t xml:space="preserve">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The Company elects the practical expedient to exclude short-term agreements of less than 12 months from capitalization. The Company enters into various operating leases for office space. The leases expire at various dates, have various options to renew, and may contain escalation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Rent expense on 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balance sheets. Landlord improvement allowances and other such lease incentives are recorded as property and equipment and as a reduction of the right-of-use leased assets and are amortized on a straight-line basis as a reduction to operating lease costs. The key estimates for the Companys leases include the incremental borrowing rate used to determine the present value of lease payments and the lease term. The Companys leases generally do not include an implicit rate. Management determines the incremental borrowing rate based on the information available at lease commencement. </w:t>
      </w:r>
    </w:p>
    <w:p>
      <w:pPr>
        <w:pStyle w:val="TextBody"/>
        <w:bidi w:val="0"/>
        <w:spacing w:before="240" w:after="0"/>
        <w:jc w:val="both"/>
        <w:rPr>
          <w:rFonts w:ascii="Times New Roman" w:hAnsi="Times New Roman"/>
          <w:sz w:val="20"/>
        </w:rPr>
      </w:pPr>
      <w:r>
        <w:rPr>
          <w:rFonts w:ascii="Times New Roman" w:hAnsi="Times New Roman"/>
          <w:sz w:val="20"/>
        </w:rPr>
        <w:t xml:space="preserve">Operating lease right-of-use assets are initially measured at cost, which comprises the initial amount of the lease liability adjusted for lease payments made at or before the lease commencement date, plus any initial direct costs incurred less any lease incentives received. Operating lease right-of-use assets are subsequently measured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The Company entered into development and license agreements with Lepu Biotech Co., Ltd. (Lepu) and Kissei Pharmaceutical Co., Ltd. (Kissei), collectively referred to as the License and Collaboration Agreements. See Note 6 for a description of the License and Collaboration Agreements. </w:t>
      </w:r>
    </w:p>
    <w:p>
      <w:pPr>
        <w:pStyle w:val="TextBody"/>
        <w:bidi w:val="0"/>
        <w:spacing w:before="240" w:after="0"/>
        <w:jc w:val="both"/>
        <w:rPr>
          <w:rFonts w:ascii="Times New Roman" w:hAnsi="Times New Roman"/>
          <w:sz w:val="20"/>
        </w:rPr>
      </w:pPr>
      <w:r>
        <w:rPr>
          <w:rFonts w:ascii="Times New Roman" w:hAnsi="Times New Roman"/>
          <w:sz w:val="20"/>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hAnsi="Times New Roman"/>
          <w:i/>
          <w:sz w:val="20"/>
        </w:rPr>
        <w:t>Collaborative Arrangements</w:t>
      </w:r>
      <w:r>
        <w:rPr>
          <w:rFonts w:ascii="Times New Roman" w:hAnsi="Times New Roman"/>
          <w:sz w:val="20"/>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components of the collaboration are deemed to be within the scope of ASC 808 and which components of the collaboration are more reflective of a vendor-customer relationship and therefore within the scope of ASC 606. </w:t>
      </w:r>
    </w:p>
    <w:p>
      <w:pPr>
        <w:pStyle w:val="TextBody"/>
        <w:bidi w:val="0"/>
        <w:spacing w:before="240" w:after="0"/>
        <w:jc w:val="both"/>
        <w:rPr>
          <w:rFonts w:ascii="Times New Roman" w:hAnsi="Times New Roman"/>
          <w:sz w:val="20"/>
        </w:rPr>
      </w:pPr>
      <w:r>
        <w:rPr>
          <w:rFonts w:ascii="Times New Roman" w:hAnsi="Times New Roman"/>
          <w:sz w:val="20"/>
        </w:rPr>
        <w:t xml:space="preserve">For units of account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w:t>
      </w:r>
    </w:p>
    <w:p>
      <w:pPr>
        <w:pStyle w:val="TextBody"/>
        <w:bidi w:val="0"/>
        <w:spacing w:before="240" w:after="0"/>
        <w:jc w:val="both"/>
        <w:rPr>
          <w:rFonts w:ascii="Times New Roman" w:hAnsi="Times New Roman"/>
          <w:sz w:val="20"/>
        </w:rPr>
      </w:pPr>
      <w:r>
        <w:rPr>
          <w:rFonts w:ascii="Times New Roman" w:hAnsi="Times New Roman"/>
          <w:sz w:val="20"/>
        </w:rPr>
        <w:t xml:space="preserve">For units of account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Companys performance obligations under the terms of these agreements include a license grant, research and development services or customer options, depending on the terms of the License and Collaboration Agreement. Payments to the Company include a non-refundable upfront payment, payments based upon the achievement of development and commercial milestones, and royalties on product sales under the License and Collaboration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milestones </w:t>
      </w:r>
    </w:p>
    <w:p>
      <w:pPr>
        <w:pStyle w:val="TextBody"/>
        <w:bidi w:val="0"/>
        <w:spacing w:before="120" w:after="0"/>
        <w:jc w:val="both"/>
        <w:rPr>
          <w:rFonts w:ascii="Times New Roman" w:hAnsi="Times New Roman"/>
          <w:sz w:val="20"/>
        </w:rPr>
      </w:pPr>
      <w:r>
        <w:rPr>
          <w:rFonts w:ascii="Times New Roman" w:hAnsi="Times New Roman"/>
          <w:sz w:val="20"/>
        </w:rPr>
        <w:t xml:space="preserve">The License and Collaboration Agreements include milestone payments that are triggered by the achievement of development milestones. These milestone payments represent variable consideration that are not initially recognized within the transaction price. Revenue from milestones will be recognized at the time the specified milestone events have been achieved. </w:t>
      </w:r>
    </w:p>
    <w:p>
      <w:pPr>
        <w:pStyle w:val="TextBody"/>
        <w:bidi w:val="0"/>
        <w:spacing w:before="360" w:after="0"/>
        <w:jc w:val="left"/>
        <w:rPr>
          <w:rFonts w:ascii="Times New Roman" w:hAnsi="Times New Roman"/>
          <w:i/>
          <w:sz w:val="20"/>
        </w:rPr>
      </w:pPr>
      <w:r>
        <w:rPr>
          <w:rFonts w:ascii="Times New Roman" w:hAnsi="Times New Roman"/>
          <w:i/>
          <w:sz w:val="20"/>
        </w:rPr>
        <w:t xml:space="preserve">Sales milestones and royalty payments </w:t>
      </w:r>
    </w:p>
    <w:p>
      <w:pPr>
        <w:pStyle w:val="TextBody"/>
        <w:bidi w:val="0"/>
        <w:spacing w:before="120" w:after="0"/>
        <w:jc w:val="both"/>
        <w:rPr>
          <w:rFonts w:ascii="Times New Roman" w:hAnsi="Times New Roman"/>
          <w:sz w:val="20"/>
        </w:rPr>
      </w:pPr>
      <w:r>
        <w:rPr>
          <w:rFonts w:ascii="Times New Roman" w:hAnsi="Times New Roman"/>
          <w:sz w:val="20"/>
        </w:rPr>
        <w:t xml:space="preserve">The License and Collaboration Agreements also include certain sales-based milestone and royalty payments upon successful commercialization of a licensed product. In accordance with ASC 606, the Company recognizes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revenue from sales-based milestone and royalty payments at the later of: (i) the occurrence of the subsequent sale; or (ii) the performance obligation to which some or all of the sales-based milestone or royalty payments has been allocated or has been satisfied. The Company anticipates recognizing these milestones and royalty payments if and when subsequent sales are generated.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(R&amp;D) expenses consist of costs incurred for R&amp;D of its product candidate and are recorded to operating expenses when incurred. The Companys R&amp;D expenses consist primarily of costs incurred in performing R&amp;D activities, including personnel-related expenses such as salaries, stock-based compensation and benefits, as well as allocated facilities costs, dues and subscriptions and external costs of outside vendors engaged as contract research organization (CRO), contract manufacturers, consultants and other third parties to conduct and support our clinical trials and preclinical studies. The Company accrues expenses related to development activities performed by third parties based on an evaluation of services received and efforts expended pursuant to the terms of the contractual arrangements. Payments under some of these contracts depend on clinical trial milestones. There may be instances in which payments made to the Companys vendors will exceed the level of services provided and result in a prepayment of expenses. In accruing service fees, the Company estimates the time period over which services will be performed and the level of effort to be expended in each period. If the actual timing of the performance of services or the level of effort varies from the estimate, the Company will adjust the accrual or prepaid expense accordingly. Costs to acquire technologies to be used in R&amp;D that have not reached technological feasibility and have no alternative future use are also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2021 and 2022, the Company had two stock-based compensation plans, the 2015 Equity Incentive Plan (the 2015 Plan) and 2022 Incentive Award Plan (the 2022 Plan), which are more fully described in Note 9. </w:t>
      </w:r>
    </w:p>
    <w:p>
      <w:pPr>
        <w:pStyle w:val="TextBody"/>
        <w:bidi w:val="0"/>
        <w:spacing w:before="240" w:after="0"/>
        <w:jc w:val="both"/>
        <w:rPr>
          <w:rFonts w:ascii="Times New Roman" w:hAnsi="Times New Roman"/>
          <w:sz w:val="20"/>
        </w:rPr>
      </w:pPr>
      <w:r>
        <w:rPr>
          <w:rFonts w:ascii="Times New Roman" w:hAnsi="Times New Roman"/>
          <w:sz w:val="20"/>
        </w:rPr>
        <w:t xml:space="preserve">The Company periodically grants equity-based payment awards in the form of stock options to employees, directors and non-employees and records stock-based compensation expenses for awards of stock-based payments based on their estimated fair value at the grant date. The Company recognizes stock-based compensation expense for all equity-based payments, including stock options. Stock-based compensation costs are calculated based on the estimated fair value of the underlying option using the Black-Scholes option pricing model on the date of grant for stock options and are recognized as expense in the accompanying statement of operations and comprehensive loss on a straight-line basis over the requisite service period, which is the vesting period. Determining the appropriate fair value model and related input assumptions requires judgment, including estimating the fair value of the Companys common stock, stock price volatility, and expected term. </w:t>
      </w:r>
    </w:p>
    <w:p>
      <w:pPr>
        <w:pStyle w:val="TextBody"/>
        <w:bidi w:val="0"/>
        <w:spacing w:before="240" w:after="0"/>
        <w:jc w:val="both"/>
        <w:rPr>
          <w:rFonts w:ascii="Times New Roman" w:hAnsi="Times New Roman"/>
          <w:sz w:val="20"/>
        </w:rPr>
      </w:pPr>
      <w:r>
        <w:rPr>
          <w:rFonts w:ascii="Times New Roman" w:hAnsi="Times New Roman"/>
          <w:sz w:val="20"/>
        </w:rPr>
        <w:t xml:space="preserve">Given the absence of a public trading market, the fair value of the Companys common stock is determined by the Companys Board of Directors (the Board) at the time of each option grant by considering a number of objective and subjective factors. These factors include the valuation of a select group of public peer companies within the industry that focus on biotechnology that the Board believes is comparable to the Companys operations; operating and financial performance; the lack of liquidity of the common stock and trends in the broader economy and medical device industry also impact the determination of the fair value of the common stock. In addition, the Company regularly engages a third-party valuation specialist to assist with estimates related to the valuation of the Companys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risk-free interest rate used is based on the published U.S. Department of Treasury interest rates in effect at the time of stock option grant for zero coupon U.S. Treasury notes with maturities approximating each grants expected 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dividend yield is zero as the Company has not paid dividends and does not anticipate paying a cash dividend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expected term for options granted is calculated using the simplified method and represents the average time that options are expected to be outstanding based on the mid-point between the vesting date and the end of the contractual term of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volatility is derived from the historical volatilities of a select group of comparable peer companies, for a look-back period commensurate with the expected term of the stock options, as the Company has no trading history of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recognizes forfeitures related to stock-based compensation awards as they occur. </w:t>
      </w:r>
    </w:p>
    <w:p>
      <w:pPr>
        <w:pStyle w:val="TextBody"/>
        <w:bidi w:val="0"/>
        <w:spacing w:before="240" w:after="0"/>
        <w:jc w:val="both"/>
        <w:rPr>
          <w:rFonts w:ascii="Times New Roman" w:hAnsi="Times New Roman"/>
          <w:sz w:val="20"/>
        </w:rPr>
      </w:pPr>
      <w:r>
        <w:rPr>
          <w:rFonts w:ascii="Times New Roman" w:hAnsi="Times New Roman"/>
          <w:sz w:val="20"/>
        </w:rPr>
        <w:t xml:space="preserve">The Company classifies stock-based compensation expense in the statement of operations in the same manner in which the award recipients payroll costs are classified or in which the award recipients service payments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The Company accounts for income taxes in accordance with ASC 740, </w:t>
      </w:r>
      <w:r>
        <w:rPr>
          <w:rFonts w:ascii="Times New Roman" w:hAnsi="Times New Roman"/>
          <w:i/>
          <w:sz w:val="20"/>
        </w:rPr>
        <w:t>Income Taxes</w:t>
      </w:r>
      <w:r>
        <w:rPr>
          <w:rFonts w:ascii="Times New Roman" w:hAnsi="Times New Roman"/>
          <w:sz w:val="20"/>
        </w:rPr>
        <w:t xml:space="preserve"> (ASC 740). ASC 740 requires the use of the asset and liability method of accounting for income taxes. The current or deferred tax consequences of a transaction are measured by applying the provisions of enacted tax laws to determine the amount of taxes payable currently or in future years. Deferred tax assets and liabilities are determined based on the difference between the financial statements and tax basis of assets and liabilities and expected future tax consequences of events that have been included in the financial statements or tax returns using enacted tax rates in effect for the year in which the differences are expected to reverse. Under this method, a valuation allowance is used to offset deferred tax assets if, based upon the available evidence, it is more likely than not that some or all of the deferred tax assets may not be realized. Management annually evaluates the recoverability of deferred taxes and the adequacy of the valuation allowance. See Note 10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 follows the provisions of ASC 740 relative to accounting for uncertain tax positions. These provisions provide guidance on the recognition, de-recognition and measurement of potential tax benefits associated with tax positions. For those benefits to be recognized, a tax position must be more likely than not to be sustained upon examination by taxing authorities. As applicable, the Company recognizes accrued penalties and interest related to unrecognized tax benefits in the provision for income taxes. </w:t>
      </w:r>
    </w:p>
    <w:p>
      <w:pPr>
        <w:pStyle w:val="TextBody"/>
        <w:bidi w:val="0"/>
        <w:spacing w:before="240" w:after="0"/>
        <w:jc w:val="both"/>
        <w:rPr>
          <w:rFonts w:ascii="Times New Roman" w:hAnsi="Times New Roman"/>
          <w:sz w:val="20"/>
        </w:rPr>
      </w:pPr>
      <w:r>
        <w:rPr>
          <w:rFonts w:ascii="Times New Roman" w:hAnsi="Times New Roman"/>
          <w:sz w:val="20"/>
        </w:rPr>
        <w:t xml:space="preserve">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required to file federal and state income tax returns in the U.S. The preparation of state tax returns requires the Company to interpret the applicable tax laws and regulations in effect in such jurisdictions, which could affect the amount of tax paid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Companys income tax returns are based on calculations and assumptions that are subject to examination by the Internal Revenue Service and other tax authorities. In addition, the calculation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w:t>
      </w:r>
    </w:p>
    <w:p>
      <w:pPr>
        <w:pStyle w:val="TextBody"/>
        <w:bidi w:val="0"/>
        <w:spacing w:before="240" w:after="0"/>
        <w:jc w:val="both"/>
        <w:rPr>
          <w:rFonts w:ascii="Times New Roman" w:hAnsi="Times New Roman"/>
          <w:sz w:val="20"/>
        </w:rPr>
      </w:pPr>
      <w:r>
        <w:rPr>
          <w:rFonts w:ascii="Times New Roman" w:hAnsi="Times New Roman"/>
          <w:sz w:val="20"/>
        </w:rPr>
        <w:t xml:space="preserve">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Classification of the Companys Series A-1, B, C, D and E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September 30, 2027, by class and if requested by a requisite majority of each class. See Note 7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carrying values of the Series A-1, B, C, D and E redeemable convertible preferred stock are reported at their respective redemption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Company determined all of its redeemable convertible preferred stock qualifies as participating securities, as defined in ASC 260. Under ASC 260, securities are considered participating securities if the securities may participate in undistributed earnings with common stock. In accordance with ASC 260, a company is required to use the two-class method when computing net 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Under the 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and Geographic Information </w:t>
      </w:r>
    </w:p>
    <w:p>
      <w:pPr>
        <w:pStyle w:val="TextBody"/>
        <w:bidi w:val="0"/>
        <w:spacing w:before="120" w:after="0"/>
        <w:jc w:val="both"/>
        <w:rPr>
          <w:rFonts w:ascii="Times New Roman" w:hAnsi="Times New Roman"/>
          <w:sz w:val="20"/>
        </w:rPr>
      </w:pPr>
      <w:r>
        <w:rPr>
          <w:rFonts w:ascii="Times New Roman" w:hAnsi="Times New Roman"/>
          <w:sz w:val="20"/>
        </w:rPr>
        <w:t xml:space="preserve">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consolidated operating results to make decisions about allocating resources and assessing performance for the entire company. The Company views its operations and manages its business as one operating segment. All of the Companys assets are located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both"/>
        <w:rPr>
          <w:rFonts w:ascii="Times New Roman" w:hAnsi="Times New Roman"/>
          <w:sz w:val="20"/>
        </w:rPr>
      </w:pPr>
      <w:r>
        <w:rPr>
          <w:rFonts w:ascii="Times New Roman" w:hAnsi="Times New Roman"/>
          <w:sz w:val="20"/>
        </w:rPr>
        <w:t xml:space="preserve">Accounting standards not listed below were assessed and determined not to be applicable or are expected to have minimal impact on the Companys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In December 2019, the FASB issued ASU 2019-12, </w:t>
      </w:r>
      <w:r>
        <w:rPr>
          <w:rFonts w:ascii="Times New Roman" w:hAnsi="Times New Roman"/>
          <w:i/>
          <w:sz w:val="20"/>
        </w:rPr>
        <w:t>Simplifying the Accounting for Income Taxes</w:t>
      </w:r>
      <w:r>
        <w:rPr>
          <w:rFonts w:ascii="Times New Roman" w:hAnsi="Times New Roman"/>
          <w:sz w:val="20"/>
        </w:rPr>
        <w:t xml:space="preserve">. The guidance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guidance was effective for fiscal years beginning after December 15, 2021, and interim periods within fiscal years beginning after December 15, 2022. Early adoption was permitted. The adoption of the guidance did not have a material impact on the Companys financial statements. </w:t>
      </w:r>
    </w:p>
    <w:p>
      <w:pPr>
        <w:pStyle w:val="TextBody"/>
        <w:bidi w:val="0"/>
        <w:spacing w:before="240" w:after="0"/>
        <w:jc w:val="both"/>
        <w:rPr>
          <w:rFonts w:ascii="Times New Roman" w:hAnsi="Times New Roman"/>
          <w:sz w:val="20"/>
        </w:rPr>
      </w:pPr>
      <w:r>
        <w:rPr>
          <w:rFonts w:ascii="Times New Roman" w:hAnsi="Times New Roman"/>
          <w:sz w:val="20"/>
        </w:rPr>
        <w:t>In August 2020, the FASB issued ASU 2020-06, </w:t>
      </w:r>
      <w:r>
        <w:rPr>
          <w:rFonts w:ascii="Times New Roman" w:hAnsi="Times New Roman"/>
          <w:i/>
          <w:sz w:val="20"/>
        </w:rPr>
        <w:t>Debt  Debt with Conversion and Other Options (Subtopic 470-20) and Derivatives and Hedging  Contracts in Entitys Own Equity (Subtopic 815-40)</w:t>
      </w:r>
      <w:r>
        <w:rPr>
          <w:rFonts w:ascii="Times New Roman" w:hAnsi="Times New Roman"/>
          <w:sz w:val="20"/>
        </w:rPr>
        <w:t xml:space="preserve">. The guidance simplifies the accounting for certain financial instruments, eliminates the current models that require separation of beneficial conversion and cash conversion features from convertible instruments, and simplifies the derivative scope exception guidance pertaining to equity classification of contracts in an entitys own equity. It also introduces additional disclosures for convertible debt and freestanding instruments that are indexed to and settled in an entitys own equity and amends the diluted earnings per share guidance, including the requirement to use the if-converted method for all convertible instruments. The guidance is effective for public business entities that meet the definition of a Securities and Exchange Commission filer, excluding entities eligible to be smaller reporting companies as defined by the Securities and Exchange Commission, for fiscal years beginning after December 15, 2021, including interim periods within those fiscal years. For all other entities, the guidance is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early-adopted the guidance as of January 1, 2021. The adoption of the guidance did not have a material impact on the Companys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tables present the financial instruments carried at fair value on a recurring basis as of December 31, 2021 and 2022 in accordance with the ASC 820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4"/>
        <w:gridCol w:w="209"/>
        <w:gridCol w:w="140"/>
        <w:gridCol w:w="925"/>
        <w:gridCol w:w="60"/>
        <w:gridCol w:w="209"/>
        <w:gridCol w:w="140"/>
        <w:gridCol w:w="925"/>
        <w:gridCol w:w="60"/>
        <w:gridCol w:w="209"/>
        <w:gridCol w:w="140"/>
        <w:gridCol w:w="756"/>
        <w:gridCol w:w="60"/>
        <w:gridCol w:w="209"/>
        <w:gridCol w:w="140"/>
        <w:gridCol w:w="925"/>
        <w:gridCol w:w="64"/>
      </w:tblGrid>
      <w:tr>
        <w:trPr/>
        <w:tc>
          <w:tcPr>
            <w:tcW w:w="503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8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2021</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    </w:t>
            </w:r>
            <w:r>
              <w:rPr/>
              <w:t>53,047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    </w:t>
            </w:r>
            <w:r>
              <w:rPr/>
              <w:t>53,047</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      </w:t>
            </w:r>
            <w:r>
              <w:rPr/>
              <w:t>351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351</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240" w:hRule="atLeast"/>
        </w:trPr>
        <w:tc>
          <w:tcPr>
            <w:tcW w:w="5034" w:type="dxa"/>
            <w:tcBorders/>
            <w:vAlign w:val="center"/>
          </w:tcPr>
          <w:p>
            <w:pPr>
              <w:pStyle w:val="TableContents"/>
              <w:bidi w:val="0"/>
              <w:spacing w:before="0" w:after="283"/>
              <w:jc w:val="left"/>
              <w:rPr>
                <w:sz w:val="4"/>
                <w:szCs w:val="4"/>
              </w:rPr>
            </w:pPr>
            <w:r>
              <w:rPr>
                <w:sz w:val="4"/>
                <w:szCs w:val="4"/>
              </w:rPr>
            </w:r>
          </w:p>
        </w:tc>
        <w:tc>
          <w:tcPr>
            <w:tcW w:w="5171" w:type="dxa"/>
            <w:gridSpan w:val="16"/>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8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2022</w:t>
            </w:r>
          </w:p>
        </w:tc>
        <w:tc>
          <w:tcPr>
            <w:tcW w:w="64" w:type="dxa"/>
            <w:tcBorders/>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87,143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87,143</w:t>
            </w:r>
          </w:p>
        </w:tc>
        <w:tc>
          <w:tcPr>
            <w:tcW w:w="64"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    </w:t>
            </w:r>
            <w:r>
              <w:rPr/>
              <w:t>55,338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55,338</w:t>
            </w:r>
          </w:p>
        </w:tc>
        <w:tc>
          <w:tcPr>
            <w:tcW w:w="64"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352</w:t>
            </w:r>
          </w:p>
        </w:tc>
        <w:tc>
          <w:tcPr>
            <w:tcW w:w="64"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w:t>
      </w:r>
    </w:p>
    <w:p>
      <w:pPr>
        <w:pStyle w:val="TextBody"/>
        <w:bidi w:val="0"/>
        <w:spacing w:before="240" w:after="0"/>
        <w:jc w:val="both"/>
        <w:rPr>
          <w:rFonts w:ascii="Times New Roman" w:hAnsi="Times New Roman"/>
          <w:sz w:val="20"/>
        </w:rPr>
      </w:pPr>
      <w:r>
        <w:rPr>
          <w:rFonts w:ascii="Times New Roman" w:hAnsi="Times New Roman"/>
          <w:sz w:val="20"/>
        </w:rPr>
        <w:t xml:space="preserve">The success fee liability associated with the Loan and Security Agreement (the Loan Agreement) the Company entered into in January 2021 was classified as a Level 3 fair value measurement, due to the use of unobservable inputs. See Note 11 for additional information on the Loan Agreement and success fee. </w:t>
      </w:r>
    </w:p>
    <w:p>
      <w:pPr>
        <w:pStyle w:val="TextBody"/>
        <w:bidi w:val="0"/>
        <w:spacing w:before="240" w:after="0"/>
        <w:jc w:val="both"/>
        <w:rPr>
          <w:rFonts w:ascii="Times New Roman" w:hAnsi="Times New Roman"/>
          <w:sz w:val="20"/>
        </w:rPr>
      </w:pPr>
      <w:r>
        <w:rPr>
          <w:rFonts w:ascii="Times New Roman" w:hAnsi="Times New Roman"/>
          <w:sz w:val="20"/>
        </w:rPr>
        <w:t xml:space="preserve">There were no transfers between Level 1 and Level 2 of the fair value hierarchy during the years ended December 31, 2021 and 2022.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summary of the changes in the Companys Level 3 fair value measurement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99"/>
        <w:gridCol w:w="322"/>
        <w:gridCol w:w="140"/>
        <w:gridCol w:w="981"/>
        <w:gridCol w:w="63"/>
      </w:tblGrid>
      <w:tr>
        <w:trPr/>
        <w:tc>
          <w:tcPr>
            <w:tcW w:w="869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6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2020</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tcPr>
          <w:p>
            <w:pPr>
              <w:pStyle w:val="TableContents"/>
              <w:bidi w:val="0"/>
              <w:spacing w:before="0" w:after="0"/>
              <w:jc w:val="left"/>
              <w:rPr>
                <w:rFonts w:ascii="Times New Roman" w:hAnsi="Times New Roman"/>
                <w:sz w:val="20"/>
              </w:rPr>
            </w:pPr>
            <w:r>
              <w:rPr>
                <w:rFonts w:ascii="Times New Roman" w:hAnsi="Times New Roman"/>
                <w:sz w:val="20"/>
              </w:rPr>
              <w:t>Initial measurement of success fee</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8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fair value of success fee recorded in earnings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237</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2021</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351</w:t>
            </w:r>
          </w:p>
        </w:tc>
        <w:tc>
          <w:tcPr>
            <w:tcW w:w="63" w:type="dxa"/>
            <w:tcBorders/>
            <w:vAlign w:val="bottom"/>
          </w:tcPr>
          <w:p>
            <w:pPr>
              <w:pStyle w:val="TableContents"/>
              <w:bidi w:val="0"/>
              <w:spacing w:before="0" w:after="283"/>
              <w:jc w:val="left"/>
              <w:rPr/>
            </w:pPr>
            <w:r>
              <w:rPr/>
              <w:t> </w:t>
            </w:r>
          </w:p>
        </w:tc>
      </w:tr>
      <w:tr>
        <w:trPr/>
        <w:tc>
          <w:tcPr>
            <w:tcW w:w="8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fair value of success fee recorded in earnings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          </w:t>
            </w:r>
            <w:r>
              <w:rPr/>
              <w:t>352</w:t>
            </w:r>
          </w:p>
        </w:tc>
        <w:tc>
          <w:tcPr>
            <w:tcW w:w="63" w:type="dxa"/>
            <w:tcBorders/>
            <w:vAlign w:val="bottom"/>
          </w:tcPr>
          <w:p>
            <w:pPr>
              <w:pStyle w:val="TableContents"/>
              <w:bidi w:val="0"/>
              <w:spacing w:before="0" w:after="283"/>
              <w:jc w:val="left"/>
              <w:rPr/>
            </w:pPr>
            <w:r>
              <w:rPr/>
              <w:t> </w:t>
            </w:r>
          </w:p>
        </w:tc>
      </w:tr>
      <w:tr>
        <w:trPr/>
        <w:tc>
          <w:tcPr>
            <w:tcW w:w="8699"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The components of accrued expenses and other current liabilities for the years ended December 31, 2021 and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3"/>
        <w:gridCol w:w="220"/>
        <w:gridCol w:w="141"/>
        <w:gridCol w:w="1103"/>
        <w:gridCol w:w="60"/>
        <w:gridCol w:w="220"/>
        <w:gridCol w:w="141"/>
        <w:gridCol w:w="1103"/>
        <w:gridCol w:w="64"/>
      </w:tblGrid>
      <w:tr>
        <w:trPr/>
        <w:tc>
          <w:tcPr>
            <w:tcW w:w="715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5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7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753</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3,136</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1,065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1,833</w:t>
            </w:r>
          </w:p>
        </w:tc>
        <w:tc>
          <w:tcPr>
            <w:tcW w:w="64" w:type="dxa"/>
            <w:tcBorders/>
            <w:vAlign w:val="bottom"/>
          </w:tcPr>
          <w:p>
            <w:pPr>
              <w:pStyle w:val="TableContents"/>
              <w:bidi w:val="0"/>
              <w:spacing w:before="0" w:after="283"/>
              <w:jc w:val="left"/>
              <w:rPr/>
            </w:pPr>
            <w:r>
              <w:rPr/>
              <w:t> </w:t>
            </w:r>
          </w:p>
        </w:tc>
      </w:tr>
      <w:tr>
        <w:trPr/>
        <w:tc>
          <w:tcPr>
            <w:tcW w:w="7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147</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173</w:t>
            </w:r>
          </w:p>
        </w:tc>
        <w:tc>
          <w:tcPr>
            <w:tcW w:w="64" w:type="dxa"/>
            <w:tcBorders/>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r>
              <w:rPr/>
              <w:t>1,957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r>
              <w:rPr/>
              <w:t>5,289</w:t>
            </w:r>
          </w:p>
        </w:tc>
        <w:tc>
          <w:tcPr>
            <w:tcW w:w="64" w:type="dxa"/>
            <w:tcBorders/>
            <w:shd w:fill="CCEEFF" w:val="clear"/>
            <w:vAlign w:val="bottom"/>
          </w:tcPr>
          <w:p>
            <w:pPr>
              <w:pStyle w:val="TableContents"/>
              <w:bidi w:val="0"/>
              <w:spacing w:before="0" w:after="283"/>
              <w:jc w:val="left"/>
              <w:rPr/>
            </w:pPr>
            <w:r>
              <w:rPr/>
              <w:t> </w:t>
            </w:r>
          </w:p>
        </w:tc>
      </w:tr>
      <w:tr>
        <w:trPr/>
        <w:tc>
          <w:tcPr>
            <w:tcW w:w="715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both"/>
        <w:rPr>
          <w:rFonts w:ascii="Times New Roman" w:hAnsi="Times New Roman"/>
          <w:sz w:val="20"/>
        </w:rPr>
      </w:pPr>
      <w:r>
        <w:rPr>
          <w:rFonts w:ascii="Times New Roman" w:hAnsi="Times New Roman"/>
          <w:sz w:val="20"/>
        </w:rPr>
        <w:t xml:space="preserve">On January 1, 2019, the Company adopted ASC 842, </w:t>
      </w:r>
      <w:r>
        <w:rPr>
          <w:rFonts w:ascii="Times New Roman" w:hAnsi="Times New Roman"/>
          <w:i/>
          <w:sz w:val="20"/>
        </w:rPr>
        <w:t>Leases</w:t>
      </w:r>
      <w:r>
        <w:rPr>
          <w:rFonts w:ascii="Times New Roman" w:hAnsi="Times New Roman"/>
          <w:sz w:val="20"/>
        </w:rPr>
        <w:t xml:space="preserve">. As of December 31, 2021, the Company had one operating lease, in which the Company was the lessee for office space. As of December 31, 2022, the Company had two operating leases, in which the Company is the lessee for office space. As of December 31, 2022, the lease terms were through 2023 and 2025. The Company had no finance leases as of December 31, 2021 and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lease expense for the years ended December 31, 2021 and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50"/>
        <w:gridCol w:w="400"/>
        <w:gridCol w:w="232"/>
        <w:gridCol w:w="1239"/>
        <w:gridCol w:w="283"/>
        <w:gridCol w:w="351"/>
        <w:gridCol w:w="232"/>
        <w:gridCol w:w="1239"/>
        <w:gridCol w:w="279"/>
      </w:tblGrid>
      <w:tr>
        <w:trPr/>
        <w:tc>
          <w:tcPr>
            <w:tcW w:w="595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35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9" w:type="dxa"/>
            <w:tcBorders/>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173</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173</w:t>
            </w:r>
          </w:p>
        </w:tc>
        <w:tc>
          <w:tcPr>
            <w:tcW w:w="279" w:type="dxa"/>
            <w:tcBorders/>
            <w:vAlign w:val="bottom"/>
          </w:tcPr>
          <w:p>
            <w:pPr>
              <w:pStyle w:val="TableContents"/>
              <w:bidi w:val="0"/>
              <w:spacing w:before="0" w:after="283"/>
              <w:jc w:val="left"/>
              <w:rPr/>
            </w:pPr>
            <w:r>
              <w:rPr/>
              <w:t> </w:t>
            </w:r>
          </w:p>
        </w:tc>
      </w:tr>
      <w:tr>
        <w:trPr/>
        <w:tc>
          <w:tcPr>
            <w:tcW w:w="595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59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obtained in exchange for new operating lease liabilities</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      </w:t>
            </w:r>
            <w:r>
              <w:rPr/>
              <w:t>140</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      </w:t>
            </w:r>
            <w:r>
              <w:rPr/>
              <w:t>474</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 included in operating cash flows</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67</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155</w:t>
            </w:r>
          </w:p>
        </w:tc>
        <w:tc>
          <w:tcPr>
            <w:tcW w:w="279" w:type="dxa"/>
            <w:tcBorders/>
            <w:shd w:fill="CCEEFF" w:val="clear"/>
            <w:vAlign w:val="bottom"/>
          </w:tcPr>
          <w:p>
            <w:pPr>
              <w:pStyle w:val="TableContents"/>
              <w:bidi w:val="0"/>
              <w:spacing w:before="0" w:after="283"/>
              <w:jc w:val="left"/>
              <w:rPr/>
            </w:pPr>
            <w:r>
              <w:rPr/>
              <w:t> </w:t>
            </w:r>
          </w:p>
        </w:tc>
      </w:tr>
      <w:tr>
        <w:trPr/>
        <w:tc>
          <w:tcPr>
            <w:tcW w:w="595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4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1.67</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2.45</w:t>
            </w:r>
          </w:p>
        </w:tc>
        <w:tc>
          <w:tcPr>
            <w:tcW w:w="279" w:type="dxa"/>
            <w:tcBorders/>
            <w:vAlign w:val="bottom"/>
          </w:tcPr>
          <w:p>
            <w:pPr>
              <w:pStyle w:val="TableContents"/>
              <w:bidi w:val="0"/>
              <w:spacing w:before="0" w:after="283"/>
              <w:jc w:val="left"/>
              <w:rPr/>
            </w:pPr>
            <w:r>
              <w:rPr/>
              <w:t> </w:t>
            </w:r>
          </w:p>
        </w:tc>
      </w:tr>
      <w:tr>
        <w:trPr/>
        <w:tc>
          <w:tcPr>
            <w:tcW w:w="5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1.63</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1.63</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Maturities of lease liabilities as of December 31, 2022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1"/>
        <w:gridCol w:w="230"/>
        <w:gridCol w:w="151"/>
        <w:gridCol w:w="921"/>
        <w:gridCol w:w="162"/>
      </w:tblGrid>
      <w:tr>
        <w:trPr/>
        <w:tc>
          <w:tcPr>
            <w:tcW w:w="874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7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23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195</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149</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111</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741"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payment</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455</w:t>
            </w:r>
          </w:p>
        </w:tc>
        <w:tc>
          <w:tcPr>
            <w:tcW w:w="162" w:type="dxa"/>
            <w:tcBorders/>
            <w:vAlign w:val="bottom"/>
          </w:tcPr>
          <w:p>
            <w:pPr>
              <w:pStyle w:val="TableContents"/>
              <w:bidi w:val="0"/>
              <w:spacing w:before="0" w:after="283"/>
              <w:jc w:val="left"/>
              <w:rPr/>
            </w:pPr>
            <w:r>
              <w:rPr/>
              <w:t> </w:t>
            </w:r>
          </w:p>
        </w:tc>
      </w:tr>
      <w:tr>
        <w:trPr/>
        <w:tc>
          <w:tcPr>
            <w:tcW w:w="8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amount representing imputed interest</w:t>
            </w:r>
          </w:p>
        </w:tc>
        <w:tc>
          <w:tcPr>
            <w:tcW w:w="23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(9</w:t>
            </w:r>
          </w:p>
        </w:tc>
        <w:tc>
          <w:tcPr>
            <w:tcW w:w="162" w:type="dxa"/>
            <w:tcBorders/>
            <w:shd w:fill="CCEEFF" w:val="clear"/>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7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future minimum lease obligations</w:t>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        </w:t>
            </w:r>
            <w:r>
              <w:rPr/>
              <w:t>446</w:t>
            </w:r>
          </w:p>
        </w:tc>
        <w:tc>
          <w:tcPr>
            <w:tcW w:w="162" w:type="dxa"/>
            <w:tcBorders/>
            <w:vAlign w:val="bottom"/>
          </w:tcPr>
          <w:p>
            <w:pPr>
              <w:pStyle w:val="TableContents"/>
              <w:bidi w:val="0"/>
              <w:spacing w:before="0" w:after="283"/>
              <w:jc w:val="left"/>
              <w:rPr/>
            </w:pPr>
            <w:r>
              <w:rPr/>
              <w:t> </w:t>
            </w:r>
          </w:p>
        </w:tc>
      </w:tr>
      <w:tr>
        <w:trPr/>
        <w:tc>
          <w:tcPr>
            <w:tcW w:w="87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A liability for loss contingencies arising from claims, assessments, litigation, fines, penalties, and other sources is recorded in the financial statements if it is determined that it is probable that a loss has been incurred, and that the amount (or range) of the loss can be reasonably estimated. There are no matters currently outstanding for which any liabilities have been accrued or require disclosure.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the Board that will require the Company, among other things, to indemnify them against certain liabilities that may arise by reason of their status or service as directors or officers. As of December 31, 2021 and 2022, the Company had not experienced any losses related to these indemnification obligations, and no claims with respect thereto were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Lepu Biotech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w:t>
      </w:r>
    </w:p>
    <w:p>
      <w:pPr>
        <w:pStyle w:val="TextBody"/>
        <w:bidi w:val="0"/>
        <w:spacing w:before="240" w:after="0"/>
        <w:jc w:val="both"/>
        <w:rPr>
          <w:rFonts w:ascii="Times New Roman" w:hAnsi="Times New Roman"/>
          <w:sz w:val="20"/>
        </w:rPr>
      </w:pPr>
      <w:r>
        <w:rPr>
          <w:rFonts w:ascii="Times New Roman" w:hAnsi="Times New Roman"/>
          <w:sz w:val="20"/>
        </w:rPr>
        <w:t xml:space="preserve">Lepu paid to the Company a one-time upfront payment of $4.5 million, and Lepu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assessed the Lepu License Agreement in accordance with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 </w:t>
      </w:r>
    </w:p>
    <w:p>
      <w:pPr>
        <w:pStyle w:val="TextBody"/>
        <w:bidi w:val="0"/>
        <w:spacing w:before="240" w:after="0"/>
        <w:jc w:val="both"/>
        <w:rPr>
          <w:rFonts w:ascii="Times New Roman" w:hAnsi="Times New Roman"/>
          <w:sz w:val="20"/>
        </w:rPr>
      </w:pPr>
      <w:r>
        <w:rPr>
          <w:rFonts w:ascii="Times New Roman" w:hAnsi="Times New Roman"/>
          <w:sz w:val="20"/>
        </w:rPr>
        <w:t xml:space="preserve">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 </w:t>
      </w:r>
    </w:p>
    <w:p>
      <w:pPr>
        <w:pStyle w:val="TextBody"/>
        <w:bidi w:val="0"/>
        <w:spacing w:before="240" w:after="0"/>
        <w:jc w:val="both"/>
        <w:rPr>
          <w:rFonts w:ascii="Times New Roman" w:hAnsi="Times New Roman"/>
          <w:sz w:val="20"/>
        </w:rPr>
      </w:pPr>
      <w:r>
        <w:rPr>
          <w:rFonts w:ascii="Times New Roman" w:hAnsi="Times New Roman"/>
          <w:sz w:val="20"/>
        </w:rPr>
        <w:t xml:space="preserve">The sales-based royalty fee is considered variable consideration and will be recognized as revenue as such sales occur. The sales-based royalty fee qualifies for the royalty constraint exception and does not require an estimate of the future transaction price. </w:t>
      </w:r>
    </w:p>
    <w:p>
      <w:pPr>
        <w:pStyle w:val="TextBody"/>
        <w:bidi w:val="0"/>
        <w:spacing w:before="240" w:after="0"/>
        <w:jc w:val="both"/>
        <w:rPr>
          <w:rFonts w:ascii="Times New Roman" w:hAnsi="Times New Roman"/>
          <w:sz w:val="20"/>
        </w:rPr>
      </w:pPr>
      <w:r>
        <w:rPr>
          <w:rFonts w:ascii="Times New Roman" w:hAnsi="Times New Roman"/>
          <w:sz w:val="20"/>
        </w:rPr>
        <w:t xml:space="preserve">For the years ended December 31, 2021 and 2022, no development or commercial milestones were met and, as a result, no revenue was recorded related to the Lepu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Pharmaceutical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0"/>
        <w:jc w:val="both"/>
        <w:rPr>
          <w:rFonts w:ascii="Times New Roman" w:hAnsi="Times New Roman"/>
          <w:sz w:val="20"/>
        </w:rPr>
      </w:pPr>
      <w:r>
        <w:rPr>
          <w:rFonts w:ascii="Times New Roman" w:hAnsi="Times New Roman"/>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subject to certain rights to sell existing inventory of Licensed Products by Kissei and its sublicensees. Upon termination of the Kissei Agreement for Kisseis breach, any sublicenses granted by Kissei may, upon the Companys discretion, continue.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Kissei Agreement to determine whether it is a collaborative arrangement in the scope of ASC 808, </w:t>
      </w:r>
      <w:r>
        <w:rPr>
          <w:rFonts w:ascii="Times New Roman" w:hAnsi="Times New Roman"/>
          <w:i/>
          <w:sz w:val="20"/>
        </w:rPr>
        <w:t>Collaborative Arrangements</w:t>
      </w:r>
      <w:r>
        <w:rPr>
          <w:rFonts w:ascii="Times New Roman" w:hAnsi="Times New Roman"/>
          <w:sz w:val="20"/>
        </w:rPr>
        <w:t xml:space="preserve">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 </w:t>
      </w:r>
    </w:p>
    <w:p>
      <w:pPr>
        <w:pStyle w:val="TextBody"/>
        <w:bidi w:val="0"/>
        <w:spacing w:before="240" w:after="0"/>
        <w:jc w:val="both"/>
        <w:rPr>
          <w:rFonts w:ascii="Times New Roman" w:hAnsi="Times New Roman"/>
          <w:sz w:val="20"/>
        </w:rPr>
      </w:pPr>
      <w:r>
        <w:rPr>
          <w:rFonts w:ascii="Times New Roman" w:hAnsi="Times New Roman"/>
          <w:sz w:val="20"/>
        </w:rPr>
        <w:t xml:space="preserve">As the sale of $30.0 million of the Companys Series D redeemable convertible preferred stock and the Kissei License Agreement were entered into concurrently and negotiated as a package with a single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objective, the Company accounted for the two agreements as a single arrangement for accounting purposes. The total upfront payments of $40.0 million were comprised of $30.0 million attributed to the Series D redeemable convertible preferred stock sold to Kissei and $10.0 million attributed to the functional intellectual property license granted to Kissei. The Company determined that the sale of the Series D redeemable convertible preferred stock of $30.0 million was at fair value and did not include a premium or discount. As a result, $10.0 million of the total upfront payments was allocated to the transaction price of the exclusive license.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ASC 606, the transaction price of the Kissei Agreement as of the outset of the arrangement was determined to be $10.0 million, which consisted of the one-time upfront payment. The other potential milestone payments the Company is eligible to receive were excluded from the transaction price, as all milestone amounts were fully constrained based on the probability of achievement. The Company satisfied the performance obligation upon delivery of the license and recognized the upfront payment of $10.0 million as revenue during the year ended December 31, 2020.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the Company recognized milestone revenue of $10 million for cash consideration received associated with an achieved development milestone and $0.4 million in development income related to the Kissei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2022, the Company recorded $0.2 million in development income related to the Kissei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7.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as of December 31, 2022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183"/>
        <w:gridCol w:w="60"/>
        <w:gridCol w:w="1235"/>
        <w:gridCol w:w="60"/>
        <w:gridCol w:w="183"/>
        <w:gridCol w:w="60"/>
        <w:gridCol w:w="1235"/>
        <w:gridCol w:w="60"/>
        <w:gridCol w:w="183"/>
        <w:gridCol w:w="158"/>
        <w:gridCol w:w="1352"/>
        <w:gridCol w:w="60"/>
        <w:gridCol w:w="183"/>
        <w:gridCol w:w="81"/>
        <w:gridCol w:w="1535"/>
        <w:gridCol w:w="65"/>
      </w:tblGrid>
      <w:tr>
        <w:trPr/>
        <w:tc>
          <w:tcPr>
            <w:tcW w:w="351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December 31, 2022</w:t>
            </w:r>
          </w:p>
        </w:tc>
        <w:tc>
          <w:tcPr>
            <w:tcW w:w="18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5"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1,252,438</w:t>
            </w:r>
          </w:p>
        </w:tc>
        <w:tc>
          <w:tcPr>
            <w:tcW w:w="65"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3,508,584</w:t>
            </w:r>
          </w:p>
        </w:tc>
        <w:tc>
          <w:tcPr>
            <w:tcW w:w="65"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7,718,740</w:t>
            </w:r>
          </w:p>
        </w:tc>
        <w:tc>
          <w:tcPr>
            <w:tcW w:w="65"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5,586,959</w:t>
            </w:r>
          </w:p>
        </w:tc>
        <w:tc>
          <w:tcPr>
            <w:tcW w:w="65"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r>
              <w:rPr/>
              <w:t>120,000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11,790,523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E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In 2022, the Company entered into a securities purchase agreement (the Series E Agreement) with certain investors to sell shares of Series E redeemable convertible preferred stock (Series E) at $1.0674 per share. From September through October 2022, the Company issued 112,422,700 shares of Series E redeemable convertible preferred stock to existing and new investors at a price of $1.0674 per share for gross cash proceeds of $120.0 million, less issuance costs of $0.5 million, resulting in net proceeds of $119.5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and Privileges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Each preferred stockholder is entitled to cast the number of votes equal to the number of whole shares of common stock into which the shares of preferred stock held by such holder are convertible at the time of such vote</w:t>
      </w:r>
      <w:r>
        <w:rPr>
          <w:rFonts w:ascii="Times New Roman" w:hAnsi="Times New Roman"/>
          <w:b/>
          <w:sz w:val="20"/>
        </w:rPr>
        <w:t xml:space="preserve">. </w:t>
      </w:r>
      <w:r>
        <w:rPr>
          <w:rFonts w:ascii="Times New Roman" w:hAnsi="Times New Roman"/>
          <w:sz w:val="20"/>
        </w:rPr>
        <w:t xml:space="preserve">All preferred stockholders are entitled to vote on all matters upon which holders of common stock have the right to vote, other than matters that must by law be voted by class or series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preferred stock as of December 31, 2022 were as follows: Series A-1 1:4.05, Series B 1:3.412, and Series C, D and E 1:9.535. </w:t>
      </w:r>
    </w:p>
    <w:p>
      <w:pPr>
        <w:pStyle w:val="TextBody"/>
        <w:bidi w:val="0"/>
        <w:spacing w:before="240" w:after="0"/>
        <w:jc w:val="both"/>
        <w:rPr>
          <w:rFonts w:ascii="Times New Roman" w:hAnsi="Times New Roman"/>
          <w:sz w:val="20"/>
        </w:rPr>
      </w:pPr>
      <w:r>
        <w:rPr>
          <w:rFonts w:ascii="Times New Roman" w:hAnsi="Times New Roman"/>
          <w:sz w:val="20"/>
        </w:rPr>
        <w:t xml:space="preserve">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the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$75.0 million of gross proceeds to the Company and (2) in which the pre-money valuation of the Company immediately prior to such public offering is at least $400.0 million or (ii) upon the written consent of the holders of at least 75% of the then-outstanding shares of redeemable convertible preferred stock voting together as a single class and not as separate series, and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Series E Preferred Stock shall be entitled to receive, prior and in preference to any other class or series of capital stock, cumulative cash dividends, when, as and if declared by the Board, out of any funds that are legally available, at the rate of 8% of the Series E Initial Purchase Price of $1.0674 per annum on each outstanding share of Series E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 with respect to the Series C Preferred Stock, 8% of the Series C Initial Purchase Price per annum on each outstanding share of Series C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out of any funds that are 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A-1 Preferred Stock, 8% of the Series A-1 Initial Purchase Price per annum on each outstanding share of Series A-1 Preferred Stock, subject to adjustment for any stock dividends, combinations, splits, recapitalizations and the like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 </w:t>
      </w:r>
    </w:p>
    <w:p>
      <w:pPr>
        <w:pStyle w:val="TextBody"/>
        <w:bidi w:val="0"/>
        <w:spacing w:before="240" w:after="0"/>
        <w:jc w:val="both"/>
        <w:rPr>
          <w:rFonts w:ascii="Times New Roman" w:hAnsi="Times New Roman"/>
          <w:sz w:val="20"/>
        </w:rPr>
      </w:pPr>
      <w:r>
        <w:rPr>
          <w:rFonts w:ascii="Times New Roman" w:hAnsi="Times New Roman"/>
          <w:sz w:val="20"/>
        </w:rPr>
        <w:t xml:space="preserve">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years ended December 31, 2021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610"/>
        <w:gridCol w:w="9191"/>
      </w:tblGrid>
      <w:tr>
        <w:trPr/>
        <w:tc>
          <w:tcPr>
            <w:tcW w:w="404"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1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holders of Series E Preferred Stock shall be entitled to be paid out of the assets of the Company, prior and in preference to any distribution of the proceeds of such liquidation, dissolution or winding up to the holders of Senior 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 (i) with respect to the Series D Preferred Stock, an amount per share of Series D Preferred Stock equal to the Series D Initial Purchase Price, plus all declared but unpaid dividends on the Series D Preferred Stock, for each share of Series D Preferred Stock then held and (ii) with respect to the Series C Preferred Stock, an amount per share of Series C Preferred Stock equal to the Series C Initial Purchase Price, plus all declared but unpaid dividends on the Series C Preferred Stock, for each share of Series C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distributions pursuant to holders of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1"/>
        <w:gridCol w:w="9188"/>
      </w:tblGrid>
      <w:tr>
        <w:trPr/>
        <w:tc>
          <w:tcPr>
            <w:tcW w:w="4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(iv)</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upon any such liquidation, dissolution or winding up, the assets of the Company shall be insufficient to make payment in full of the liquidation preferences described in (i), (ii), and (iii)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5"/>
        <w:gridCol w:w="9190"/>
      </w:tblGrid>
      <w:tr>
        <w:trPr/>
        <w:tc>
          <w:tcPr>
            <w:tcW w:w="1015" w:type="dxa"/>
            <w:tcBorders/>
            <w:vAlign w:val="center"/>
          </w:tcPr>
          <w:p>
            <w:pPr>
              <w:pStyle w:val="TableContents"/>
              <w:bidi w:val="0"/>
              <w:spacing w:before="0" w:after="283"/>
              <w:jc w:val="left"/>
              <w:rPr/>
            </w:pPr>
            <w:r>
              <w:rPr/>
              <w:t> </w:t>
            </w:r>
          </w:p>
        </w:tc>
        <w:tc>
          <w:tcPr>
            <w:tcW w:w="91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then such assets shall be distributed in the following order of priority: (a) to the holders of Series E Preferred Stock in preference and ratably in proportion to the full amounts to which they would otherwise be respectively entitled pursuant to in (i) above, (b) any remaining assets then to the holders of each series of Senior Preferred Stock in preference and ratably in proportion to the full amounts to which they would otherwise be respectively entitled pursuant to (ii) above, and (c) any remaining assets then to the holders of Series B Preferred Stock and Series A-1 Preferred Stock ratably in proportion to the full amounts to which they would otherwise be respectively entitled pursuant to (iii) above.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After the payment of the full liquidation preferences as set out above, the remaining assets of the Company legally available for distribution, if any, shall be distributed ratably to the holders of the common stock,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E Preferred Stock on an as-converted to common stock basis and Senior Preferred Stock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both"/>
        <w:rPr>
          <w:rFonts w:ascii="Times New Roman" w:hAnsi="Times New Roman"/>
          <w:sz w:val="20"/>
        </w:rPr>
      </w:pPr>
      <w:r>
        <w:rPr>
          <w:rFonts w:ascii="Times New Roman" w:hAnsi="Times New Roman"/>
          <w:sz w:val="20"/>
        </w:rPr>
        <w:t xml:space="preserve">At any time, following September 30, 2027, all shares of convertible preferred shares are redeemable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A-1 redeemable convertible preferred stock, all of the outstanding Series A-1 redeemable convertible preferred stock shall be redeemed by paying in cash in exchange for the shares of Series A-1 redeemable convertible preferred stock to be redeemed an amount equal to the Series A-1 Initial Purchase Price per share of Series A-1 redeemable convertible preferred stock (as adjusted for any stock dividends, combinations, splits, recapitalizations and the like with respect to such shares), plus any and all declared but unpaid dividends with respect to such shares of Series A-1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up to 263,000,000 and 393,500,000 shares of common stock as of December 31, 2021 and 2022, respectively, of which 3,713,579 and 3,842,694 shares were issued and outstanding as of December 31, 2021 and 2022, respectively. </w:t>
      </w:r>
    </w:p>
    <w:p>
      <w:pPr>
        <w:pStyle w:val="TextBody"/>
        <w:bidi w:val="0"/>
        <w:spacing w:before="240" w:after="0"/>
        <w:jc w:val="both"/>
        <w:rPr>
          <w:rFonts w:ascii="Times New Roman" w:hAnsi="Times New Roman"/>
          <w:sz w:val="20"/>
        </w:rPr>
      </w:pPr>
      <w:r>
        <w:rPr>
          <w:rFonts w:ascii="Times New Roman" w:hAnsi="Times New Roman"/>
          <w:sz w:val="20"/>
        </w:rPr>
        <w:t xml:space="preserve">Voting, dividend and liquidation rights of the holders of the common stock are subject to and qualified by the rights, preferences and privileges of the holders of the redeemable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payment in full of all preferential dividends to which the holders of the preferred stock are entitled, the holders of common stock shall be entitled to receive dividends out of funds legally available therefor at such times and in such amounts as the Board may determine in its sole discretion, with holders of preferred stock and common stock sharing pari passu in such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Reserved Shares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the Company reserved the following shares of common stock for issuance upon conversion of the outstanding redeemable convertible preferred stock and exercise of stock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90"/>
        <w:gridCol w:w="489"/>
        <w:gridCol w:w="101"/>
        <w:gridCol w:w="1863"/>
        <w:gridCol w:w="62"/>
      </w:tblGrid>
      <w:tr>
        <w:trPr/>
        <w:tc>
          <w:tcPr>
            <w:tcW w:w="769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6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2" w:type="dxa"/>
            <w:tcBorders/>
            <w:vAlign w:val="bottom"/>
          </w:tcPr>
          <w:p>
            <w:pPr>
              <w:pStyle w:val="TableContents"/>
              <w:bidi w:val="0"/>
              <w:spacing w:before="0" w:after="283"/>
              <w:jc w:val="left"/>
              <w:rPr/>
            </w:pPr>
            <w:r>
              <w:rPr/>
              <w:t> </w:t>
            </w:r>
          </w:p>
        </w:tc>
      </w:tr>
      <w:tr>
        <w:trPr/>
        <w:tc>
          <w:tcPr>
            <w:tcW w:w="7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48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283"/>
              <w:jc w:val="right"/>
              <w:rPr/>
            </w:pPr>
            <w:r>
              <w:rPr/>
              <w:t>29,857,244</w:t>
            </w:r>
          </w:p>
        </w:tc>
        <w:tc>
          <w:tcPr>
            <w:tcW w:w="62" w:type="dxa"/>
            <w:tcBorders/>
            <w:shd w:fill="CCEEFF" w:val="clear"/>
            <w:vAlign w:val="bottom"/>
          </w:tcPr>
          <w:p>
            <w:pPr>
              <w:pStyle w:val="TableContents"/>
              <w:bidi w:val="0"/>
              <w:spacing w:before="0" w:after="283"/>
              <w:jc w:val="left"/>
              <w:rPr/>
            </w:pPr>
            <w:r>
              <w:rPr/>
              <w:t> </w:t>
            </w:r>
          </w:p>
        </w:tc>
      </w:tr>
      <w:tr>
        <w:trPr/>
        <w:tc>
          <w:tcPr>
            <w:tcW w:w="7690"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issuance</w:t>
            </w:r>
          </w:p>
        </w:tc>
        <w:tc>
          <w:tcPr>
            <w:tcW w:w="4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283"/>
              <w:jc w:val="right"/>
              <w:rPr/>
            </w:pPr>
            <w:r>
              <w:rPr/>
              <w:t>1,835,900</w:t>
            </w:r>
          </w:p>
        </w:tc>
        <w:tc>
          <w:tcPr>
            <w:tcW w:w="62" w:type="dxa"/>
            <w:tcBorders/>
            <w:vAlign w:val="bottom"/>
          </w:tcPr>
          <w:p>
            <w:pPr>
              <w:pStyle w:val="TableContents"/>
              <w:bidi w:val="0"/>
              <w:spacing w:before="0" w:after="283"/>
              <w:jc w:val="left"/>
              <w:rPr/>
            </w:pPr>
            <w:r>
              <w:rPr/>
              <w:t> </w:t>
            </w:r>
          </w:p>
        </w:tc>
      </w:tr>
      <w:tr>
        <w:trPr/>
        <w:tc>
          <w:tcPr>
            <w:tcW w:w="7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48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283"/>
              <w:jc w:val="right"/>
              <w:rPr/>
            </w:pPr>
            <w:r>
              <w:rPr/>
              <w:t>3,765,090</w:t>
            </w:r>
          </w:p>
        </w:tc>
        <w:tc>
          <w:tcPr>
            <w:tcW w:w="62" w:type="dxa"/>
            <w:tcBorders/>
            <w:shd w:fill="CCEEFF" w:val="clear"/>
            <w:vAlign w:val="bottom"/>
          </w:tcPr>
          <w:p>
            <w:pPr>
              <w:pStyle w:val="TableContents"/>
              <w:bidi w:val="0"/>
              <w:spacing w:before="0" w:after="283"/>
              <w:jc w:val="left"/>
              <w:rPr/>
            </w:pPr>
            <w:r>
              <w:rPr/>
              <w:t> </w:t>
            </w:r>
          </w:p>
        </w:tc>
      </w:tr>
      <w:tr>
        <w:trPr/>
        <w:tc>
          <w:tcPr>
            <w:tcW w:w="7690"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86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6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283"/>
              <w:jc w:val="right"/>
              <w:rPr/>
            </w:pPr>
            <w:r>
              <w:rPr/>
              <w:t>35,458,234</w:t>
            </w:r>
          </w:p>
        </w:tc>
        <w:tc>
          <w:tcPr>
            <w:tcW w:w="62" w:type="dxa"/>
            <w:tcBorders/>
            <w:vAlign w:val="bottom"/>
          </w:tcPr>
          <w:p>
            <w:pPr>
              <w:pStyle w:val="TableContents"/>
              <w:bidi w:val="0"/>
              <w:spacing w:before="0" w:after="283"/>
              <w:jc w:val="left"/>
              <w:rPr/>
            </w:pPr>
            <w:r>
              <w:rPr/>
              <w:t> </w:t>
            </w:r>
          </w:p>
        </w:tc>
      </w:tr>
      <w:tr>
        <w:trPr/>
        <w:tc>
          <w:tcPr>
            <w:tcW w:w="7690"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86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2015, the Company established the 2015 Plan, under which the Company was able to grant options and restricted stock to its employees and certain non-employees. As of December 31, 2021 and 2022, the maximum number of shares of common stock reserved for issuance under the 2015 Plan were 3,440,837 and 3,156,148 shares, respectively. Following the establishment of the 2022 Plan, the maximum number of shares reserved for issuance under the 2015 Plan will be equal to the number of shares subject to issued and outstanding stock options and shares of restricted stock granted under the 2015 Plan. As of December 31, 2021, there were 3,038,416 shares of common stock subject to outstanding awards and 1,424,636 shares of common stock available for future issuance under the 2015 Plan. As of December 31, 2022, there were 3,156,076 shares of common stock subject to outstanding awards and 0 shares of common stock available for future issuance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December 31, 2022, the maximum number of shares of common stock reserved for issuance under the 2022 Plan was 2,464,807 shares. As of December 31, 2022, there were 609,014 shares of common stock subject to outstanding awards and 1,835,900 shares of common stock available for future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grant options to purchase authorized but unissued shares of the Companys common stock. Options granted under the 2015 Plan and 2022 Plan include incentive stock options that can be granted only to the Companys employees and non-statutory stock options that can be granted to the Companys employees, consultants, advisors and directors. </w:t>
      </w:r>
    </w:p>
    <w:p>
      <w:pPr>
        <w:pStyle w:val="TextBody"/>
        <w:bidi w:val="0"/>
        <w:spacing w:before="240" w:after="0"/>
        <w:jc w:val="both"/>
        <w:rPr>
          <w:rFonts w:ascii="Times New Roman" w:hAnsi="Times New Roman"/>
          <w:sz w:val="20"/>
        </w:rPr>
      </w:pPr>
      <w:r>
        <w:rPr>
          <w:rFonts w:ascii="Times New Roman" w:hAnsi="Times New Roman"/>
          <w:sz w:val="20"/>
        </w:rPr>
        <w:t xml:space="preserve">The exercise prices, vesting and other restrictions of the awards to be granted under the 2015 Plan and 2022 Plan are determined by the Board, except that no stock option may be issued with an exercise price less than the fair market value of the common stock at the date of the grant or have a term in excess of ten years. Options granted under the 2015 Plan and 2022 Plan are exercisable in whole or in part at any time subsequent to vesting.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the assumptions used in determining the fair value of option awards for the years ended December 31, 2021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1"/>
        <w:gridCol w:w="120"/>
        <w:gridCol w:w="1505"/>
        <w:gridCol w:w="120"/>
        <w:gridCol w:w="1509"/>
      </w:tblGrid>
      <w:tr>
        <w:trPr/>
        <w:tc>
          <w:tcPr>
            <w:tcW w:w="6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 Ended December 31,</w:t>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2021</w:t>
            </w:r>
          </w:p>
        </w:tc>
        <w:tc>
          <w:tcPr>
            <w:tcW w:w="120" w:type="dxa"/>
            <w:tcBorders/>
            <w:vAlign w:val="bottom"/>
          </w:tcPr>
          <w:p>
            <w:pPr>
              <w:pStyle w:val="TableContents"/>
              <w:bidi w:val="0"/>
              <w:spacing w:before="0" w:after="283"/>
              <w:jc w:val="left"/>
              <w:rPr/>
            </w:pPr>
            <w:r>
              <w:rPr/>
              <w:t>  </w:t>
            </w:r>
          </w:p>
        </w:tc>
        <w:tc>
          <w:tcPr>
            <w:tcW w:w="15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2022</w:t>
            </w:r>
          </w:p>
        </w:tc>
      </w:tr>
      <w:tr>
        <w:trPr/>
        <w:tc>
          <w:tcPr>
            <w:tcW w:w="69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70.0%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81.8%</w:t>
            </w:r>
          </w:p>
        </w:tc>
      </w:tr>
      <w:tr>
        <w:trPr/>
        <w:tc>
          <w:tcPr>
            <w:tcW w:w="69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0.60% - 1.10%</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1.60% - 4.35%</w:t>
            </w:r>
          </w:p>
        </w:tc>
      </w:tr>
      <w:tr>
        <w:trPr/>
        <w:tc>
          <w:tcPr>
            <w:tcW w:w="69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0%</w:t>
            </w:r>
          </w:p>
        </w:tc>
      </w:tr>
      <w:tr>
        <w:trPr/>
        <w:tc>
          <w:tcPr>
            <w:tcW w:w="69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6.25</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5.95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weighted-average grant-date fair value of the options granted was $1.14 and $1.53 per share for the years ended December 31, 2021 and 2022, respectively. The fair value of shares vested during the years ended December 31, 2021 and 2022 was $1.72 and $1.72 per share, respectively. The fair value of shares exercised during the years ended December 31, 2021 and 2022 was $1.14 and $1.62 per share,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stock option activity for the year ended December 31, 2022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3"/>
        <w:gridCol w:w="260"/>
        <w:gridCol w:w="60"/>
        <w:gridCol w:w="1028"/>
        <w:gridCol w:w="155"/>
        <w:gridCol w:w="219"/>
        <w:gridCol w:w="141"/>
        <w:gridCol w:w="933"/>
        <w:gridCol w:w="60"/>
        <w:gridCol w:w="260"/>
        <w:gridCol w:w="150"/>
        <w:gridCol w:w="1110"/>
        <w:gridCol w:w="60"/>
        <w:gridCol w:w="260"/>
        <w:gridCol w:w="140"/>
        <w:gridCol w:w="1068"/>
        <w:gridCol w:w="68"/>
      </w:tblGrid>
      <w:tr>
        <w:trPr/>
        <w:tc>
          <w:tcPr>
            <w:tcW w:w="4233"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23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8" w:type="dxa"/>
            <w:tcBorders/>
            <w:vAlign w:val="bottom"/>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2021</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3,038,416</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1.46</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6.92</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1,295</w:t>
            </w:r>
          </w:p>
        </w:tc>
        <w:tc>
          <w:tcPr>
            <w:tcW w:w="68"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882,140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2.16</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(129,103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78</w:t>
            </w:r>
          </w:p>
        </w:tc>
        <w:tc>
          <w:tcPr>
            <w:tcW w:w="68" w:type="dxa"/>
            <w:tcBorders/>
            <w:shd w:fill="CCEEFF" w:val="clear"/>
            <w:vAlign w:val="bottom"/>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Forfeited/expired</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(26,363</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233"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3,765,090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7.66</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2,685</w:t>
            </w:r>
          </w:p>
        </w:tc>
        <w:tc>
          <w:tcPr>
            <w:tcW w:w="68"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2022</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3,765,090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1.62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7.66</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2,685</w:t>
            </w:r>
          </w:p>
        </w:tc>
        <w:tc>
          <w:tcPr>
            <w:tcW w:w="68" w:type="dxa"/>
            <w:tcBorders/>
            <w:vAlign w:val="bottom"/>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December 31, 2022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2,479,333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r>
              <w:rPr/>
              <w:t>1.41</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6.95</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r>
              <w:rPr/>
              <w:t>2,306</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recorded stock-based compensation expense related to stock options of $1.1 million and $0.7 million for December 31, 2021 and 2022, respectively. The Company had an aggregate $1.7 million of gross unrecognized stock-based compensation expense as of December 31, 2022 remaining to be amortized over a weighted-average period of 3.0 years. </w:t>
      </w:r>
    </w:p>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related to stock options recorded in the accompanying statements of operations for the years ended December 31, 2021 and 2022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8"/>
        <w:gridCol w:w="222"/>
        <w:gridCol w:w="141"/>
        <w:gridCol w:w="1106"/>
        <w:gridCol w:w="60"/>
        <w:gridCol w:w="222"/>
        <w:gridCol w:w="141"/>
        <w:gridCol w:w="860"/>
        <w:gridCol w:w="65"/>
      </w:tblGrid>
      <w:tr>
        <w:trPr/>
        <w:tc>
          <w:tcPr>
            <w:tcW w:w="7388"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3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73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542</w:t>
            </w:r>
          </w:p>
        </w:tc>
        <w:tc>
          <w:tcPr>
            <w:tcW w:w="65" w:type="dxa"/>
            <w:tcBorders/>
            <w:shd w:fill="CCEEFF" w:val="clear"/>
            <w:vAlign w:val="bottom"/>
          </w:tcPr>
          <w:p>
            <w:pPr>
              <w:pStyle w:val="TableContents"/>
              <w:bidi w:val="0"/>
              <w:spacing w:before="0" w:after="283"/>
              <w:jc w:val="left"/>
              <w:rPr/>
            </w:pPr>
            <w:r>
              <w:rPr/>
              <w:t> </w:t>
            </w:r>
          </w:p>
        </w:tc>
      </w:tr>
      <w:tr>
        <w:trPr/>
        <w:tc>
          <w:tcPr>
            <w:tcW w:w="738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134</w:t>
            </w:r>
          </w:p>
        </w:tc>
        <w:tc>
          <w:tcPr>
            <w:tcW w:w="65" w:type="dxa"/>
            <w:tcBorders/>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3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r>
              <w:rPr/>
              <w:t>1,112</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        </w:t>
            </w:r>
            <w:r>
              <w:rPr/>
              <w:t>676</w:t>
            </w:r>
          </w:p>
        </w:tc>
        <w:tc>
          <w:tcPr>
            <w:tcW w:w="65" w:type="dxa"/>
            <w:tcBorders/>
            <w:shd w:fill="CCEEFF" w:val="clear"/>
            <w:vAlign w:val="bottom"/>
          </w:tcPr>
          <w:p>
            <w:pPr>
              <w:pStyle w:val="TableContents"/>
              <w:bidi w:val="0"/>
              <w:spacing w:before="0" w:after="283"/>
              <w:jc w:val="left"/>
              <w:rPr/>
            </w:pPr>
            <w:r>
              <w:rPr/>
              <w:t> </w:t>
            </w:r>
          </w:p>
        </w:tc>
      </w:tr>
      <w:tr>
        <w:trPr/>
        <w:tc>
          <w:tcPr>
            <w:tcW w:w="7388"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10. Income Taxes </w:t>
      </w:r>
    </w:p>
    <w:p>
      <w:pPr>
        <w:pStyle w:val="TextBody"/>
        <w:bidi w:val="0"/>
        <w:spacing w:before="120" w:after="0"/>
        <w:jc w:val="both"/>
        <w:rPr>
          <w:rFonts w:ascii="Times New Roman" w:hAnsi="Times New Roman"/>
          <w:sz w:val="20"/>
        </w:rPr>
      </w:pPr>
      <w:r>
        <w:rPr>
          <w:rFonts w:ascii="Times New Roman" w:hAnsi="Times New Roman"/>
          <w:sz w:val="20"/>
        </w:rPr>
        <w:t xml:space="preserve">A reconciliation of the expected income tax benefit computed using the federal statutory income tax rate to the Companys effective income tax rate was as follows for the years ended December 31, 2021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79"/>
        <w:gridCol w:w="490"/>
        <w:gridCol w:w="105"/>
        <w:gridCol w:w="1129"/>
        <w:gridCol w:w="378"/>
        <w:gridCol w:w="436"/>
        <w:gridCol w:w="105"/>
        <w:gridCol w:w="1129"/>
        <w:gridCol w:w="354"/>
      </w:tblGrid>
      <w:tr>
        <w:trPr/>
        <w:tc>
          <w:tcPr>
            <w:tcW w:w="607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07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32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4"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computed at federal statutory rate</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21.00</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21.00</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(0.01</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(0.19</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(0.48</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credit</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5.31</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1.80</w:t>
            </w:r>
          </w:p>
        </w:tc>
        <w:tc>
          <w:tcPr>
            <w:tcW w:w="354"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9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(26.11</w:t>
            </w:r>
          </w:p>
        </w:tc>
        <w:tc>
          <w:tcPr>
            <w:tcW w:w="37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(22.32</w:t>
            </w:r>
          </w:p>
        </w:tc>
        <w:tc>
          <w:tcPr>
            <w:tcW w:w="354"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378"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7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378"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deferred tax assets as of December 31, 2021 and 2022,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16"/>
        <w:gridCol w:w="385"/>
        <w:gridCol w:w="190"/>
        <w:gridCol w:w="1034"/>
        <w:gridCol w:w="155"/>
        <w:gridCol w:w="342"/>
        <w:gridCol w:w="190"/>
        <w:gridCol w:w="1034"/>
        <w:gridCol w:w="159"/>
      </w:tblGrid>
      <w:tr>
        <w:trPr/>
        <w:tc>
          <w:tcPr>
            <w:tcW w:w="6716"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1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9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7,791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12,663</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2,455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3,076</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credit</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425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424</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94</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Section 174</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2,194</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302</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576</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10,998</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19,027</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liabilities</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(100</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10,961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18,927</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(10,961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(18,927</w:t>
            </w:r>
          </w:p>
        </w:tc>
        <w:tc>
          <w:tcPr>
            <w:tcW w:w="159" w:type="dxa"/>
            <w:tcBorders/>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deferred tax asset</w:t>
            </w:r>
          </w:p>
        </w:tc>
        <w:tc>
          <w:tcPr>
            <w:tcW w:w="38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71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Deferred tax assets are reduced by a valuation allowance if, based on the weight of available positive and negative evidence, it is more likely than not that some portion or all of the deferred tax assets will not be realized. For the year ended December 31, 2022, the valuation allowance for deferred tax assets increased by $8.0 million. This increase was primarily related to the establishment of a valuation allowance against additional net operating loss, Section 174 capitalized research and experimental (R&amp;E) costs and research credits generated in the current year.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2022, the Company calculated $62.5 million and $0.2 million of federal and state (NOL) net operating loss carryforwards, respectively. These amounts are subject to certain return-to-provision adjustments. Of the $62.5 million in federal NOL carryforwards, $50.3 million is not subject to expiration and the other $12.2 million begin to expire in 2030. The state NOL carryforwards begin to expire in 2040. In addition, as of December 31, 2022, the Company had $3.7 million of federal R&amp;D credit carryovers which begin to expire in 2032 and $0.9 million of state credit carryovers, which can be carried forward indefinitely, and $0.4 million of foreign tax credit carryover which will expire in 2029. These loss and credit carryforwards are subject to review and possible adjustment by the appropriate taxing authorities. </w:t>
      </w:r>
    </w:p>
    <w:p>
      <w:pPr>
        <w:pStyle w:val="TextBody"/>
        <w:bidi w:val="0"/>
        <w:spacing w:before="240" w:after="0"/>
        <w:jc w:val="both"/>
        <w:rPr>
          <w:rFonts w:ascii="Times New Roman" w:hAnsi="Times New Roman"/>
          <w:sz w:val="20"/>
        </w:rPr>
      </w:pPr>
      <w:r>
        <w:rPr>
          <w:rFonts w:ascii="Times New Roman" w:hAnsi="Times New Roman"/>
          <w:sz w:val="20"/>
        </w:rPr>
        <w:t xml:space="preserve">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companies in the stock of a corporation by more than 50% over a three-year period. Since its formation, the Company has raised capital through the issuance of capital stock on several occasions. The Company believes one or more of these financings resulted in an ownership change as defined by Section 382, and consequently the Companys ability to fully utilize its NOL carryforwards will likely be limited. As a current analysis has not been performed, the amount of such limitations, if any, cannot be accurately estimated at this time.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2021 and 2022, the Company recorded $0.6 million and $0.7 million unrecognized tax benefits on R&amp;D credits. The Companys policy is to recognize interest and penalties accrued on any uncertain tax positions as a component of income tax expense, if any, in its statements of income. For the years ended December 31, 2021 and 2022, no estimated interest or penalties were recognized on uncertain tax positions.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reconciliation of the beginning and ending amount of gross unrecognized tax benefits, excluding interest and penalties,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7"/>
        <w:gridCol w:w="310"/>
        <w:gridCol w:w="199"/>
        <w:gridCol w:w="1027"/>
        <w:gridCol w:w="60"/>
        <w:gridCol w:w="310"/>
        <w:gridCol w:w="199"/>
        <w:gridCol w:w="1027"/>
        <w:gridCol w:w="66"/>
      </w:tblGrid>
      <w:tr>
        <w:trPr/>
        <w:tc>
          <w:tcPr>
            <w:tcW w:w="700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700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6" w:type="dxa"/>
            <w:tcBorders/>
            <w:vAlign w:val="bottom"/>
          </w:tcPr>
          <w:p>
            <w:pPr>
              <w:pStyle w:val="TableContents"/>
              <w:bidi w:val="0"/>
              <w:spacing w:before="0" w:after="283"/>
              <w:jc w:val="left"/>
              <w:rPr/>
            </w:pPr>
            <w:r>
              <w:rPr/>
              <w:t> </w:t>
            </w:r>
          </w:p>
        </w:tc>
      </w:tr>
      <w:tr>
        <w:trPr/>
        <w:tc>
          <w:tcPr>
            <w:tcW w:w="70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balance of unrecognized tax benefits</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580</w:t>
            </w:r>
          </w:p>
        </w:tc>
        <w:tc>
          <w:tcPr>
            <w:tcW w:w="66"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Additions for current year tax positions</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111</w:t>
            </w:r>
          </w:p>
        </w:tc>
        <w:tc>
          <w:tcPr>
            <w:tcW w:w="66"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70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Ending balance of unrecognized tax benefits</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      </w:t>
            </w:r>
            <w:r>
              <w:rPr/>
              <w:t>580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      </w:t>
            </w:r>
            <w:r>
              <w:rPr/>
              <w:t>691</w:t>
            </w:r>
          </w:p>
        </w:tc>
        <w:tc>
          <w:tcPr>
            <w:tcW w:w="66"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None of the unrecognized tax benefits, if recognized, would impact the annual effective tax rate, due to the valuation allowance. The Companys unrecognized tax benefits are recorded as a reduction in deferred tax assets. The Company does not expect any significant increases or decreases to the Companys unrecognized tax benefits within the next 12 months. Due to the valuation allowance, future changes in the Companys unrecognized tax benefits will not impact the Companys effective tax rate. The Company has not incurred any material interest or penalties as of the current reporting date with respect to income tax matters. </w:t>
      </w:r>
    </w:p>
    <w:p>
      <w:pPr>
        <w:pStyle w:val="TextBody"/>
        <w:bidi w:val="0"/>
        <w:spacing w:before="240" w:after="0"/>
        <w:jc w:val="both"/>
        <w:rPr>
          <w:rFonts w:ascii="Times New Roman" w:hAnsi="Times New Roman"/>
          <w:sz w:val="20"/>
        </w:rPr>
      </w:pPr>
      <w:r>
        <w:rPr>
          <w:rFonts w:ascii="Times New Roman" w:hAnsi="Times New Roman"/>
          <w:sz w:val="20"/>
        </w:rPr>
        <w:t xml:space="preserve">Tax Cuts and Jobs Acts (TCJA) amendment to Section 174 required Research and Experimental (R&amp;E) expenditures to be capitalized in the year the amounts are incurred for amounts paid in tax years starting after December 31, 2021. The capitalized amounts are then amortized over a period of five years, if the research is performed within the U.S., or 15 years, with respect to non-U.S. based research. The amended statute specifies that amortization will begin with the midpoint of the taxable year in which expenses are paid or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11. Debt </w:t>
      </w:r>
    </w:p>
    <w:p>
      <w:pPr>
        <w:pStyle w:val="TextBody"/>
        <w:bidi w:val="0"/>
        <w:spacing w:before="120" w:after="0"/>
        <w:jc w:val="left"/>
        <w:rPr>
          <w:rFonts w:ascii="Times New Roman" w:hAnsi="Times New Roman"/>
          <w:b/>
          <w:i/>
          <w:sz w:val="20"/>
        </w:rPr>
      </w:pPr>
      <w:r>
        <w:rPr>
          <w:rFonts w:ascii="Times New Roman" w:hAnsi="Times New Roman"/>
          <w:b/>
          <w:i/>
          <w:sz w:val="20"/>
        </w:rPr>
        <w:t xml:space="preserve">PPP Loan </w:t>
      </w:r>
    </w:p>
    <w:p>
      <w:pPr>
        <w:pStyle w:val="TextBody"/>
        <w:bidi w:val="0"/>
        <w:spacing w:before="120" w:after="0"/>
        <w:jc w:val="both"/>
        <w:rPr>
          <w:rFonts w:ascii="Times New Roman" w:hAnsi="Times New Roman"/>
          <w:sz w:val="20"/>
        </w:rPr>
      </w:pPr>
      <w:r>
        <w:rPr>
          <w:rFonts w:ascii="Times New Roman" w:hAnsi="Times New Roman"/>
          <w:sz w:val="20"/>
        </w:rPr>
        <w:t xml:space="preserve">In April 2020, the Company entered into the PPP Loan with SVB under the PPP, which is part of the CARES Act administered by the SBA. As part of the application for these funds, the Company in good faith, certified that the current economic uncertainty made the loan request necessary to support the ongoing operations of the Company. This certification further required the Company to take into account its current business activity and its ability to access other sources of liquidity sufficient to support ongoing operations in a manner that is not significantly detrimental to the business. Under the PPP, the Company received proceeds of $0.2 million from the PPP Loan. In accordance with the requirements of the PPP, the Company used the proceeds from the PPP Loan primarily for payroll costs. The PPP Loan had a 1.00% interest rate per annum, was scheduled to mature in April 2022, and was subject to the terms and conditions applicable to loans administered by the SBA under the PPP. Under the terms of PPP, all or certain amounts of the PPP Loan may have been forgiven if they were used for qualifying expenses, as described in the CARES Act. Further, if, despite the good-faith belief that, given the Companys circumstances all eligibility requirements for the PPP Loan were satisfied, it was later determined the Company had violated any applicable laws or regulations or it was otherwise determined the Company was ineligible to receive the PPP Loan, it may have been required to repay the PPP Loan in its entirety and/or be subject to additional penalties. The Company recorded the entire amount of the PPP Loan as debt. Under the terms of the PPP Loan, monthly payments of principal and interest were due to commence in November 2020, however, the SBA deferred loan payments for borrowers who applied for loan forgiveness until the SBA remitted the borrowers loan forgiveness amount to the lender. No payments were made in 2020. In January 2021, the Company completed an application for forgiveness of the PPP Loan. In January 2021, the SBA approved the forgiveness of the PPP Loan, plus accrued interest. </w:t>
      </w:r>
    </w:p>
    <w:p>
      <w:pPr>
        <w:pStyle w:val="TextBody"/>
        <w:bidi w:val="0"/>
        <w:spacing w:before="240" w:after="0"/>
        <w:jc w:val="both"/>
        <w:rPr>
          <w:rFonts w:ascii="Times New Roman" w:hAnsi="Times New Roman"/>
          <w:sz w:val="20"/>
        </w:rPr>
      </w:pPr>
      <w:r>
        <w:rPr>
          <w:rFonts w:ascii="Times New Roman" w:hAnsi="Times New Roman"/>
          <w:sz w:val="20"/>
        </w:rPr>
        <w:t xml:space="preserve">In January 2021, the Company entered into a second loan agreement (the Second PPP Loan) with SVB under the PPP and received proceeds of $0.2 million from the Second PPP Loan. The Second PPP Loan had a 1.00% interest rate per annum, was scheduled to mature in January 2026, and was subject to similar certifications, terms and conditions as applicable to the PPP Loan. The Company recorded the entire amount of the Second PPP Loan as debt. Under the terms of the Second PPP Loan, monthly payments of principal and interest were due to commence in June 2022, however, the SBA deferred loan payments for borrowers who applied for loan forgiveness until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SBA remitted the borrowers loan forgiveness amount to the lender. No payments were made in 2021. In June 2021, the SBA approved the forgiveness of the Second PPP Loan, plus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SVB Term Loan </w:t>
      </w:r>
    </w:p>
    <w:p>
      <w:pPr>
        <w:pStyle w:val="TextBody"/>
        <w:bidi w:val="0"/>
        <w:spacing w:before="120" w:after="0"/>
        <w:jc w:val="both"/>
        <w:rPr>
          <w:rFonts w:ascii="Times New Roman" w:hAnsi="Times New Roman"/>
          <w:sz w:val="20"/>
        </w:rPr>
      </w:pPr>
      <w:r>
        <w:rPr>
          <w:rFonts w:ascii="Times New Roman" w:hAnsi="Times New Roman"/>
          <w:sz w:val="20"/>
        </w:rPr>
        <w:t xml:space="preserve">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are not to exceed $5.0 million, in increments of $2.5 million each, were not drawn upon in 2021 or in 2022 and are only available on the achievement of certain milestones. In addition, at any time during the term of the Loan Agreement, the Company may request that SVB make one additional term loan available to the Company in an original principal amount equal to $10.0 million. SVB, in its sole and absolute discretion, may grant or deny any such request from the Company for this term loan. </w:t>
      </w:r>
    </w:p>
    <w:p>
      <w:pPr>
        <w:pStyle w:val="TextBody"/>
        <w:bidi w:val="0"/>
        <w:spacing w:before="240" w:after="0"/>
        <w:jc w:val="both"/>
        <w:rPr>
          <w:rFonts w:ascii="Times New Roman" w:hAnsi="Times New Roman"/>
          <w:sz w:val="20"/>
        </w:rPr>
      </w:pPr>
      <w:r>
        <w:rPr>
          <w:rFonts w:ascii="Times New Roman" w:hAnsi="Times New Roman"/>
          <w:sz w:val="20"/>
        </w:rPr>
        <w:t xml:space="preserve">Funds received under the Loan Agreement (the Term Loan Advances) shall be interest-only during an interest-only period (the Interest-Only Period), with interest due and payable monthly on the first calendar day of each month. The Interest-Only Period, which was from January 8, 2021 through January 31, 2022, was able to be extended through July 31, 2022 if the Company achieved certain milestones (the Interest-Only Extension Milestones). The Interest-Only Period was extended to July 31, 2022 upon the draw down of Tranche B funds in December 2021. In August and September 2022, the Company entered into amendments to the Loan Agreement (the Loan Agreement Amendments). Per the Loan Agreement Amendments, the Interest-Only Period was extended from July 31, 2022 until October 31, 2022 and the net cash proceeds related to one of the Interest-Only Extension Milestones (Interest-Only Extension Milestone 1) were increased from $50 million to $80 million. In addition, if Interest-Only Extension Milestone 1 was achieved, the Interest-Only Period would be extended until January 31, 2023. Interest-Only Extension Milestone 1 was achieved in September 2022 as a result of the sale of Series E. Thereafter, the Term Loan Advances are payable in thirty, twenty-four, or eighteen equal monthly installments (dependent on the achievement of the Interest-Only Extension Milestones) of principal plus accrued and unpaid interest (each a Term Loan Payment) beginning on the first day of the next month following the end of the Interest-Only Period and continuing on the first day of each month thereafter. </w:t>
      </w:r>
    </w:p>
    <w:p>
      <w:pPr>
        <w:pStyle w:val="TextBody"/>
        <w:bidi w:val="0"/>
        <w:spacing w:before="240" w:after="0"/>
        <w:jc w:val="both"/>
        <w:rPr>
          <w:rFonts w:ascii="Times New Roman" w:hAnsi="Times New Roman"/>
          <w:sz w:val="20"/>
        </w:rPr>
      </w:pPr>
      <w:r>
        <w:rPr>
          <w:rFonts w:ascii="Times New Roman" w:hAnsi="Times New Roman"/>
          <w:sz w:val="20"/>
        </w:rPr>
        <w:t xml:space="preserve">The Term Loan Advances accrue interest at a floating per annum rate equal to the greater of 3.25% above the Prime Rate or 6.50%, provided however, the interest rate shall not exceed 7.50% at any time. Immediately upon the occurrence and during the continuance of an event of default, obligations bear interest at a rate per annum which is 5.0% above the rate that is otherwise applicable. </w:t>
      </w:r>
    </w:p>
    <w:p>
      <w:pPr>
        <w:pStyle w:val="TextBody"/>
        <w:bidi w:val="0"/>
        <w:spacing w:before="240" w:after="0"/>
        <w:jc w:val="both"/>
        <w:rPr>
          <w:rFonts w:ascii="Times New Roman" w:hAnsi="Times New Roman"/>
          <w:sz w:val="20"/>
        </w:rPr>
      </w:pPr>
      <w:r>
        <w:rPr>
          <w:rFonts w:ascii="Times New Roman" w:hAnsi="Times New Roman"/>
          <w:sz w:val="20"/>
        </w:rPr>
        <w:t xml:space="preserve">The Companys final Term Loan Payment, due on July 1, 2024, shall include all outstanding principal and accrued and unpaid interest on the Term Loan Advances, a final payment (the Final Payment), and all other outstanding obligations with respect to the Term Loan Advances. The Final Payment shall equal the aggregate original amount of all Term Loan Advances made by SVB to the Company multiplied by 8.50%. The Final Payment is in addition to, and not a substitution for, the regular monthly payments of principal plus accrued interest. After repayment, no Term Loan Advance (or any portion thereof) may be reborrowed.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the option to prepay all, but not less than all, of the Term Loan Advances advanced by SVB under the Loan Agreement, provided the Company delivers written notice to SVB of its election to prepay such Term Loan Advances at least thirty days prior to such prepayment and pays, on the date of such prepayment, all outstanding principal due in connection with the Term Loan Advances, plus accrued and unpaid interest thereon, a prepayment fee (the Prepayment Fee), the Final Payment, and all other sums, if any, that have become due and payable in connection with the Term Loan Advances. </w:t>
      </w:r>
    </w:p>
    <w:p>
      <w:pPr>
        <w:pStyle w:val="TextBody"/>
        <w:bidi w:val="0"/>
        <w:spacing w:before="240" w:after="0"/>
        <w:jc w:val="both"/>
        <w:rPr>
          <w:rFonts w:ascii="Times New Roman" w:hAnsi="Times New Roman"/>
          <w:sz w:val="20"/>
        </w:rPr>
      </w:pPr>
      <w:r>
        <w:rPr>
          <w:rFonts w:ascii="Times New Roman" w:hAnsi="Times New Roman"/>
          <w:sz w:val="20"/>
        </w:rPr>
        <w:t xml:space="preserve">If the Term Loan Advances are accelerated following the occurrence of an event of default, the Company shall immediately pay to SVB an amount equal to the sum of all outstanding principal, due in connection with the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Loan Advances, plus accrued and unpaid interest thereon, a prepayment fee, the Final Payment, and all other sums, if any, that have become due and payable hereunder in connection with the Term Loan Advances. The prepayment fee equals 2.00% of the outstanding principal balance of the Term Loan Advances, if such prepayment occurs prior to January 8, 2022, or 1.00% of the outstanding principal balance of the Term Loan Advances if such prepayment occurs on or after January 8, 2022, but prior to January 8, 2023. The following situations constitutes an event of default; payment default, covenant default, material adverse change, attachment, levy, insolvency, judgements, penalties, misrepresentations, subordinated debt, guaranty, lien priority and governmental approvals.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initial public offering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2022, the principal amounts of long-term debt maturities for each of the following fiscal years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
        <w:gridCol w:w="117"/>
        <w:gridCol w:w="7864"/>
        <w:gridCol w:w="141"/>
        <w:gridCol w:w="149"/>
        <w:gridCol w:w="1068"/>
        <w:gridCol w:w="158"/>
      </w:tblGrid>
      <w:tr>
        <w:trPr/>
        <w:tc>
          <w:tcPr>
            <w:tcW w:w="708"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86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141"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7864"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2023</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8,966</w:t>
            </w:r>
          </w:p>
        </w:tc>
        <w:tc>
          <w:tcPr>
            <w:tcW w:w="158" w:type="dxa"/>
            <w:tcBorders/>
            <w:shd w:fill="CCEEFF" w:val="clear"/>
            <w:vAlign w:val="bottom"/>
          </w:tcPr>
          <w:p>
            <w:pPr>
              <w:pStyle w:val="TableContents"/>
              <w:bidi w:val="0"/>
              <w:spacing w:before="0" w:after="283"/>
              <w:jc w:val="left"/>
              <w:rPr/>
            </w:pPr>
            <w:r>
              <w:rPr/>
              <w:t> </w:t>
            </w:r>
          </w:p>
        </w:tc>
      </w:tr>
      <w:tr>
        <w:trPr/>
        <w:tc>
          <w:tcPr>
            <w:tcW w:w="708"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tcPr>
          <w:p>
            <w:pPr>
              <w:pStyle w:val="TableContents"/>
              <w:bidi w:val="0"/>
              <w:spacing w:before="0" w:after="20"/>
              <w:jc w:val="left"/>
              <w:rPr>
                <w:rFonts w:ascii="Times New Roman" w:hAnsi="Times New Roman"/>
                <w:sz w:val="20"/>
              </w:rPr>
            </w:pPr>
            <w:r>
              <w:rPr>
                <w:rFonts w:ascii="Times New Roman" w:hAnsi="Times New Roman"/>
                <w:sz w:val="20"/>
              </w:rPr>
              <w:t>2024</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7,309</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future principal payments</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r>
              <w:rPr/>
              <w:t>16,275</w:t>
            </w:r>
          </w:p>
        </w:tc>
        <w:tc>
          <w:tcPr>
            <w:tcW w:w="158" w:type="dxa"/>
            <w:tcBorders/>
            <w:shd w:fill="CCEEFF" w:val="clear"/>
            <w:vAlign w:val="bottom"/>
          </w:tcPr>
          <w:p>
            <w:pPr>
              <w:pStyle w:val="TableContents"/>
              <w:bidi w:val="0"/>
              <w:spacing w:before="0" w:after="283"/>
              <w:jc w:val="left"/>
              <w:rPr/>
            </w:pPr>
            <w:r>
              <w:rPr/>
              <w:t> </w:t>
            </w:r>
          </w:p>
        </w:tc>
      </w:tr>
      <w:tr>
        <w:trPr/>
        <w:tc>
          <w:tcPr>
            <w:tcW w:w="8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 and issuance costs</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(777</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value of long-term debt</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15,498</w:t>
            </w:r>
          </w:p>
        </w:tc>
        <w:tc>
          <w:tcPr>
            <w:tcW w:w="158" w:type="dxa"/>
            <w:tcBorders/>
            <w:shd w:fill="CCEEFF" w:val="clear"/>
            <w:vAlign w:val="bottom"/>
          </w:tcPr>
          <w:p>
            <w:pPr>
              <w:pStyle w:val="TableContents"/>
              <w:bidi w:val="0"/>
              <w:spacing w:before="0" w:after="283"/>
              <w:jc w:val="left"/>
              <w:rPr/>
            </w:pPr>
            <w:r>
              <w:rPr/>
              <w:t> </w:t>
            </w:r>
          </w:p>
        </w:tc>
      </w:tr>
      <w:tr>
        <w:trPr/>
        <w:tc>
          <w:tcPr>
            <w:tcW w:w="8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(8,966</w:t>
            </w:r>
          </w:p>
        </w:tc>
        <w:tc>
          <w:tcPr>
            <w:tcW w:w="158" w:type="dxa"/>
            <w:tcBorders/>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89" w:type="dxa"/>
            <w:gridSpan w:val="3"/>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w:t>
            </w:r>
          </w:p>
        </w:tc>
        <w:tc>
          <w:tcPr>
            <w:tcW w:w="14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6,532</w:t>
            </w:r>
          </w:p>
        </w:tc>
        <w:tc>
          <w:tcPr>
            <w:tcW w:w="158" w:type="dxa"/>
            <w:tcBorders/>
            <w:shd w:fill="CCEEFF" w:val="clear"/>
            <w:vAlign w:val="bottom"/>
          </w:tcPr>
          <w:p>
            <w:pPr>
              <w:pStyle w:val="TableContents"/>
              <w:bidi w:val="0"/>
              <w:spacing w:before="0" w:after="283"/>
              <w:jc w:val="left"/>
              <w:rPr/>
            </w:pPr>
            <w:r>
              <w:rPr/>
              <w:t> </w:t>
            </w:r>
          </w:p>
        </w:tc>
      </w:tr>
      <w:tr>
        <w:trPr/>
        <w:tc>
          <w:tcPr>
            <w:tcW w:w="708"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8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and diluted net loss per share was calculated as follows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(12,839</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(35,443</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(474</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(5,544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(7,871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(18,383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(43,788</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3,650,543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3,740,892</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(5.04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(11.71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excluded the following from the computation of diluted net loss per share attributable to common stockholders as of December 31, 2021 and 2022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17"/>
        <w:gridCol w:w="121"/>
        <w:gridCol w:w="60"/>
        <w:gridCol w:w="1101"/>
        <w:gridCol w:w="60"/>
        <w:gridCol w:w="121"/>
        <w:gridCol w:w="60"/>
        <w:gridCol w:w="1101"/>
        <w:gridCol w:w="64"/>
      </w:tblGrid>
      <w:tr>
        <w:trPr/>
        <w:tc>
          <w:tcPr>
            <w:tcW w:w="75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18,066,721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29,857,244</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3,038,416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3,765,090</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21,105,137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33,622,334</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Related Parties </w:t>
      </w:r>
    </w:p>
    <w:p>
      <w:pPr>
        <w:pStyle w:val="TextBody"/>
        <w:bidi w:val="0"/>
        <w:spacing w:before="120" w:after="0"/>
        <w:jc w:val="both"/>
        <w:rPr>
          <w:rFonts w:ascii="Times New Roman" w:hAnsi="Times New Roman"/>
          <w:sz w:val="20"/>
        </w:rPr>
      </w:pPr>
      <w:r>
        <w:rPr>
          <w:rFonts w:ascii="Times New Roman" w:hAnsi="Times New Roman"/>
          <w:sz w:val="20"/>
        </w:rPr>
        <w:t xml:space="preserve">In 2022, the Company entered into an agreement with an outside consulting firm for the provision of interim Chief Financial Officer (CFO) services. The Company paid the consulting firm for the provision of the interim CFO services rendered less than $0.1 million for services rendered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evaluated subsequent events through October 27, 2023, the date on which the December 31, 2022 financial statements were issued, to ensure these financial statements include appropriate disclosure of events both recognized in the financial statements and events which occurred but were not recognized in the financial statements. The Company has further evaluated subsequent events through January 18, 2024. The Company has concluded that no subsequent events have occurred that require disclosure, except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Repayment of Term Loan </w:t>
      </w:r>
    </w:p>
    <w:p>
      <w:pPr>
        <w:pStyle w:val="TextBody"/>
        <w:bidi w:val="0"/>
        <w:spacing w:before="120" w:after="0"/>
        <w:jc w:val="both"/>
        <w:rPr>
          <w:rFonts w:ascii="Times New Roman" w:hAnsi="Times New Roman"/>
          <w:sz w:val="20"/>
        </w:rPr>
      </w:pPr>
      <w:r>
        <w:rPr>
          <w:rFonts w:ascii="Times New Roman" w:hAnsi="Times New Roman"/>
          <w:sz w:val="20"/>
        </w:rPr>
        <w:t xml:space="preserve">On May 12, 2023, the Company repaid all outstanding principal and accrued and unpaid interest on the Term Loan Advances under the Loan Agreement and all other outstanding obligations with respect to the Term Loan Advances under the Loan Agreement and made the Final Payment. The Companys obligation to pay SVB the Success Fee remains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F Preferred Stock Securities Purchase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July 28, 2023, the Company entered into a securities purchase agreement (the Series F Agreement) with certain investors to sell shares of Series F redeemable convertible preferred stock (Series F) at a price of $1.2872 per share. In July 2023, the Company issued 81,587,937 shares of Series F redeemable convertible preferred stock to existing and new investors at a price of $1.2872 per share for gross cash proceeds of $105.0 million, less issuance costs of $0.4 million, resulting in net proceeds of $104.6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2024 Equity Incentive Plan (unaudited)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and stockholders approved the 2024 Equity Incentive Plan (the 2024 Plan), which will become effective on the date immediately preceding the date on which the Companys registration statement will be declared effective by the SEC. The 2024 Plan will replace the 2022 Plan (see Note 9)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initially available for issuance under awards granted pursuant to the 2024 Plan (which number includes 494,807 shares of common stock issuable upon the exercise of stock options, to be granted in connection with the offering at an exercise price equal to the initial public offering price) will be the sum of (1) 10% of the number of pricing date fully-diluted shares (as defined in the 2024 Plan), plus (2) any shares of the Companys common stock which, as of the effective date of the 2024 Plan, remain available for issuance under the 2022 Plan, plus (3) any shares subject to outstanding awards under the 2015 Plan and 2022 Plan as of the effective date of the 2024 Plan that become available for issuance under the 2024 Plan thereafter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(unaudited)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and stockholders approved the 2024 Employee Stock Purchase Plan (the 2024 ESPP), which will become effective on the date immediately preceding the date on which the Companys registration statement will be declared effective by the SEC. The number of shares initially available for issuance pursuant to the 2024 ESPP will be equal to a number of shares equal to 1% of the number of pricing date fully-diluted shares (as defined in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Stock Split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financial statements, on a retrospective basis, to reflect the reverse stock split for all periods presented. The par value of the common stock and preferred stock was not adjusted as a result of the reverse stock split. The number of authorized shares has not changed as the Company plans to file an amended and restated certificate of incorporation upon the closing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offering, were proportionally adjusted. Stockholders entitled to fractional shares as a result of the reverse stock split will receive a cash payment in lieu of receiving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fin551455_7"/>
      <w:bookmarkEnd w:id="32"/>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2"/>
        <w:gridCol w:w="436"/>
        <w:gridCol w:w="210"/>
        <w:gridCol w:w="1235"/>
        <w:gridCol w:w="155"/>
        <w:gridCol w:w="388"/>
        <w:gridCol w:w="203"/>
        <w:gridCol w:w="1288"/>
        <w:gridCol w:w="158"/>
      </w:tblGrid>
      <w:tr>
        <w:trPr/>
        <w:tc>
          <w:tcPr>
            <w:tcW w:w="6132"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2"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91" w:type="dxa"/>
            <w:gridSpan w:val="2"/>
            <w:tcBorders/>
            <w:vAlign w:val="bottom"/>
          </w:tcPr>
          <w:p>
            <w:pPr>
              <w:pStyle w:val="TableContents"/>
              <w:bidi w:val="0"/>
              <w:spacing w:before="0" w:after="283"/>
              <w:jc w:val="center"/>
              <w:rPr>
                <w:b/>
              </w:rPr>
            </w:pPr>
            <w:r>
              <w:rPr>
                <w:b/>
              </w:rPr>
              <w:t>(unaudited)</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88,143</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10,273</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Marketable securities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55,338</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193,476</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3,424</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5,958</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Other receivables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147,208</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209,708</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Property and equipment, net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74</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420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476</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Deferred offering costs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1,607</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147,747</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211,885</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Liabilities, Redeemable Convertible Preferred Stock and 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985</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1,961</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Success fee liability, current portion</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363</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current portion</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8,966</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Operating lease liabilities, current portion</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215</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5,289</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9,164</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15,429</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11,703</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6,532</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Success fee liability, non-current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liabilities, net of current portion</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257</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302</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liabilities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22,570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12,018</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Commitments and contingencies (Note 5)</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Redeemable convertible preferred shares:</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A-1 redeemable convertible preferred stock, $0.0001 par value per share; 5,075,000 shares authorized, issued and outstanding as of December 31, 2022 and September 30, 2023; liquidation value of $3,570 as of December 31, 2022 and September 30, 2023</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3,570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3,570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B redeemable convertible preferred stock, $0.0001 par value per share; 11,973,000 shares authorized, issued and outstanding as of December 31, 2022 and September 30, 2023; liquidation value of $10,000 as of December 31, 2022 and September 30, 2023</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10,000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C redeemable convertible preferred stock, $0.0001 par value per share; 73,598,283 shares authorized, issued and outstanding as of December 31, 2022 and September 30, 2023; liquidation value of $22,000 as of December 31, 2022 and September 30, 2023</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22,000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22,000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D redeemable convertible preferred stock, $0.0001 par value per share; 53,271,754 shares authorized, issued and outstanding as of December 31, 2022 and September 30, 2023; liquidation value of $47,300 as of December 31, 2022 and September 30, 2023</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47,300</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47,300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E redeemable convertible preferred stock, $0.0001 par value per share; 112,422,700 shares authorized, issued and outstanding as of December 31, 2022 and September 30, 2023; liquidation value of $120,000 as of December 31, 2022 and September 30, 2023, respectively</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120,000</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120,000</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Series F redeemable convertible preferred stock, $0.0001 par value per share; zero and 81,587,937 shares authorized, issued and outstanding as of December 31, 2022 and September 30, 2023, respectively; liquidation value of zero and $105,020 as of December 31, 2022 and September 30, 2023, respectively</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105,020</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$0.0001 par value per share; 393,500,000 and 493,530,000 shares authorized as of December 31, 2022 and September 30, 2023, respectively; 3,842,694 and 5,068,598 shares issued and outstanding as of December 31, 2022 and September 30, 2023, respectively</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3,642</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5,802</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(81,335</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(113,826</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stockholders deficit</w:t>
            </w:r>
          </w:p>
        </w:tc>
        <w:tc>
          <w:tcPr>
            <w:tcW w:w="43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(77,693</w:t>
            </w:r>
          </w:p>
        </w:tc>
        <w:tc>
          <w:tcPr>
            <w:tcW w:w="15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(108,023</w:t>
            </w:r>
          </w:p>
        </w:tc>
        <w:tc>
          <w:tcPr>
            <w:tcW w:w="158"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32" w:type="dxa"/>
            <w:tcBorders/>
          </w:tcPr>
          <w:p>
            <w:pPr>
              <w:pStyle w:val="TableContents"/>
              <w:bidi w:val="0"/>
              <w:spacing w:before="0" w:after="0"/>
              <w:jc w:val="left"/>
              <w:rPr>
                <w:rFonts w:ascii="Times New Roman" w:hAnsi="Times New Roman"/>
                <w:sz w:val="16"/>
              </w:rPr>
            </w:pPr>
            <w:r>
              <w:rPr>
                <w:rFonts w:ascii="Times New Roman" w:hAnsi="Times New Roman"/>
                <w:sz w:val="16"/>
              </w:rPr>
              <w:t>Total liabilities, redeemable convertible preferred stock and stockholders deficit</w:t>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147,747</w:t>
            </w:r>
          </w:p>
        </w:tc>
        <w:tc>
          <w:tcPr>
            <w:tcW w:w="15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211,885</w:t>
            </w:r>
          </w:p>
        </w:tc>
        <w:tc>
          <w:tcPr>
            <w:tcW w:w="158"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fin551455_8"/>
      <w:bookmarkEnd w:id="33"/>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collaboration revenue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203</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21,371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29,837</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4,751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6,883</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26,122</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36,720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(25,931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(36,517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(911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4,084</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(58</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(1,120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4,026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(4,162</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(12,846</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(31,626</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(45,747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(11.29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3,721,600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4,053,280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570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fin551455_9"/>
      <w:bookmarkEnd w:id="34"/>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21135" w:type="dxa"/>
        <w:jc w:val="center"/>
        <w:tblInd w:w="0" w:type="dxa"/>
        <w:tblLayout w:type="fixed"/>
        <w:tblCellMar>
          <w:top w:w="0" w:type="dxa"/>
          <w:left w:w="0" w:type="dxa"/>
          <w:bottom w:w="0" w:type="dxa"/>
          <w:right w:w="0" w:type="dxa"/>
        </w:tblCellMar>
      </w:tblPr>
      <w:tblGrid>
        <w:gridCol w:w="845"/>
        <w:gridCol w:w="60"/>
        <w:gridCol w:w="60"/>
        <w:gridCol w:w="980"/>
        <w:gridCol w:w="60"/>
        <w:gridCol w:w="60"/>
        <w:gridCol w:w="172"/>
        <w:gridCol w:w="688"/>
        <w:gridCol w:w="60"/>
        <w:gridCol w:w="60"/>
        <w:gridCol w:w="61"/>
        <w:gridCol w:w="1126"/>
        <w:gridCol w:w="61"/>
        <w:gridCol w:w="61"/>
        <w:gridCol w:w="146"/>
        <w:gridCol w:w="714"/>
        <w:gridCol w:w="60"/>
        <w:gridCol w:w="60"/>
        <w:gridCol w:w="61"/>
        <w:gridCol w:w="1134"/>
        <w:gridCol w:w="61"/>
        <w:gridCol w:w="61"/>
        <w:gridCol w:w="146"/>
        <w:gridCol w:w="714"/>
        <w:gridCol w:w="60"/>
        <w:gridCol w:w="60"/>
        <w:gridCol w:w="61"/>
        <w:gridCol w:w="1134"/>
        <w:gridCol w:w="61"/>
        <w:gridCol w:w="61"/>
        <w:gridCol w:w="146"/>
        <w:gridCol w:w="714"/>
        <w:gridCol w:w="60"/>
        <w:gridCol w:w="60"/>
        <w:gridCol w:w="61"/>
        <w:gridCol w:w="1126"/>
        <w:gridCol w:w="61"/>
        <w:gridCol w:w="61"/>
        <w:gridCol w:w="146"/>
        <w:gridCol w:w="714"/>
        <w:gridCol w:w="60"/>
        <w:gridCol w:w="60"/>
        <w:gridCol w:w="355"/>
        <w:gridCol w:w="355"/>
        <w:gridCol w:w="291"/>
        <w:gridCol w:w="291"/>
        <w:gridCol w:w="679"/>
        <w:gridCol w:w="292"/>
        <w:gridCol w:w="60"/>
        <w:gridCol w:w="60"/>
        <w:gridCol w:w="60"/>
        <w:gridCol w:w="980"/>
        <w:gridCol w:w="60"/>
        <w:gridCol w:w="60"/>
        <w:gridCol w:w="602"/>
        <w:gridCol w:w="258"/>
        <w:gridCol w:w="60"/>
        <w:gridCol w:w="60"/>
        <w:gridCol w:w="220"/>
        <w:gridCol w:w="880"/>
        <w:gridCol w:w="155"/>
        <w:gridCol w:w="60"/>
        <w:gridCol w:w="214"/>
        <w:gridCol w:w="1156"/>
        <w:gridCol w:w="155"/>
        <w:gridCol w:w="60"/>
        <w:gridCol w:w="1340"/>
        <w:gridCol w:w="15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Series A-1</w:t>
            </w:r>
            <w:r>
              <w:rPr/>
              <w:br/>
            </w:r>
            <w:r>
              <w:rPr>
                <w:b/>
              </w:rPr>
              <w:t>Redeemable</w:t>
              <w:b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pPr>
            <w:r>
              <w:rPr>
                <w:b/>
              </w:rPr>
              <w:t>Series F Redeemable</w:t>
            </w:r>
            <w:r>
              <w:rPr/>
              <w:br/>
            </w:r>
            <w:r>
              <w:rPr>
                <w:b/>
              </w:rP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84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11,973,000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73,598,283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53,271,754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3,713,579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(45,892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(42,618</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Issuance of Series E redeemable convertible preferred stock (inclusive of deemed dividend of $413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67,277,209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71,812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(413</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528</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w:t>
            </w:r>
          </w:p>
        </w:tc>
        <w:tc>
          <w:tcPr>
            <w:tcW w:w="29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(27,051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(27,051</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b/>
                <w:sz w:val="14"/>
              </w:rPr>
            </w:pPr>
            <w:r>
              <w:rPr>
                <w:rFonts w:ascii="Times New Roman" w:hAnsi="Times New Roman"/>
                <w:b/>
                <w:sz w:val="14"/>
              </w:rPr>
              <w:t>Balance at September 30,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11,973,000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73,598,283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53,271,754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67,277,209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71,812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w:t>
            </w:r>
          </w:p>
        </w:tc>
        <w:tc>
          <w:tcPr>
            <w:tcW w:w="29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w:t>
            </w:r>
          </w:p>
        </w:tc>
        <w:tc>
          <w:tcPr>
            <w:tcW w:w="29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3,727,443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w:t>
            </w:r>
          </w:p>
        </w:tc>
        <w:tc>
          <w:tcPr>
            <w:tcW w:w="2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p>
            <w:pPr>
              <w:pStyle w:val="TableContents"/>
              <w:bidi w:val="0"/>
              <w:spacing w:before="0" w:after="283"/>
              <w:jc w:val="right"/>
              <w:rPr/>
            </w:pPr>
            <w:r>
              <w:rPr/>
              <w:t>(72,943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(69,536</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21263" w:type="dxa"/>
        <w:jc w:val="center"/>
        <w:tblInd w:w="0" w:type="dxa"/>
        <w:tblLayout w:type="fixed"/>
        <w:tblCellMar>
          <w:top w:w="0" w:type="dxa"/>
          <w:left w:w="0" w:type="dxa"/>
          <w:bottom w:w="0" w:type="dxa"/>
          <w:right w:w="0" w:type="dxa"/>
        </w:tblCellMar>
      </w:tblPr>
      <w:tblGrid>
        <w:gridCol w:w="845"/>
        <w:gridCol w:w="60"/>
        <w:gridCol w:w="60"/>
        <w:gridCol w:w="980"/>
        <w:gridCol w:w="60"/>
        <w:gridCol w:w="60"/>
        <w:gridCol w:w="172"/>
        <w:gridCol w:w="688"/>
        <w:gridCol w:w="60"/>
        <w:gridCol w:w="60"/>
        <w:gridCol w:w="61"/>
        <w:gridCol w:w="1126"/>
        <w:gridCol w:w="61"/>
        <w:gridCol w:w="61"/>
        <w:gridCol w:w="146"/>
        <w:gridCol w:w="714"/>
        <w:gridCol w:w="60"/>
        <w:gridCol w:w="60"/>
        <w:gridCol w:w="61"/>
        <w:gridCol w:w="1134"/>
        <w:gridCol w:w="61"/>
        <w:gridCol w:w="61"/>
        <w:gridCol w:w="146"/>
        <w:gridCol w:w="714"/>
        <w:gridCol w:w="60"/>
        <w:gridCol w:w="60"/>
        <w:gridCol w:w="61"/>
        <w:gridCol w:w="1134"/>
        <w:gridCol w:w="61"/>
        <w:gridCol w:w="61"/>
        <w:gridCol w:w="146"/>
        <w:gridCol w:w="714"/>
        <w:gridCol w:w="60"/>
        <w:gridCol w:w="60"/>
        <w:gridCol w:w="60"/>
        <w:gridCol w:w="1220"/>
        <w:gridCol w:w="60"/>
        <w:gridCol w:w="60"/>
        <w:gridCol w:w="140"/>
        <w:gridCol w:w="800"/>
        <w:gridCol w:w="60"/>
        <w:gridCol w:w="60"/>
        <w:gridCol w:w="60"/>
        <w:gridCol w:w="1100"/>
        <w:gridCol w:w="60"/>
        <w:gridCol w:w="60"/>
        <w:gridCol w:w="140"/>
        <w:gridCol w:w="800"/>
        <w:gridCol w:w="60"/>
        <w:gridCol w:w="60"/>
        <w:gridCol w:w="60"/>
        <w:gridCol w:w="980"/>
        <w:gridCol w:w="60"/>
        <w:gridCol w:w="60"/>
        <w:gridCol w:w="430"/>
        <w:gridCol w:w="430"/>
        <w:gridCol w:w="60"/>
        <w:gridCol w:w="60"/>
        <w:gridCol w:w="220"/>
        <w:gridCol w:w="880"/>
        <w:gridCol w:w="155"/>
        <w:gridCol w:w="60"/>
        <w:gridCol w:w="188"/>
        <w:gridCol w:w="1182"/>
        <w:gridCol w:w="155"/>
        <w:gridCol w:w="60"/>
        <w:gridCol w:w="1340"/>
        <w:gridCol w:w="15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A-1</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E 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F 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84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11,973,000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73,598,283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53,271,754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47,300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3,842,694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3,642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(81,335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(77,693</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Issuance of Series F redeemable convertible preferred stock (inclusive of deemed dividend of $410 to accrete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105,020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(410</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1,225,904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1,821</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750</w:t>
            </w:r>
          </w:p>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(32,491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(32,491</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b/>
                <w:sz w:val="14"/>
              </w:rPr>
            </w:pPr>
            <w:r>
              <w:rPr>
                <w:rFonts w:ascii="Times New Roman" w:hAnsi="Times New Roman"/>
                <w:b/>
                <w:sz w:val="14"/>
              </w:rPr>
              <w:t>Balance at September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11,973,000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73,598,283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53,271,754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47,300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112,422,700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105,020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5,068,598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5,802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p>
            <w:pPr>
              <w:pStyle w:val="TableContents"/>
              <w:bidi w:val="0"/>
              <w:spacing w:before="0" w:after="283"/>
              <w:jc w:val="right"/>
              <w:rPr/>
            </w:pPr>
            <w:r>
              <w:rPr/>
              <w:t>(113,826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(108,023</w:t>
            </w:r>
          </w:p>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182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fin551455_10"/>
      <w:bookmarkEnd w:id="35"/>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0"/>
        <w:gridCol w:w="116"/>
        <w:gridCol w:w="140"/>
        <w:gridCol w:w="759"/>
        <w:gridCol w:w="155"/>
        <w:gridCol w:w="116"/>
        <w:gridCol w:w="140"/>
        <w:gridCol w:w="910"/>
        <w:gridCol w:w="159"/>
      </w:tblGrid>
      <w:tr>
        <w:trPr/>
        <w:tc>
          <w:tcPr>
            <w:tcW w:w="771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1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loan fees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Final payment amortization and loss on debt extinguishment</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336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767</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amortization</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750</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current assets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(2,233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630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2,925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2,867</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(22,975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(29,618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marketable securities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(138,138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(138,138</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Proceeds from Series E redeemable convertible preferred stock financing, net of issuance costs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62,976</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F redeemable convertible preferred stock, net of issuance costs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104,625</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long-term debt</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(16,290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1,821</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62,994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89,886</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 and restricted cash</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40,004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(77,870</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53,607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88,143</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93,611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10,273</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Instructions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376</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taxes</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Schedule of Noncash Investing and Financing Activities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unpaid for Series E and Series F redeemable convertible preferred stock</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issuance of Series E redeemable convertible preferred stock</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13,727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unpaid and accrued</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1,338</w:t>
            </w:r>
          </w:p>
        </w:tc>
        <w:tc>
          <w:tcPr>
            <w:tcW w:w="159" w:type="dxa"/>
            <w:tcBorders/>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obtained in exchange for lease liabilities</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221</w:t>
            </w:r>
          </w:p>
        </w:tc>
        <w:tc>
          <w:tcPr>
            <w:tcW w:w="159" w:type="dxa"/>
            <w:tcBorders/>
            <w:shd w:fill="CCEEFF" w:val="clear"/>
            <w:vAlign w:val="bottom"/>
          </w:tcPr>
          <w:p>
            <w:pPr>
              <w:pStyle w:val="TableContents"/>
              <w:bidi w:val="0"/>
              <w:spacing w:before="0" w:after="283"/>
              <w:jc w:val="left"/>
              <w:rPr/>
            </w:pPr>
            <w:r>
              <w:rPr/>
              <w:t> </w:t>
            </w:r>
          </w:p>
        </w:tc>
      </w:tr>
      <w:tr>
        <w:trPr/>
        <w:tc>
          <w:tcPr>
            <w:tcW w:w="7710"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fin551455_11"/>
      <w:bookmarkEnd w:id="36"/>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both"/>
        <w:rPr>
          <w:rFonts w:ascii="Times New Roman" w:hAnsi="Times New Roman"/>
          <w:sz w:val="20"/>
        </w:rPr>
      </w:pPr>
      <w:r>
        <w:rPr>
          <w:rFonts w:ascii="Times New Roman" w:hAnsi="Times New Roman"/>
          <w:sz w:val="20"/>
        </w:rPr>
        <w:t xml:space="preserve">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Managements Plans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 Company had approximately $203.7 million of cash and cash equivalents and marketable securities and working capital of approximately $198.0 million. The Company has a relatively limited operating history, and the revenue and income potential of the Companys business and market are unproven. The Company has experienced net losses and negative cash flows from operations since its inception and, as of September 30, 2023, the Company had an accumulated deficit of $113.8 million. During the nine months ended September 30, 2023, the Company incurred a net loss of $32.5 million and negative cash flows from operations of $29.6 million.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the Company does or does not complete an initial public offering, the Company may pursue additional funding through private equity financings, debt financings, collaborations, strategic alliances and marketing, distribution or licensing arrangements. Although the Company has been successful in raising capital in the past, there is no assurance that the Company will be successful in obtaining such additional financing on terms acceptable to the Company, if at all, and the Company may not be able to enter into collaborations or other arrangements. If the Company is unable to obtain funding, the Company could be forced to delay, reduce or eliminate its research and development programs, which could adversely affect its business prospects and its ability to continue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unaudited condensed financial statements as of September 30, 2023 and for the nine months ended September 30, 2022 and 2023 have been prepared in accordance with U.S. generally accepted accounting principle (U.S. GAAP) for interim financial information and pursuant to Article 10 of Regulation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nine months ended September 30, 2023 are not necessarily indicative of the results expected for the full fiscal year or any subsequent interim period. The condensed balance sheet at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consolidated financial statements for the year ended December 31, 2022 included elsewhere in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both"/>
        <w:rPr>
          <w:rFonts w:ascii="Times New Roman" w:hAnsi="Times New Roman"/>
          <w:sz w:val="20"/>
        </w:rPr>
      </w:pPr>
      <w:r>
        <w:rPr>
          <w:rFonts w:ascii="Times New Roman" w:hAnsi="Times New Roman"/>
          <w:sz w:val="20"/>
        </w:rPr>
        <w:t xml:space="preserve">The Companys significant accounting policies are disclosed in the audited consolidated financial statements appearing elsewhere in this prospectus. Since the date of such audited consolidated financial statements, there have been no changes to the Companys significant accounting policies, except as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both"/>
        <w:rPr>
          <w:rFonts w:ascii="Times New Roman" w:hAnsi="Times New Roman"/>
          <w:sz w:val="20"/>
        </w:rPr>
      </w:pPr>
      <w:r>
        <w:rPr>
          <w:rFonts w:ascii="Times New Roman" w:hAnsi="Times New Roman"/>
          <w:sz w:val="20"/>
        </w:rPr>
        <w:t xml:space="preserve">The Company capitalizes as deferred offering costs all direct and incremental legal, professional, accounting and other third-party fees incurred in connection with the Companys initial public offering (IPO). The deferred offering costs will be offset against the IPO proceeds upon the consummation of an offering. As of December 31, 2022 and September 30, 2023, respectively, the Company had zero and $1.6 million in deferred offering costs, of which $0.3 million were in accounts payable and $1.0 million were in accrued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Classification of the Companys Series A-1, B, C, D, E and F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July 28, 2028, by class and if requested by a requisite majority of each class. See Note 7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carrying values of the Series A-1, B, C, D, E and F redeemable convertible preferred stock are reported at their respective redemption values.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tables present the financial instruments carried at fair value on a recurring basis as of December 31, 2022 and September 30, 2023, respectively, in accordance with the ASC 820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9"/>
        <w:gridCol w:w="252"/>
        <w:gridCol w:w="182"/>
        <w:gridCol w:w="928"/>
        <w:gridCol w:w="78"/>
        <w:gridCol w:w="282"/>
        <w:gridCol w:w="182"/>
        <w:gridCol w:w="1055"/>
        <w:gridCol w:w="78"/>
        <w:gridCol w:w="281"/>
        <w:gridCol w:w="268"/>
        <w:gridCol w:w="747"/>
        <w:gridCol w:w="78"/>
        <w:gridCol w:w="282"/>
        <w:gridCol w:w="182"/>
        <w:gridCol w:w="1115"/>
        <w:gridCol w:w="66"/>
      </w:tblGrid>
      <w:tr>
        <w:trPr/>
        <w:tc>
          <w:tcPr>
            <w:tcW w:w="414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7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2022</w:t>
            </w:r>
          </w:p>
        </w:tc>
        <w:tc>
          <w:tcPr>
            <w:tcW w:w="66"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3  </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87,143</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87,143</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55,338</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55,338</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4149" w:type="dxa"/>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374"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352</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352</w:t>
            </w:r>
          </w:p>
        </w:tc>
        <w:tc>
          <w:tcPr>
            <w:tcW w:w="66" w:type="dxa"/>
            <w:tcBorders/>
            <w:shd w:fill="CCEEFF" w:val="clear"/>
            <w:vAlign w:val="bottom"/>
          </w:tcPr>
          <w:p>
            <w:pPr>
              <w:pStyle w:val="TableContents"/>
              <w:bidi w:val="0"/>
              <w:spacing w:before="0" w:after="283"/>
              <w:jc w:val="left"/>
              <w:rPr/>
            </w:pPr>
            <w:r>
              <w:rPr/>
              <w:t> </w:t>
            </w:r>
          </w:p>
        </w:tc>
      </w:tr>
      <w:tr>
        <w:trPr>
          <w:trHeight w:val="240" w:hRule="atLeast"/>
        </w:trPr>
        <w:tc>
          <w:tcPr>
            <w:tcW w:w="4149" w:type="dxa"/>
            <w:tcBorders/>
            <w:vAlign w:val="center"/>
          </w:tcPr>
          <w:p>
            <w:pPr>
              <w:pStyle w:val="TableContents"/>
              <w:bidi w:val="0"/>
              <w:spacing w:before="0" w:after="283"/>
              <w:jc w:val="left"/>
              <w:rPr>
                <w:sz w:val="4"/>
                <w:szCs w:val="4"/>
              </w:rPr>
            </w:pPr>
            <w:r>
              <w:rPr>
                <w:sz w:val="4"/>
                <w:szCs w:val="4"/>
              </w:rPr>
            </w:r>
          </w:p>
        </w:tc>
        <w:tc>
          <w:tcPr>
            <w:tcW w:w="6056" w:type="dxa"/>
            <w:gridSpan w:val="16"/>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7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September 30, 2023</w:t>
            </w:r>
          </w:p>
        </w:tc>
        <w:tc>
          <w:tcPr>
            <w:tcW w:w="66"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9,830</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9,830</w:t>
            </w:r>
          </w:p>
        </w:tc>
        <w:tc>
          <w:tcPr>
            <w:tcW w:w="66"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193,476</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193,476</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4149" w:type="dxa"/>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374"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5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 fee liability</w:t>
            </w:r>
          </w:p>
        </w:tc>
        <w:tc>
          <w:tcPr>
            <w:tcW w:w="25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376</w:t>
            </w:r>
          </w:p>
        </w:tc>
        <w:tc>
          <w:tcPr>
            <w:tcW w:w="78"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376</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w:t>
      </w:r>
    </w:p>
    <w:p>
      <w:pPr>
        <w:pStyle w:val="TextBody"/>
        <w:bidi w:val="0"/>
        <w:spacing w:before="240" w:after="0"/>
        <w:jc w:val="both"/>
        <w:rPr>
          <w:rFonts w:ascii="Times New Roman" w:hAnsi="Times New Roman"/>
          <w:sz w:val="20"/>
        </w:rPr>
      </w:pPr>
      <w:r>
        <w:rPr>
          <w:rFonts w:ascii="Times New Roman" w:hAnsi="Times New Roman"/>
          <w:sz w:val="20"/>
        </w:rPr>
        <w:t xml:space="preserve">The success fee liability associated with the Loan and Security Agreement (the Loan Agreement) the Company entered into in January 2021 was classified as a Level 3 fair value measurement, due to the use of unobservable inputs. See Note 10 for additional information on the success fee. </w:t>
      </w:r>
    </w:p>
    <w:p>
      <w:pPr>
        <w:pStyle w:val="TextBody"/>
        <w:bidi w:val="0"/>
        <w:spacing w:before="240" w:after="0"/>
        <w:jc w:val="both"/>
        <w:rPr>
          <w:rFonts w:ascii="Times New Roman" w:hAnsi="Times New Roman"/>
          <w:sz w:val="20"/>
        </w:rPr>
      </w:pPr>
      <w:r>
        <w:rPr>
          <w:rFonts w:ascii="Times New Roman" w:hAnsi="Times New Roman"/>
          <w:sz w:val="20"/>
        </w:rPr>
        <w:t xml:space="preserve">There were no transfers between Level 1 and Level 2 of the fair value hierarchy during the year ended December 31, 2022 and the nine months ended September 30, 2023.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summary of the changes in the Companys Level 3 fair value measurement: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32"/>
        <w:gridCol w:w="372"/>
        <w:gridCol w:w="140"/>
        <w:gridCol w:w="398"/>
        <w:gridCol w:w="63"/>
      </w:tblGrid>
      <w:tr>
        <w:trPr/>
        <w:tc>
          <w:tcPr>
            <w:tcW w:w="9232"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3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352</w:t>
            </w:r>
          </w:p>
        </w:tc>
        <w:tc>
          <w:tcPr>
            <w:tcW w:w="63" w:type="dxa"/>
            <w:tcBorders/>
            <w:shd w:fill="CCEEFF" w:val="clear"/>
            <w:vAlign w:val="bottom"/>
          </w:tcPr>
          <w:p>
            <w:pPr>
              <w:pStyle w:val="TableContents"/>
              <w:bidi w:val="0"/>
              <w:spacing w:before="0" w:after="283"/>
              <w:jc w:val="left"/>
              <w:rPr/>
            </w:pPr>
            <w:r>
              <w:rPr/>
              <w:t> </w:t>
            </w:r>
          </w:p>
        </w:tc>
      </w:tr>
      <w:tr>
        <w:trPr/>
        <w:tc>
          <w:tcPr>
            <w:tcW w:w="92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success fee</w:t>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3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9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2023</w:t>
            </w:r>
          </w:p>
        </w:tc>
        <w:tc>
          <w:tcPr>
            <w:tcW w:w="3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376</w:t>
            </w:r>
          </w:p>
        </w:tc>
        <w:tc>
          <w:tcPr>
            <w:tcW w:w="63" w:type="dxa"/>
            <w:tcBorders/>
            <w:shd w:fill="CCEEFF" w:val="clear"/>
            <w:vAlign w:val="bottom"/>
          </w:tcPr>
          <w:p>
            <w:pPr>
              <w:pStyle w:val="TableContents"/>
              <w:bidi w:val="0"/>
              <w:spacing w:before="0" w:after="283"/>
              <w:jc w:val="left"/>
              <w:rPr/>
            </w:pPr>
            <w:r>
              <w:rPr/>
              <w:t> </w:t>
            </w:r>
          </w:p>
        </w:tc>
      </w:tr>
      <w:tr>
        <w:trPr/>
        <w:tc>
          <w:tcPr>
            <w:tcW w:w="923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The components of accrued expenses and other current liabilities for the year ended December 31, 2022 and for the nine months ended September 30,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8"/>
        <w:gridCol w:w="484"/>
        <w:gridCol w:w="283"/>
        <w:gridCol w:w="1153"/>
        <w:gridCol w:w="60"/>
        <w:gridCol w:w="484"/>
        <w:gridCol w:w="295"/>
        <w:gridCol w:w="1194"/>
        <w:gridCol w:w="64"/>
      </w:tblGrid>
      <w:tr>
        <w:trPr/>
        <w:tc>
          <w:tcPr>
            <w:tcW w:w="618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18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3,136</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4,775</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Personnel-related expenses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1,833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2,929</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1,008</w:t>
            </w:r>
          </w:p>
        </w:tc>
        <w:tc>
          <w:tcPr>
            <w:tcW w:w="64" w:type="dxa"/>
            <w:tcBorders/>
            <w:vAlign w:val="bottom"/>
          </w:tcPr>
          <w:p>
            <w:pPr>
              <w:pStyle w:val="TableContents"/>
              <w:bidi w:val="0"/>
              <w:spacing w:before="0" w:after="283"/>
              <w:jc w:val="left"/>
              <w:rPr/>
            </w:pPr>
            <w:r>
              <w:rPr/>
              <w:t> </w:t>
            </w:r>
          </w:p>
        </w:tc>
      </w:tr>
      <w:tr>
        <w:trPr/>
        <w:tc>
          <w:tcPr>
            <w:tcW w:w="6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59</w:t>
            </w:r>
          </w:p>
        </w:tc>
        <w:tc>
          <w:tcPr>
            <w:tcW w:w="64" w:type="dxa"/>
            <w:tcBorders/>
            <w:shd w:fill="CCEEFF" w:val="clear"/>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1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5,289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9,164</w:t>
            </w:r>
          </w:p>
        </w:tc>
        <w:tc>
          <w:tcPr>
            <w:tcW w:w="64" w:type="dxa"/>
            <w:tcBorders/>
            <w:vAlign w:val="bottom"/>
          </w:tcPr>
          <w:p>
            <w:pPr>
              <w:pStyle w:val="TableContents"/>
              <w:bidi w:val="0"/>
              <w:spacing w:before="0" w:after="283"/>
              <w:jc w:val="left"/>
              <w:rPr/>
            </w:pPr>
            <w:r>
              <w:rPr/>
              <w:t> </w:t>
            </w:r>
          </w:p>
        </w:tc>
      </w:tr>
      <w:tr>
        <w:trPr/>
        <w:tc>
          <w:tcPr>
            <w:tcW w:w="618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2022 and September 30, 2023, the Company had two operating leases, in which the Company was the lessee for office space. As of December 31, 2022, the lease terms were through 2023 and 2025. As of September 30, 2023, the lease terms were through 2025 and 2026. The Company had no finance leases as of December 31, 2022 and September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lease expense for the nine months ended September 30, 2022 and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4"/>
        <w:gridCol w:w="485"/>
        <w:gridCol w:w="236"/>
        <w:gridCol w:w="752"/>
        <w:gridCol w:w="381"/>
        <w:gridCol w:w="451"/>
        <w:gridCol w:w="235"/>
        <w:gridCol w:w="753"/>
        <w:gridCol w:w="278"/>
      </w:tblGrid>
      <w:tr>
        <w:trPr/>
        <w:tc>
          <w:tcPr>
            <w:tcW w:w="6634"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634"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28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8" w:type="dxa"/>
            <w:tcBorders/>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8" w:type="dxa"/>
            <w:tcBorders/>
            <w:vAlign w:val="bottom"/>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117</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175</w:t>
            </w:r>
          </w:p>
        </w:tc>
        <w:tc>
          <w:tcPr>
            <w:tcW w:w="278" w:type="dxa"/>
            <w:tcBorders/>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381"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117</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175</w:t>
            </w:r>
          </w:p>
        </w:tc>
        <w:tc>
          <w:tcPr>
            <w:tcW w:w="278" w:type="dxa"/>
            <w:tcBorders/>
            <w:shd w:fill="CCEEFF" w:val="clear"/>
            <w:vAlign w:val="bottom"/>
          </w:tcPr>
          <w:p>
            <w:pPr>
              <w:pStyle w:val="TableContents"/>
              <w:bidi w:val="0"/>
              <w:spacing w:before="0" w:after="283"/>
              <w:jc w:val="left"/>
              <w:rPr/>
            </w:pPr>
            <w:r>
              <w:rPr/>
              <w:t> </w:t>
            </w:r>
          </w:p>
        </w:tc>
      </w:tr>
      <w:tr>
        <w:trPr/>
        <w:tc>
          <w:tcPr>
            <w:tcW w:w="6634"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752" w:type="dxa"/>
            <w:tcBorders/>
            <w:vAlign w:val="bottom"/>
          </w:tcPr>
          <w:p>
            <w:pPr>
              <w:pStyle w:val="TableContents"/>
              <w:pBdr>
                <w:top w:val="double" w:sz="6" w:space="1" w:color="000000"/>
              </w:pBdr>
              <w:bidi w:val="0"/>
              <w:spacing w:before="0" w:after="0"/>
              <w:jc w:val="left"/>
              <w:rPr/>
            </w:pPr>
            <w:r>
              <w:rPr/>
              <w:t> </w:t>
            </w:r>
          </w:p>
        </w:tc>
        <w:tc>
          <w:tcPr>
            <w:tcW w:w="381"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6634"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Cash paid for amounts included in the measurement </w:t>
              <w:br/>
              <w:t>of lease liabilities, included in operating cash flows</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97</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161</w:t>
            </w:r>
          </w:p>
        </w:tc>
        <w:tc>
          <w:tcPr>
            <w:tcW w:w="278" w:type="dxa"/>
            <w:tcBorders/>
            <w:shd w:fill="CCEEFF" w:val="clear"/>
            <w:vAlign w:val="bottom"/>
          </w:tcPr>
          <w:p>
            <w:pPr>
              <w:pStyle w:val="TableContents"/>
              <w:bidi w:val="0"/>
              <w:spacing w:before="0" w:after="283"/>
              <w:jc w:val="left"/>
              <w:rPr/>
            </w:pPr>
            <w:r>
              <w:rPr/>
              <w:t> </w:t>
            </w:r>
          </w:p>
        </w:tc>
      </w:tr>
      <w:tr>
        <w:trPr/>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4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2.65</w:t>
            </w:r>
          </w:p>
        </w:tc>
        <w:tc>
          <w:tcPr>
            <w:tcW w:w="381"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2.38</w:t>
            </w:r>
          </w:p>
        </w:tc>
        <w:tc>
          <w:tcPr>
            <w:tcW w:w="278" w:type="dxa"/>
            <w:tcBorders/>
            <w:vAlign w:val="bottom"/>
          </w:tcPr>
          <w:p>
            <w:pPr>
              <w:pStyle w:val="TableContents"/>
              <w:bidi w:val="0"/>
              <w:spacing w:before="0" w:after="283"/>
              <w:jc w:val="left"/>
              <w:rPr/>
            </w:pPr>
            <w:r>
              <w:rPr/>
              <w:t> </w:t>
            </w:r>
          </w:p>
        </w:tc>
      </w:tr>
      <w:tr>
        <w:trPr/>
        <w:tc>
          <w:tcPr>
            <w:tcW w:w="66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1.63</w:t>
            </w:r>
          </w:p>
        </w:tc>
        <w:tc>
          <w:tcPr>
            <w:tcW w:w="381"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1.63</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Maturities of lease liabilities as of September 30, 2023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7"/>
        <w:gridCol w:w="338"/>
        <w:gridCol w:w="140"/>
        <w:gridCol w:w="383"/>
        <w:gridCol w:w="157"/>
      </w:tblGrid>
      <w:tr>
        <w:trPr/>
        <w:tc>
          <w:tcPr>
            <w:tcW w:w="9187"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338"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58</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223</w:t>
            </w:r>
          </w:p>
        </w:tc>
        <w:tc>
          <w:tcPr>
            <w:tcW w:w="157" w:type="dxa"/>
            <w:tcBorders/>
            <w:vAlign w:val="bottom"/>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187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59</w:t>
            </w:r>
          </w:p>
        </w:tc>
        <w:tc>
          <w:tcPr>
            <w:tcW w:w="157" w:type="dxa"/>
            <w:tcBorders/>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527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imputed interest</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9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obligations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517</w:t>
            </w:r>
          </w:p>
        </w:tc>
        <w:tc>
          <w:tcPr>
            <w:tcW w:w="157" w:type="dxa"/>
            <w:tcBorders/>
            <w:shd w:fill="CCEEFF" w:val="clear"/>
            <w:vAlign w:val="bottom"/>
          </w:tcPr>
          <w:p>
            <w:pPr>
              <w:pStyle w:val="TableContents"/>
              <w:bidi w:val="0"/>
              <w:spacing w:before="0" w:after="283"/>
              <w:jc w:val="left"/>
              <w:rPr/>
            </w:pPr>
            <w:r>
              <w:rPr/>
              <w:t> </w:t>
            </w:r>
          </w:p>
        </w:tc>
      </w:tr>
      <w:tr>
        <w:trPr/>
        <w:tc>
          <w:tcPr>
            <w:tcW w:w="918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A liability for loss contingencies arising from claims, assessments, litigation, fines, penalties, and other sources is recorded in the financial statements if it is determined that it is probable that a loss has been incurred, and that the amount (or range) of the loss can be reasonably estimated. There are no matters currently outstanding for which any liabilities have been accrued or require disclosure.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September 30, 2023, the Company had not experienced any losses related to these indemnification obligations, and no claims with respect thereto were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Lepu Biotech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Please refer to the audited financial statements appearing elsewhere in this prospectus for additional information on the Lepu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recorded zero and less than $0.1 million in development income for the nine months ended September 30, 2022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Kissei Pharmaceutical Co., Ltd. </w:t>
      </w:r>
    </w:p>
    <w:p>
      <w:pPr>
        <w:pStyle w:val="TextBody"/>
        <w:bidi w:val="0"/>
        <w:spacing w:before="120" w:after="0"/>
        <w:jc w:val="both"/>
        <w:rPr>
          <w:rFonts w:ascii="Times New Roman" w:hAnsi="Times New Roman"/>
          <w:sz w:val="20"/>
        </w:rPr>
      </w:pPr>
      <w:r>
        <w:rPr>
          <w:rFonts w:ascii="Times New Roman" w:hAnsi="Times New Roman"/>
          <w:sz w:val="20"/>
        </w:rPr>
        <w:t xml:space="preserve">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Please refer to the audited financial statements appearing elsewhere in this prospectus for additional information on the Kissei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 recorded $0.2 million in development income for the nine months ended September 30, 2022 and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7.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as of December 31, 2022 and September 30, 2023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5"/>
        <w:gridCol w:w="175"/>
        <w:gridCol w:w="60"/>
        <w:gridCol w:w="1316"/>
        <w:gridCol w:w="60"/>
        <w:gridCol w:w="175"/>
        <w:gridCol w:w="60"/>
        <w:gridCol w:w="1316"/>
        <w:gridCol w:w="60"/>
        <w:gridCol w:w="175"/>
        <w:gridCol w:w="219"/>
        <w:gridCol w:w="1346"/>
        <w:gridCol w:w="59"/>
        <w:gridCol w:w="175"/>
        <w:gridCol w:w="82"/>
        <w:gridCol w:w="1635"/>
        <w:gridCol w:w="67"/>
      </w:tblGrid>
      <w:tr>
        <w:trPr/>
        <w:tc>
          <w:tcPr>
            <w:tcW w:w="322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December 31, 2022</w:t>
            </w:r>
          </w:p>
        </w:tc>
        <w:tc>
          <w:tcPr>
            <w:tcW w:w="175"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A-1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3,570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1,252,438</w:t>
            </w:r>
          </w:p>
        </w:tc>
        <w:tc>
          <w:tcPr>
            <w:tcW w:w="67"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B</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10,000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3,508,584</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C</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22,000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7,718,740</w:t>
            </w:r>
          </w:p>
        </w:tc>
        <w:tc>
          <w:tcPr>
            <w:tcW w:w="67"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D</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47,300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5,586,959</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120,000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11,790,523</w:t>
            </w:r>
          </w:p>
        </w:tc>
        <w:tc>
          <w:tcPr>
            <w:tcW w:w="67" w:type="dxa"/>
            <w:tcBorders/>
            <w:shd w:fill="CCEEFF" w:val="clear"/>
            <w:vAlign w:val="bottom"/>
          </w:tcPr>
          <w:p>
            <w:pPr>
              <w:pStyle w:val="TableContents"/>
              <w:bidi w:val="0"/>
              <w:spacing w:before="0" w:after="283"/>
              <w:jc w:val="left"/>
              <w:rPr/>
            </w:pPr>
            <w:r>
              <w:rPr/>
              <w:t> </w:t>
            </w:r>
          </w:p>
        </w:tc>
      </w:tr>
      <w:tr>
        <w:trPr>
          <w:trHeight w:val="240" w:hRule="atLeast"/>
        </w:trPr>
        <w:tc>
          <w:tcPr>
            <w:tcW w:w="3225" w:type="dxa"/>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c>
          <w:tcPr>
            <w:tcW w:w="1799" w:type="dxa"/>
            <w:gridSpan w:val="4"/>
            <w:tcBorders/>
            <w:vAlign w:val="center"/>
          </w:tcPr>
          <w:p>
            <w:pPr>
              <w:pStyle w:val="TableContents"/>
              <w:bidi w:val="0"/>
              <w:spacing w:before="0" w:after="283"/>
              <w:jc w:val="left"/>
              <w:rPr>
                <w:sz w:val="4"/>
                <w:szCs w:val="4"/>
              </w:rPr>
            </w:pPr>
            <w:r>
              <w:rPr>
                <w:sz w:val="4"/>
                <w:szCs w:val="4"/>
              </w:rPr>
            </w:r>
          </w:p>
        </w:tc>
        <w:tc>
          <w:tcPr>
            <w:tcW w:w="1959" w:type="dxa"/>
            <w:gridSpan w:val="4"/>
            <w:tcBorders/>
            <w:vAlign w:val="center"/>
          </w:tcPr>
          <w:p>
            <w:pPr>
              <w:pStyle w:val="TableContents"/>
              <w:bidi w:val="0"/>
              <w:spacing w:before="0" w:after="283"/>
              <w:jc w:val="left"/>
              <w:rPr>
                <w:sz w:val="4"/>
                <w:szCs w:val="4"/>
              </w:rPr>
            </w:pPr>
            <w:r>
              <w:rPr>
                <w:sz w:val="4"/>
                <w:szCs w:val="4"/>
              </w:rPr>
            </w:r>
          </w:p>
        </w:tc>
      </w:tr>
      <w:tr>
        <w:trPr/>
        <w:tc>
          <w:tcPr>
            <w:tcW w:w="32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September 30, 2023</w:t>
            </w:r>
          </w:p>
        </w:tc>
        <w:tc>
          <w:tcPr>
            <w:tcW w:w="175"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 &amp;</w:t>
              <w:br/>
              <w:t>Carrying</w:t>
              <w:br/>
              <w:t>Value</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w:t>
              <w:br/>
              <w:t>Upon</w:t>
              <w:br/>
              <w:t>Conversion</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A-1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5,075,000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3,570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1,252,438</w:t>
            </w:r>
          </w:p>
        </w:tc>
        <w:tc>
          <w:tcPr>
            <w:tcW w:w="67"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B</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11,973,000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10,000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3,508,584</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C</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73,598,283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22,000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7,718,740</w:t>
            </w:r>
          </w:p>
        </w:tc>
        <w:tc>
          <w:tcPr>
            <w:tcW w:w="67"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D</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53,271,754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47,300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5,586,959</w:t>
            </w:r>
          </w:p>
        </w:tc>
        <w:tc>
          <w:tcPr>
            <w:tcW w:w="67"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112,422,700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120,000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11,790,523</w:t>
            </w:r>
          </w:p>
        </w:tc>
        <w:tc>
          <w:tcPr>
            <w:tcW w:w="67"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F</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81,587,937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105,020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8,556,669</w:t>
            </w:r>
          </w:p>
        </w:tc>
        <w:tc>
          <w:tcPr>
            <w:tcW w:w="6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F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On July 28, 2023, the Company entered into a securities purchase agreement (Series F Agreement) with certain investors to sell shares of Series F redeemable convertible preferred stock (Series F) at $1.2872 per share. In July 2023, the Company issued 81,587,937 shares of Series F redeemable convertible preferred stock to existing and new investors at $1.2872 per share for gross cash proceeds of $105.0 million, less issuance costs of $0.4 million, resulting in net proceeds of $104.6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Privileges and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Each preferred stockholder is entitled to cast the number of votes equal to the number of whole shares of common stock into which the shares of preferred stock held by such holder are convertible at the time of such vote</w:t>
      </w:r>
      <w:r>
        <w:rPr>
          <w:rFonts w:ascii="Times New Roman" w:hAnsi="Times New Roman"/>
          <w:b/>
          <w:sz w:val="20"/>
        </w:rPr>
        <w:t xml:space="preserve">. </w:t>
      </w:r>
      <w:r>
        <w:rPr>
          <w:rFonts w:ascii="Times New Roman" w:hAnsi="Times New Roman"/>
          <w:sz w:val="20"/>
        </w:rPr>
        <w:t xml:space="preserve">All preferred stockholders are entitled to vote on all matters upon which holders of common stock have the right to vote, other than matters that must by law be voted by class or series vote.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preferred stock as of September 30, 2023 are as follows: Series A-1 1:4.05, Series B 1:3.412, and Series C, D, E, and F 1:9.535. </w:t>
      </w:r>
    </w:p>
    <w:p>
      <w:pPr>
        <w:pStyle w:val="TextBody"/>
        <w:bidi w:val="0"/>
        <w:spacing w:before="240" w:after="0"/>
        <w:jc w:val="both"/>
        <w:rPr>
          <w:rFonts w:ascii="Times New Roman" w:hAnsi="Times New Roman"/>
          <w:sz w:val="20"/>
        </w:rPr>
      </w:pPr>
      <w:r>
        <w:rPr>
          <w:rFonts w:ascii="Times New Roman" w:hAnsi="Times New Roman"/>
          <w:sz w:val="20"/>
        </w:rPr>
        <w:t xml:space="preserve">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$100.0 million of gross proceeds to the Company and (2) in which the pre-money valuation of the Company immediately prior to such public offering is at least $700.0 million or (ii) upon the written consent of the holders of at least 75% of the then-outstanding shares of convertible preferred stock voting together as a single class and not as separate series, and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Series F Preferred Stock shall be entitled to receive, prior and in preference to any other class or series of capital stock, cumulative cash dividends, when, as and if declared by the Board, out of any funds that are legally available, at the rate of 8% of the Series F Initial Purchase Price of $1.2872 per annum on each outstanding share of Series F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holders of Series E Preferred Stock shall be entitled to receive, prior and in preference to the holders of Series D Preferred Stock and Series C Preferred Stock (together, the Senior Preferred Stock), Series B Preferred Stock, Series A-1 Preferred Stock and common stock, cumulative cash dividends, when, as and if declared by board of directors, out of any funds that are legally available, at the rate of 8% of the Series E Initial Purchase Price per annum on each outstanding share of Series E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and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E Preferred Stock, 8% of the Series E Initial Purchase Price per annum on each outstanding share of Series E Preferred Stock, subject to adjustment for any stock dividends, combinations, splits, recapitalizations and the like with respect to such shares (ii)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(iii) with respect to the Series C Preferred Stock, 8% of the Series C Initial Purchase Price per annum on each outstanding share of Series C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issuance and distribution of dividends to holders of Series F Preferred Stock,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of Directors, out of any funds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A-1 Preferred Stock, 8% of the Series A-1 Initial Purchase Price per annum on each outstanding share of Series A-1 Preferred Stock, subject to adjustment for any stock dividends, combinations, splits, recapitalizations and the like with respect to such shares. </w:t>
      </w:r>
    </w:p>
    <w:p>
      <w:pPr>
        <w:pStyle w:val="TextBody"/>
        <w:bidi w:val="0"/>
        <w:spacing w:before="240" w:after="0"/>
        <w:jc w:val="both"/>
        <w:rPr>
          <w:rFonts w:ascii="Times New Roman" w:hAnsi="Times New Roman"/>
          <w:sz w:val="20"/>
        </w:rPr>
      </w:pPr>
      <w:r>
        <w:rPr>
          <w:rFonts w:ascii="Times New Roman" w:hAnsi="Times New Roman"/>
          <w:sz w:val="20"/>
        </w:rPr>
        <w:t xml:space="preserve">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 </w:t>
      </w:r>
    </w:p>
    <w:p>
      <w:pPr>
        <w:pStyle w:val="TextBody"/>
        <w:bidi w:val="0"/>
        <w:spacing w:before="240" w:after="0"/>
        <w:jc w:val="both"/>
        <w:rPr>
          <w:rFonts w:ascii="Times New Roman" w:hAnsi="Times New Roman"/>
          <w:sz w:val="20"/>
        </w:rPr>
      </w:pPr>
      <w:r>
        <w:rPr>
          <w:rFonts w:ascii="Times New Roman" w:hAnsi="Times New Roman"/>
          <w:sz w:val="20"/>
        </w:rPr>
        <w:t xml:space="preserve">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 ended December 31, 2022 and the nine months ended September 30, 2023.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610"/>
        <w:gridCol w:w="9191"/>
      </w:tblGrid>
      <w:tr>
        <w:trPr/>
        <w:tc>
          <w:tcPr>
            <w:tcW w:w="404"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1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holders of Series F Preferred Stock shall be entitled to be paid out of the assets of the Company, prior and in preference to any distribution of the proceeds of such liquidation, dissolution or winding up to the holders of Series E Preferred Stock, Senior Preferred Stock, Series B Preferred Stock, Series A-1 Preferred Stock or common stock, an amount per share of Series F Preferred Stock equal to the Series F Initial Purchase Price, plus all declared but unpaid dividends on the Series E Preferred Stock, for each share of Series F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F Preferred Stock, the holders of Series E Preferred Stock shall be entitled to be paid out of the assets of the Company, prior and in preference to any distribution of the proceeds of such liquidation, dissolution or winding up to the holders of Senior 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1"/>
        <w:gridCol w:w="9188"/>
      </w:tblGrid>
      <w:tr>
        <w:trPr/>
        <w:tc>
          <w:tcPr>
            <w:tcW w:w="4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 pursuant to holders of Series F Preferred Stock and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 (i) with respect to the Series D Preferred Stock, an amount per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before="0" w:after="283"/>
              <w:jc w:val="left"/>
              <w:rPr/>
            </w:pPr>
            <w:r>
              <w:rPr/>
              <w:t> </w:t>
            </w:r>
          </w:p>
        </w:tc>
        <w:tc>
          <w:tcPr>
            <w:tcW w:w="91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 of Series D Preferred Stock equal to the Series D Initial Purchase Price, plus all declared but unpaid dividends on the Series D Preferred Stock, for each share of Series D Preferred Stock then held and (ii) with respect to the Series C Preferred Stock, an amount per share of Series C Preferred Stock equal to the Series C Initial Purchase Price, plus all declared but unpaid dividends on the Series C Preferred Stock, for each share of Series C Preferred Stock then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Following the distributions pursuant to holders of Series F Preferred Stock,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2"/>
        <w:gridCol w:w="9188"/>
      </w:tblGrid>
      <w:tr>
        <w:trPr/>
        <w:tc>
          <w:tcPr>
            <w:tcW w:w="40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upon any such liquidation, dissolution or winding up, the assets of the Company shall be insufficient to make payment in full of the liquidation preferences described in (i), (ii), (iii) and (iv) above, then such assets shall be distributed in the following order of priority: (a) to the holders of Series F Preferred Stock in preference and ratably in proportion to the full amounts to which they would otherwise be respectively entitled pursuant to in (i) above, (b) any remaining assets then to the holders of Series E Preferred Stock in preference and ratably in proportion to the full amounts to which they would otherwise be respectively entitled pursuant to (ii) above, (c) any remaining assets then to the holders of each series of Senior Preferred Stock in preference and ratably in proportion to the full amounts to which they would otherwise be respectively entitled pursuant to (iii) above, and (d) any remaining assets then to the holders of Series B Preferred Stock and Series A-1 Preferred Stock ratably in proportion to the full amounts to which they would otherwise be respectively entitled pursuant to (iv) above.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After the payment of the full liquidation preferences as set out above, the remaining assets of the Company legally available for distribution, if any, shall be distributed ratably to the holders of the common stock, Series F Preferred Stock on an as-converted to common stock basis,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F Preferred Stock on an as-converted to common stock basis, Series E Preferred Stock on an as-converted to common stock basis and Senior Preferred Stock on an as-converted to common stock basis.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both"/>
        <w:rPr>
          <w:rFonts w:ascii="Times New Roman" w:hAnsi="Times New Roman"/>
          <w:sz w:val="20"/>
        </w:rPr>
      </w:pPr>
      <w:r>
        <w:rPr>
          <w:rFonts w:ascii="Times New Roman" w:hAnsi="Times New Roman"/>
          <w:sz w:val="20"/>
        </w:rPr>
        <w:t xml:space="preserve">At any time, following July 28, 2028, Convertible Preferred Shares are redeemable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A-1 redeemable convertible preferred stock, all of the outstanding Series A-1 redeemable convertible preferred stock shall be redeemed by paying in cash in exchange for the shares of Series A-1 redeemable convertible preferred stock to be redeemed an amount equal to the Series A-1 Initial Purchase Price per share of Series A-1 redeemable convertible preferred stock (as adjusted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vAlign w:val="center"/>
          </w:tcPr>
          <w:p>
            <w:pPr>
              <w:pStyle w:val="TableContents"/>
              <w:bidi w:val="0"/>
              <w:spacing w:before="0" w:after="283"/>
              <w:jc w:val="left"/>
              <w:rPr/>
            </w:pPr>
            <w:r>
              <w:rPr/>
              <w:t> </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stock dividends, combinations, splits, recapitalizations and the like with respect to such shares), plus any and all declared but unpaid dividends with respect to such shares of Series A-1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w:t>
            </w:r>
          </w:p>
        </w:tc>
        <w:tc>
          <w:tcPr>
            <w:tcW w:w="91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in writing by holders of a majority of the then-outstanding shares of Series F redeemable convertible preferred stock and to the extent affirmatively elected by a holder not to redeem, all of the outstanding Series F Preferred Stock shall be redeemed by paying in cash in exchange for the shares of Series F Preferred Stock to be redeemed (other than those holders of Series F Preferred Stock that affirmatively choose to not participate in such redemption) an amount equal to: the Series F Initial Purchase Price per share of Series F Preferred Stock (as adjusted for any stock dividends, combinations, splits, recapitalizations and the like with respect to such shares), plus any and all declared but unpaid dividends with respect to such shares of Series 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up to 393,500,000 and 493,530,000 shares of common stock at December 31, 2022 and September 30, 2023, respectively, of which 3,842,694 and 5,068,598 shares were issued and outstanding at December 31, 2022 and September 30, 2023, respectively. </w:t>
      </w:r>
    </w:p>
    <w:p>
      <w:pPr>
        <w:pStyle w:val="TextBody"/>
        <w:bidi w:val="0"/>
        <w:spacing w:before="240" w:after="0"/>
        <w:jc w:val="both"/>
        <w:rPr>
          <w:rFonts w:ascii="Times New Roman" w:hAnsi="Times New Roman"/>
          <w:sz w:val="20"/>
        </w:rPr>
      </w:pPr>
      <w:r>
        <w:rPr>
          <w:rFonts w:ascii="Times New Roman" w:hAnsi="Times New Roman"/>
          <w:sz w:val="20"/>
        </w:rPr>
        <w:t xml:space="preserve">Voting, dividend and liquidation rights of the holders of the common stock are subject to and qualified by the rights, powers and preferences of the holders of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payment in full of all preferential dividends to which the holders of the preferred stock are entitled, the holders of common stock shall be entitled to receive dividends out of funds legally available therefor at such times and in such amounts as the board of directors may determine in its sole discretion, with holders of preferred stock and common stock sharing </w:t>
      </w:r>
      <w:r>
        <w:rPr>
          <w:rFonts w:ascii="Times New Roman" w:hAnsi="Times New Roman"/>
          <w:i/>
          <w:sz w:val="20"/>
        </w:rPr>
        <w:t>pari passu</w:t>
      </w:r>
      <w:r>
        <w:rPr>
          <w:rFonts w:ascii="Times New Roman" w:hAnsi="Times New Roman"/>
          <w:sz w:val="20"/>
        </w:rPr>
        <w:t xml:space="preserve"> in such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Reserved Shares </w:t>
      </w:r>
    </w:p>
    <w:p>
      <w:pPr>
        <w:pStyle w:val="TextBody"/>
        <w:bidi w:val="0"/>
        <w:spacing w:before="120" w:after="0"/>
        <w:jc w:val="both"/>
        <w:rPr>
          <w:rFonts w:ascii="Times New Roman" w:hAnsi="Times New Roman"/>
          <w:sz w:val="20"/>
        </w:rPr>
      </w:pPr>
      <w:r>
        <w:rPr>
          <w:rFonts w:ascii="Times New Roman" w:hAnsi="Times New Roman"/>
          <w:sz w:val="20"/>
        </w:rPr>
        <w:t xml:space="preserve">As of September 30, 2023, the Company reserved the following shares of common stock for issuance upon conversion of the outstanding redeemable convertible preferred stock and exercise of stock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35"/>
        <w:gridCol w:w="231"/>
        <w:gridCol w:w="76"/>
        <w:gridCol w:w="1400"/>
        <w:gridCol w:w="63"/>
      </w:tblGrid>
      <w:tr>
        <w:trPr/>
        <w:tc>
          <w:tcPr>
            <w:tcW w:w="843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3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23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38,413,913</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issuance</w:t>
            </w:r>
          </w:p>
        </w:tc>
        <w:tc>
          <w:tcPr>
            <w:tcW w:w="23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1,123,823</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23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4,688,990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44,226,726</w:t>
            </w:r>
          </w:p>
        </w:tc>
        <w:tc>
          <w:tcPr>
            <w:tcW w:w="63" w:type="dxa"/>
            <w:tcBorders/>
            <w:vAlign w:val="bottom"/>
          </w:tcPr>
          <w:p>
            <w:pPr>
              <w:pStyle w:val="TableContents"/>
              <w:bidi w:val="0"/>
              <w:spacing w:before="0" w:after="283"/>
              <w:jc w:val="left"/>
              <w:rPr/>
            </w:pPr>
            <w:r>
              <w:rPr/>
              <w:t> </w:t>
            </w:r>
          </w:p>
        </w:tc>
      </w:tr>
      <w:tr>
        <w:trPr/>
        <w:tc>
          <w:tcPr>
            <w:tcW w:w="843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2015, the Company established the 2015 Plan, under which the Company may grant options and restricted stock to its employees and certain non-employees. The maximum number of shares of common stock reserved for issuance under the 2015 Plan is 3,405,091 shares. As of September 30, 2023, there were 1,914,774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The maximum number of shares of common stock reserved for issuance under the 2022 Plan is 3,927,889 shares. As of September 30, 2023, there were 2,774,216 shares of common stock subject to outstanding awards and 1,123,823 shares of common stock remaining and available for issuance under the 2022 Plan.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grant options to purchase authorized but unissued shares of the Companys common stock. Options granted under the 2015 Plan and 2022 Plan include incentive stock options that can be granted only to the Companys employees and non-statutory stock options that can be granted to the Companys employees, consultants, advisors and directors. </w:t>
      </w:r>
    </w:p>
    <w:p>
      <w:pPr>
        <w:pStyle w:val="TextBody"/>
        <w:bidi w:val="0"/>
        <w:spacing w:before="240" w:after="0"/>
        <w:jc w:val="both"/>
        <w:rPr>
          <w:rFonts w:ascii="Times New Roman" w:hAnsi="Times New Roman"/>
          <w:sz w:val="20"/>
        </w:rPr>
      </w:pPr>
      <w:r>
        <w:rPr>
          <w:rFonts w:ascii="Times New Roman" w:hAnsi="Times New Roman"/>
          <w:sz w:val="20"/>
        </w:rPr>
        <w:t xml:space="preserve">The exercise prices, vesting and other restrictions of the awards to be granted under the 2015 Plan and 2022 Plan are determined by the Board, except that no stock option may be issued with an exercise price less than the fair market value of the common stock at the date of the grant or have a term in excess of ten years. Options granted under the 2015 Plan and 2022 Plan are exercisable in whole or in part at any time subsequent to vesting.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the assumptions used in determining the fair value of option awards for the nine months ended September 30, 2022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1"/>
        <w:gridCol w:w="120"/>
        <w:gridCol w:w="1505"/>
        <w:gridCol w:w="120"/>
        <w:gridCol w:w="1509"/>
      </w:tblGrid>
      <w:tr>
        <w:trPr/>
        <w:tc>
          <w:tcPr>
            <w:tcW w:w="6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4" w:type="dxa"/>
            <w:gridSpan w:val="3"/>
            <w:tcBorders/>
            <w:vAlign w:val="bottom"/>
          </w:tcPr>
          <w:p>
            <w:pPr>
              <w:pStyle w:val="TableContents"/>
              <w:bidi w:val="0"/>
              <w:spacing w:before="0" w:after="283"/>
              <w:jc w:val="center"/>
              <w:rPr>
                <w:b/>
              </w:rPr>
            </w:pPr>
            <w:r>
              <w:rPr>
                <w:b/>
              </w:rPr>
              <w:t>Nine Months Ended</w:t>
              <w:br/>
              <w:t>September 30,</w:t>
            </w:r>
          </w:p>
        </w:tc>
      </w:tr>
      <w:tr>
        <w:trPr/>
        <w:tc>
          <w:tcPr>
            <w:tcW w:w="695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1509"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r>
      <w:tr>
        <w:trPr/>
        <w:tc>
          <w:tcPr>
            <w:tcW w:w="6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80.6%</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81.7%</w:t>
            </w:r>
          </w:p>
        </w:tc>
      </w:tr>
      <w:tr>
        <w:trPr/>
        <w:tc>
          <w:tcPr>
            <w:tcW w:w="695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1.60% - 2.88%</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3.58% - 4.35%</w:t>
            </w:r>
          </w:p>
        </w:tc>
      </w:tr>
      <w:tr>
        <w:trPr/>
        <w:tc>
          <w:tcPr>
            <w:tcW w:w="6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0%</w:t>
            </w:r>
          </w:p>
        </w:tc>
        <w:tc>
          <w:tcPr>
            <w:tcW w:w="120"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0%</w:t>
            </w:r>
          </w:p>
        </w:tc>
      </w:tr>
      <w:tr>
        <w:trPr/>
        <w:tc>
          <w:tcPr>
            <w:tcW w:w="695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5.81</w:t>
            </w:r>
          </w:p>
        </w:tc>
        <w:tc>
          <w:tcPr>
            <w:tcW w:w="120"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6.05</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weighted average grant-date fair value of the options granted was $1.24 and $3.24 per share for the nine months ended September 30, 2022 and 2023, respectively. The fair value of shares vested during the nine months ended September 30, 2022 and 2023 was $1.72 and $2.00 per share, respectively. The fair value of shares exercised during the nine months ended September 30, 2022 and 2023 was $1.72 and $1.43 per share,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stock option activity for the nine months ended September 30, 2023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1"/>
        <w:gridCol w:w="255"/>
        <w:gridCol w:w="60"/>
        <w:gridCol w:w="1100"/>
        <w:gridCol w:w="155"/>
        <w:gridCol w:w="207"/>
        <w:gridCol w:w="242"/>
        <w:gridCol w:w="756"/>
        <w:gridCol w:w="60"/>
        <w:gridCol w:w="255"/>
        <w:gridCol w:w="150"/>
        <w:gridCol w:w="1136"/>
        <w:gridCol w:w="60"/>
        <w:gridCol w:w="255"/>
        <w:gridCol w:w="181"/>
        <w:gridCol w:w="915"/>
        <w:gridCol w:w="67"/>
      </w:tblGrid>
      <w:tr>
        <w:trPr/>
        <w:tc>
          <w:tcPr>
            <w:tcW w:w="4351"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86" w:type="dxa"/>
            <w:gridSpan w:val="2"/>
            <w:tcBorders/>
            <w:vAlign w:val="bottom"/>
          </w:tcPr>
          <w:p>
            <w:pPr>
              <w:pStyle w:val="TableContents"/>
              <w:bidi w:val="0"/>
              <w:spacing w:before="0" w:after="283"/>
              <w:jc w:val="center"/>
              <w:rPr>
                <w:b/>
              </w:rPr>
            </w:pPr>
            <w:r>
              <w:rPr>
                <w:b/>
              </w:rPr>
              <w:t>(Years)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3,765,090</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7.66</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2,685</w:t>
            </w:r>
          </w:p>
        </w:tc>
        <w:tc>
          <w:tcPr>
            <w:tcW w:w="67"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2,317,018</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(1,225,957</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3,962</w:t>
            </w:r>
          </w:p>
        </w:tc>
        <w:tc>
          <w:tcPr>
            <w:tcW w:w="67" w:type="dxa"/>
            <w:tcBorders/>
            <w:shd w:fill="CCEEFF" w:val="clear"/>
            <w:vAlign w:val="bottom"/>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(167,161</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2.38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351"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September 30, 2023</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xml:space="preserve">4,688,990 </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3.05</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8.38</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15,515</w:t>
            </w:r>
          </w:p>
        </w:tc>
        <w:tc>
          <w:tcPr>
            <w:tcW w:w="67"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September 30, 2023</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4,688,990</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3.05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8.38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1,515</w:t>
            </w:r>
          </w:p>
        </w:tc>
        <w:tc>
          <w:tcPr>
            <w:tcW w:w="67" w:type="dxa"/>
            <w:tcBorders/>
            <w:vAlign w:val="bottom"/>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September 30, 2023</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1,626,947</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7,897</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recorded stock-based compensation expense related to stock options of $0.5 million and $0.8 million for the nine months ended September 30, 2022 and 2023, respectively. The Company had an aggregate $8.3 million of gross unrecognized stock-based compensation expense as of September 30, 2023 remaining to be amortized over a weighted average period of 3.4 years. </w:t>
      </w:r>
    </w:p>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related to stock options recorded in the accompanying statements of operations for the nine months ended September 30, 2022 and 2023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7"/>
        <w:gridCol w:w="687"/>
        <w:gridCol w:w="405"/>
        <w:gridCol w:w="1110"/>
        <w:gridCol w:w="173"/>
        <w:gridCol w:w="892"/>
        <w:gridCol w:w="405"/>
        <w:gridCol w:w="1112"/>
        <w:gridCol w:w="64"/>
      </w:tblGrid>
      <w:tr>
        <w:trPr/>
        <w:tc>
          <w:tcPr>
            <w:tcW w:w="5357" w:type="dxa"/>
            <w:tcBorders/>
            <w:vAlign w:val="center"/>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5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7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8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455</w:t>
            </w:r>
          </w:p>
        </w:tc>
        <w:tc>
          <w:tcPr>
            <w:tcW w:w="17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430</w:t>
            </w:r>
          </w:p>
        </w:tc>
        <w:tc>
          <w:tcPr>
            <w:tcW w:w="64" w:type="dxa"/>
            <w:tcBorders/>
            <w:shd w:fill="CCEEFF" w:val="clear"/>
            <w:vAlign w:val="bottom"/>
          </w:tcPr>
          <w:p>
            <w:pPr>
              <w:pStyle w:val="TableContents"/>
              <w:bidi w:val="0"/>
              <w:spacing w:before="0" w:after="283"/>
              <w:jc w:val="left"/>
              <w:rPr/>
            </w:pPr>
            <w:r>
              <w:rPr/>
              <w:t> </w:t>
            </w:r>
          </w:p>
        </w:tc>
      </w:tr>
      <w:tr>
        <w:trPr/>
        <w:tc>
          <w:tcPr>
            <w:tcW w:w="535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73</w:t>
            </w:r>
          </w:p>
        </w:tc>
        <w:tc>
          <w:tcPr>
            <w:tcW w:w="17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320</w:t>
            </w:r>
          </w:p>
        </w:tc>
        <w:tc>
          <w:tcPr>
            <w:tcW w:w="64"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68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528</w:t>
            </w:r>
          </w:p>
        </w:tc>
        <w:tc>
          <w:tcPr>
            <w:tcW w:w="17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750</w:t>
            </w:r>
          </w:p>
        </w:tc>
        <w:tc>
          <w:tcPr>
            <w:tcW w:w="64" w:type="dxa"/>
            <w:tcBorders/>
            <w:shd w:fill="CCEEFF" w:val="clear"/>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10. Debt </w:t>
      </w:r>
    </w:p>
    <w:p>
      <w:pPr>
        <w:pStyle w:val="TextBody"/>
        <w:bidi w:val="0"/>
        <w:spacing w:before="120" w:after="0"/>
        <w:jc w:val="both"/>
        <w:rPr>
          <w:rFonts w:ascii="Times New Roman" w:hAnsi="Times New Roman"/>
          <w:sz w:val="20"/>
        </w:rPr>
      </w:pPr>
      <w:r>
        <w:rPr>
          <w:rFonts w:ascii="Times New Roman" w:hAnsi="Times New Roman"/>
          <w:sz w:val="20"/>
        </w:rPr>
        <w:t xml:space="preserve">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were not to exceed $5.0 million, in increments of $2.5 million each, were not drawn upon in 2021 or in 2022 and were only available on the achievement of certain milestones. In addition, at any time during the term of the Loan Agreement, the Company may have requested that SVB make one additional term loan available to the Company in an original principal amount equal to $10.0 million. SVB, in its sole and absolute discretion, may have granted or denied any such request from the Company for this term loan. Please refer to the audited financial statements appearing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this prospectus for additional information on the Loan Agreement, including the funds received under the Loan Agreement (the Term Loan Advances), a final payment (the Final Payment) and information on the Companys past debt agreements.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initial public offering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 </w:t>
      </w:r>
    </w:p>
    <w:p>
      <w:pPr>
        <w:pStyle w:val="TextBody"/>
        <w:bidi w:val="0"/>
        <w:spacing w:before="240" w:after="0"/>
        <w:jc w:val="both"/>
        <w:rPr>
          <w:rFonts w:ascii="Times New Roman" w:hAnsi="Times New Roman"/>
          <w:sz w:val="20"/>
        </w:rPr>
      </w:pPr>
      <w:r>
        <w:rPr>
          <w:rFonts w:ascii="Times New Roman" w:hAnsi="Times New Roman"/>
          <w:sz w:val="20"/>
        </w:rPr>
        <w:t xml:space="preserve">On May 12, 2023, the Company repaid all outstanding principal and accrued and unpaid interest on the Term Loan Advances under the Loan Agreement and all other outstanding obligations with respect to the Term Loan Advances under the Loan Agreement and made the Final Payment. The Companys obligation to pay SVB the Success Fee remains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Share Attributable to Common Stockholders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Basic and diluted net loss per share was calculated as follows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(27,051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(32,491</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redeemable convertible preferred stock issuances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Cumulative redeemable convertible preferred stock dividends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(4,162</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(12,846</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(31,626</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(45,747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3,721,600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4,053,280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(11.29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two-class method, the net loss attributable to common stockholders is not allocated to the convertible preferred stock as the preferred stockholders do not have a contractual obligation to share in the Companys losses.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excluded the following from the computation of diluted net loss per share attributable to common stockholders at September 30, 2022 and 2023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17"/>
        <w:gridCol w:w="121"/>
        <w:gridCol w:w="60"/>
        <w:gridCol w:w="1101"/>
        <w:gridCol w:w="60"/>
        <w:gridCol w:w="121"/>
        <w:gridCol w:w="60"/>
        <w:gridCol w:w="1101"/>
        <w:gridCol w:w="64"/>
      </w:tblGrid>
      <w:tr>
        <w:trPr/>
        <w:tc>
          <w:tcPr>
            <w:tcW w:w="75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25,122,532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38,413,913</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3,261,925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4,688,990</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28,384,457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43,102,903</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Related Parties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paid Danforth Advisors, LLC for Stephen DiPalmas services as part-time CFO approximately less than $0.1 million and $0.2 million for services rendered for the nine months ended September 30, 2022 and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has evaluated all subsequent events and transactions through December 4, 2023, the date the unaudited condensed financial statements were issued, to ensure these financial statements include appropriate disclosure of events both recognized in the financial statements and events which occurred but were not recognized in the financial statements. The Company has further evaluated subsequent events for purposes of the interim financial statements as of September 30, 2023, and for the nine months then ended, through January 18, 2024. The Company has concluded that no subsequent event has occurred that requires disclosure, except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2024 Equity Incentive Plan (unaudited)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and stockholders approved the 2024 Equity Incentive Plan (the 2024 Plan), which will become effective on the date immediately preceding the date on which the Companys registration statement will be declared effective by the SEC. The 2024 Plan will replace the 2022 Plan (see Note 9)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(which number includes 494,807 shares of common stock issuable upon the exercise of stock options, to be granted in connection with the offering at an exercise price equal to the initial public offering price) will be the sum of (1) 10% of the number of pricing date fully-diluted shares (as defined in the 2024 Plan), plus (2) any shares of the Companys common stock which, as of the effective date of the 2024 Plan, remain available for issuance under the 2022 Plan, plus (3) any shares subject to outstanding awards under the 2015 Plan and 2022 Plan as of the effective date of the 2024 Plan that become available for issuance under the 2024 Plan thereafter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2024 Employee Stock Purchase Plan (unaudited)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and stockholders approved the 2024 Employee Stock Purchase Plan (the 2024 ESPP), which will become effective on the date immediately preceding the date on which the Companys registration statement will be declared effective by the SEC. The number of shares initially available for issuance pursuant to the 2024 ESPP will be equal to a number of shares equal to 1% of the number of pricing date fully-diluted shares (as defined in the 2024 Plan). </w:t>
      </w:r>
    </w:p>
    <w:p>
      <w:pPr>
        <w:pStyle w:val="TextBody"/>
        <w:bidi w:val="0"/>
        <w:spacing w:before="360" w:after="0"/>
        <w:jc w:val="left"/>
        <w:rPr>
          <w:rFonts w:ascii="Times New Roman" w:hAnsi="Times New Roman"/>
          <w:i/>
          <w:sz w:val="20"/>
        </w:rPr>
      </w:pPr>
      <w:r>
        <w:rPr>
          <w:rFonts w:ascii="Times New Roman" w:hAnsi="Times New Roman"/>
          <w:i/>
          <w:sz w:val="20"/>
        </w:rPr>
        <w:t xml:space="preserve">Reverse Stock Split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unaudited condensed financial statements, on a retrospective basis, to reflect the reverse stock split for all periods presented. The par value of the common stock and preferred stock was not adjusted as a result of the reverse stock split. The number of authorized shares has not changed as the Company plans to file an amended and restated certificate of incorporation upon the closing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offering, were proportionally adjusted. Stockholders entitled to fractional shares as a result of the reverse stock split will receive a cash payment in lieu of receiving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4"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720" w:after="0"/>
        <w:jc w:val="center"/>
        <w:rPr>
          <w:rFonts w:ascii="Times New Roman" w:hAnsi="Times New Roman"/>
          <w:b/>
          <w:sz w:val="36"/>
        </w:rPr>
      </w:pPr>
      <w:r>
        <w:rPr>
          <w:rFonts w:ascii="Times New Roman" w:hAnsi="Times New Roman"/>
          <w:b/>
          <w:sz w:val="36"/>
        </w:rPr>
        <w:t xml:space="preserve">11,800,000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800" cy="5905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304800" cy="59055"/>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440" w:after="0"/>
        <w:jc w:val="center"/>
        <w:rPr>
          <w:rFonts w:ascii="Times New Roman" w:hAnsi="Times New Roman"/>
          <w:b/>
          <w:sz w:val="28"/>
        </w:rPr>
      </w:pPr>
      <w:r>
        <w:rPr>
          <w:rFonts w:ascii="Times New Roman" w:hAnsi="Times New Roman"/>
          <w:b/>
          <w:sz w:val="28"/>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4"/>
        <w:gridCol w:w="4185"/>
        <w:gridCol w:w="204"/>
        <w:gridCol w:w="2653"/>
      </w:tblGrid>
      <w:tr>
        <w:trPr/>
        <w:tc>
          <w:tcPr>
            <w:tcW w:w="29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Morgan Stanley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b/>
              </w:rPr>
            </w:pPr>
            <w:r>
              <w:rPr>
                <w:b/>
              </w:rPr>
              <w:t>Goldman Sachs &amp; Co. LLC</w:t>
            </w:r>
          </w:p>
        </w:tc>
        <w:tc>
          <w:tcPr>
            <w:tcW w:w="204"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LifeSci Capital </w:t>
      </w:r>
    </w:p>
    <w:p>
      <w:pPr>
        <w:pStyle w:val="TextBody"/>
        <w:bidi w:val="0"/>
        <w:spacing w:before="720" w:after="0"/>
        <w:jc w:val="center"/>
        <w:rPr/>
      </w:pPr>
      <w:r>
        <w:rPr/>
        <w:t>                </w:t>
      </w:r>
      <w:r>
        <w:rPr>
          <w:rFonts w:ascii="Times New Roman" w:hAnsi="Times New Roman"/>
          <w:sz w:val="20"/>
        </w:rPr>
        <w:t xml:space="preserve">, 2024 </w:t>
      </w:r>
    </w:p>
    <w:p>
      <w:pPr>
        <w:pStyle w:val="TextBody"/>
        <w:bidi w:val="0"/>
        <w:spacing w:before="240" w:after="0"/>
        <w:jc w:val="both"/>
        <w:rPr>
          <w:rFonts w:ascii="Times New Roman" w:hAnsi="Times New Roman"/>
          <w:b/>
          <w:sz w:val="20"/>
        </w:rPr>
      </w:pPr>
      <w:r>
        <w:rPr>
          <w:rFonts w:ascii="Times New Roman" w:hAnsi="Times New Roman"/>
          <w:b/>
          <w:sz w:val="20"/>
        </w:rPr>
        <w:t xml:space="preserve">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pBdr>
          <w:bottom w:val="single" w:sz="8" w:space="1" w:color="000000"/>
        </w:pBdr>
        <w:bidi w:val="0"/>
        <w:spacing w:lineRule="atLeast" w:line="142" w:before="0" w:after="0"/>
        <w:jc w:val="left"/>
        <w:rPr/>
      </w:pPr>
      <w:r>
        <w:rPr/>
        <w:t> </w:t>
      </w:r>
    </w:p>
    <w:p>
      <w:pPr>
        <w:pStyle w:val="TextBody"/>
        <w:pBdr>
          <w:bottom w:val="single" w:sz="24"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80" w:after="0"/>
        <w:jc w:val="both"/>
        <w:rPr>
          <w:rFonts w:ascii="Times New Roman" w:hAnsi="Times New Roman"/>
          <w:sz w:val="20"/>
        </w:rPr>
      </w:pPr>
      <w:r>
        <w:rPr>
          <w:rFonts w:ascii="Times New Roman" w:hAnsi="Times New Roman"/>
          <w:sz w:val="20"/>
        </w:rPr>
        <w:t xml:space="preserve">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Nasdaq Global Select Market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6"/>
        <w:gridCol w:w="408"/>
        <w:gridCol w:w="211"/>
        <w:gridCol w:w="1486"/>
        <w:gridCol w:w="64"/>
      </w:tblGrid>
      <w:tr>
        <w:trPr/>
        <w:tc>
          <w:tcPr>
            <w:tcW w:w="8036"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036"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Paid or</w:t>
              <w:br/>
              <w:t>to Be Paid</w:t>
            </w:r>
          </w:p>
        </w:tc>
        <w:tc>
          <w:tcPr>
            <w:tcW w:w="64" w:type="dxa"/>
            <w:tcBorders/>
            <w:vAlign w:val="bottom"/>
          </w:tcPr>
          <w:p>
            <w:pPr>
              <w:pStyle w:val="TableContents"/>
              <w:bidi w:val="0"/>
              <w:spacing w:before="0" w:after="283"/>
              <w:jc w:val="left"/>
              <w:rPr/>
            </w:pPr>
            <w:r>
              <w:rPr/>
              <w:t> </w:t>
            </w:r>
          </w:p>
        </w:tc>
      </w:tr>
      <w:tr>
        <w:trPr/>
        <w:tc>
          <w:tcPr>
            <w:tcW w:w="8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36,053</w:t>
            </w:r>
          </w:p>
        </w:tc>
        <w:tc>
          <w:tcPr>
            <w:tcW w:w="64" w:type="dxa"/>
            <w:tcBorders/>
            <w:shd w:fill="CCEEFF" w:val="clear"/>
            <w:vAlign w:val="bottom"/>
          </w:tcPr>
          <w:p>
            <w:pPr>
              <w:pStyle w:val="TableContents"/>
              <w:bidi w:val="0"/>
              <w:spacing w:before="0" w:after="283"/>
              <w:jc w:val="left"/>
              <w:rPr/>
            </w:pPr>
            <w:r>
              <w:rPr/>
              <w:t> </w:t>
            </w:r>
          </w:p>
        </w:tc>
      </w:tr>
      <w:tr>
        <w:trPr/>
        <w:tc>
          <w:tcPr>
            <w:tcW w:w="8036"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37,139</w:t>
            </w:r>
          </w:p>
        </w:tc>
        <w:tc>
          <w:tcPr>
            <w:tcW w:w="64" w:type="dxa"/>
            <w:tcBorders/>
            <w:vAlign w:val="bottom"/>
          </w:tcPr>
          <w:p>
            <w:pPr>
              <w:pStyle w:val="TableContents"/>
              <w:bidi w:val="0"/>
              <w:spacing w:before="0" w:after="283"/>
              <w:jc w:val="left"/>
              <w:rPr/>
            </w:pPr>
            <w:r>
              <w:rPr/>
              <w:t> </w:t>
            </w:r>
          </w:p>
        </w:tc>
      </w:tr>
      <w:tr>
        <w:trPr/>
        <w:tc>
          <w:tcPr>
            <w:tcW w:w="8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Global Select Market listing fee</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8036" w:type="dxa"/>
            <w:tcBorders/>
          </w:tcPr>
          <w:p>
            <w:pPr>
              <w:pStyle w:val="TableContents"/>
              <w:bidi w:val="0"/>
              <w:spacing w:before="0" w:after="0"/>
              <w:jc w:val="left"/>
              <w:rPr>
                <w:rFonts w:ascii="Times New Roman" w:hAnsi="Times New Roman"/>
                <w:sz w:val="20"/>
              </w:rPr>
            </w:pPr>
            <w:r>
              <w:rPr>
                <w:rFonts w:ascii="Times New Roman" w:hAnsi="Times New Roman"/>
                <w:sz w:val="20"/>
              </w:rPr>
              <w:t>Accountants fees and expenses</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1,000,000</w:t>
            </w:r>
          </w:p>
        </w:tc>
        <w:tc>
          <w:tcPr>
            <w:tcW w:w="64" w:type="dxa"/>
            <w:tcBorders/>
            <w:vAlign w:val="bottom"/>
          </w:tcPr>
          <w:p>
            <w:pPr>
              <w:pStyle w:val="TableContents"/>
              <w:bidi w:val="0"/>
              <w:spacing w:before="0" w:after="283"/>
              <w:jc w:val="left"/>
              <w:rPr/>
            </w:pPr>
            <w:r>
              <w:rPr/>
              <w:t> </w:t>
            </w:r>
          </w:p>
        </w:tc>
      </w:tr>
      <w:tr>
        <w:trPr/>
        <w:tc>
          <w:tcPr>
            <w:tcW w:w="8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2,750,000</w:t>
            </w:r>
          </w:p>
        </w:tc>
        <w:tc>
          <w:tcPr>
            <w:tcW w:w="64" w:type="dxa"/>
            <w:tcBorders/>
            <w:shd w:fill="CCEEFF" w:val="clear"/>
            <w:vAlign w:val="bottom"/>
          </w:tcPr>
          <w:p>
            <w:pPr>
              <w:pStyle w:val="TableContents"/>
              <w:bidi w:val="0"/>
              <w:spacing w:before="0" w:after="283"/>
              <w:jc w:val="left"/>
              <w:rPr/>
            </w:pPr>
            <w:r>
              <w:rPr/>
              <w:t> </w:t>
            </w:r>
          </w:p>
        </w:tc>
      </w:tr>
      <w:tr>
        <w:trPr/>
        <w:tc>
          <w:tcPr>
            <w:tcW w:w="8036" w:type="dxa"/>
            <w:tcBorders/>
          </w:tcPr>
          <w:p>
            <w:pPr>
              <w:pStyle w:val="TableContents"/>
              <w:bidi w:val="0"/>
              <w:spacing w:before="0" w:after="0"/>
              <w:jc w:val="left"/>
              <w:rPr>
                <w:rFonts w:ascii="Times New Roman" w:hAnsi="Times New Roman"/>
                <w:sz w:val="20"/>
              </w:rPr>
            </w:pPr>
            <w:r>
              <w:rPr>
                <w:rFonts w:ascii="Times New Roman" w:hAnsi="Times New Roman"/>
                <w:sz w:val="20"/>
              </w:rPr>
              <w:t>Consulting fees and related expenses</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1,000,000</w:t>
            </w:r>
          </w:p>
        </w:tc>
        <w:tc>
          <w:tcPr>
            <w:tcW w:w="64" w:type="dxa"/>
            <w:tcBorders/>
            <w:vAlign w:val="bottom"/>
          </w:tcPr>
          <w:p>
            <w:pPr>
              <w:pStyle w:val="TableContents"/>
              <w:bidi w:val="0"/>
              <w:spacing w:before="0" w:after="283"/>
              <w:jc w:val="left"/>
              <w:rPr/>
            </w:pPr>
            <w:r>
              <w:rPr/>
              <w:t> </w:t>
            </w:r>
          </w:p>
        </w:tc>
      </w:tr>
      <w:tr>
        <w:trPr/>
        <w:tc>
          <w:tcPr>
            <w:tcW w:w="8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Agents fees and expenses</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100,000</w:t>
            </w:r>
          </w:p>
        </w:tc>
        <w:tc>
          <w:tcPr>
            <w:tcW w:w="64" w:type="dxa"/>
            <w:tcBorders/>
            <w:shd w:fill="CCEEFF" w:val="clear"/>
            <w:vAlign w:val="bottom"/>
          </w:tcPr>
          <w:p>
            <w:pPr>
              <w:pStyle w:val="TableContents"/>
              <w:bidi w:val="0"/>
              <w:spacing w:before="0" w:after="283"/>
              <w:jc w:val="left"/>
              <w:rPr/>
            </w:pPr>
            <w:r>
              <w:rPr/>
              <w:t> </w:t>
            </w:r>
          </w:p>
        </w:tc>
      </w:tr>
      <w:tr>
        <w:trPr/>
        <w:tc>
          <w:tcPr>
            <w:tcW w:w="8036"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350,000</w:t>
            </w:r>
          </w:p>
        </w:tc>
        <w:tc>
          <w:tcPr>
            <w:tcW w:w="64" w:type="dxa"/>
            <w:tcBorders/>
            <w:vAlign w:val="bottom"/>
          </w:tcPr>
          <w:p>
            <w:pPr>
              <w:pStyle w:val="TableContents"/>
              <w:bidi w:val="0"/>
              <w:spacing w:before="0" w:after="283"/>
              <w:jc w:val="left"/>
              <w:rPr/>
            </w:pPr>
            <w:r>
              <w:rPr/>
              <w:t> </w:t>
            </w:r>
          </w:p>
        </w:tc>
      </w:tr>
      <w:tr>
        <w:trPr/>
        <w:tc>
          <w:tcPr>
            <w:tcW w:w="8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201,808</w:t>
            </w:r>
          </w:p>
        </w:tc>
        <w:tc>
          <w:tcPr>
            <w:tcW w:w="64" w:type="dxa"/>
            <w:tcBorders/>
            <w:shd w:fill="CCEEFF" w:val="clear"/>
            <w:vAlign w:val="bottom"/>
          </w:tcPr>
          <w:p>
            <w:pPr>
              <w:pStyle w:val="TableContents"/>
              <w:bidi w:val="0"/>
              <w:spacing w:before="0" w:after="283"/>
              <w:jc w:val="left"/>
              <w:rPr/>
            </w:pPr>
            <w:r>
              <w:rPr/>
              <w:t> </w:t>
            </w:r>
          </w:p>
        </w:tc>
      </w:tr>
      <w:tr>
        <w:trPr/>
        <w:tc>
          <w:tcPr>
            <w:tcW w:w="803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36"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5,500,000</w:t>
            </w:r>
          </w:p>
        </w:tc>
        <w:tc>
          <w:tcPr>
            <w:tcW w:w="64" w:type="dxa"/>
            <w:tcBorders/>
            <w:vAlign w:val="bottom"/>
          </w:tcPr>
          <w:p>
            <w:pPr>
              <w:pStyle w:val="TableContents"/>
              <w:bidi w:val="0"/>
              <w:spacing w:before="0" w:after="283"/>
              <w:jc w:val="left"/>
              <w:rPr/>
            </w:pPr>
            <w:r>
              <w:rPr/>
              <w:t> </w:t>
            </w:r>
          </w:p>
        </w:tc>
      </w:tr>
      <w:tr>
        <w:trPr/>
        <w:tc>
          <w:tcPr>
            <w:tcW w:w="803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 </w:t>
      </w:r>
    </w:p>
    <w:p>
      <w:pPr>
        <w:pStyle w:val="TextBody"/>
        <w:bidi w:val="0"/>
        <w:spacing w:before="240" w:after="0"/>
        <w:jc w:val="both"/>
        <w:rPr>
          <w:rFonts w:ascii="Times New Roman" w:hAnsi="Times New Roman"/>
          <w:sz w:val="20"/>
        </w:rPr>
      </w:pPr>
      <w:r>
        <w:rPr>
          <w:rFonts w:ascii="Times New Roman" w:hAnsi="Times New Roman"/>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and our amended and restated bylaws, each of which will become effective immediately prior to the closing of this offering, will provide that we will indemnify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our amended and restated bylaws, each as currently in effect,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both"/>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both"/>
        <w:rPr>
          <w:rFonts w:ascii="Times New Roman" w:hAnsi="Times New Roman"/>
          <w:sz w:val="20"/>
        </w:rPr>
      </w:pPr>
      <w:r>
        <w:rPr>
          <w:rFonts w:ascii="Times New Roman" w:hAnsi="Times New Roman"/>
          <w:sz w:val="20"/>
        </w:rPr>
        <w:t xml:space="preserve">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Set forth below is information regarding unregistered securities issued by us since October 1, 2020 to the date of this registration statement. Also included is the consideration received by us for such securities and information relating to the section of the Securities Act, or rule of the SEC, under which exemption from registration was 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Issuances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October 2020, we issued to investors an aggregate of 3,040,881 shares of Series D redeemable convertible preferred stock at a purchase price of $0.8879 per share, for aggregate consideration of approximately $2.7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September 2022 and October 2022, we issued to investors an aggregate of 112,422,700 shares of Series E redeemable convertible preferred stock at a purchase price of $1.0674 per share, for aggregate consideration of approximately $120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July 2023, we issued to investors an aggregate of 81,587,937 shares of Series F redeemable convertible preferred stock at a purchase price of $1.2872 per share, for aggregate consideration of approximately $105 million.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for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Grants of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From October 1, 2020 through the date of this registration statement, we granted stock options to purchase an aggregate of 5,945,478 shares of our common stock at a weighted-average exercise price of $4.05 per share, to certain of our employees, consultants and directors in connection with services provided to us by such persons. 708,733 of these options have been exercised and 214,935 have been cancelled, forfeited and expired through the date of this registration statement.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 </w:t>
      </w:r>
    </w:p>
    <w:p>
      <w:pPr>
        <w:pStyle w:val="TextBody"/>
        <w:bidi w:val="0"/>
        <w:spacing w:before="240" w:after="0"/>
        <w:jc w:val="both"/>
        <w:rPr>
          <w:rFonts w:ascii="Times New Roman" w:hAnsi="Times New Roman"/>
          <w:sz w:val="20"/>
        </w:rPr>
      </w:pPr>
      <w:r>
        <w:rPr>
          <w:rFonts w:ascii="Times New Roman" w:hAnsi="Times New Roman"/>
          <w:sz w:val="20"/>
        </w:rPr>
        <w:t xml:space="preserve">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Exhibits.</w:t>
            </w:r>
            <w:r>
              <w:rPr>
                <w:rFonts w:ascii="Times New Roman" w:hAnsi="Times New Roman"/>
                <w:sz w:val="20"/>
              </w:rPr>
              <w:t xml:space="preserve"> See Exhibit Index attached to this registration statement, which is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Financial Statement Schedules. </w:t>
            </w:r>
            <w:r>
              <w:rPr>
                <w:rFonts w:ascii="Times New Roman" w:hAnsi="Times New Roman"/>
                <w:sz w:val="20"/>
              </w:rPr>
              <w:t xml:space="preserve">Schedules not listed above have been omitted because the information required to be set forth therein is not applicable or is shown in the financial statements or notes thereto.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both"/>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57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5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09"/>
        <w:gridCol w:w="467"/>
        <w:gridCol w:w="8929"/>
      </w:tblGrid>
      <w:tr>
        <w:trPr/>
        <w:tc>
          <w:tcPr>
            <w:tcW w:w="809"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jc w:val="left"/>
              <w:rPr>
                <w:sz w:val="4"/>
                <w:szCs w:val="4"/>
              </w:rPr>
            </w:pPr>
            <w:r>
              <w:rPr>
                <w:sz w:val="4"/>
                <w:szCs w:val="4"/>
              </w:rPr>
            </w:r>
          </w:p>
        </w:tc>
      </w:tr>
      <w:tr>
        <w:trPr/>
        <w:tc>
          <w:tcPr>
            <w:tcW w:w="809"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8929" w:type="dxa"/>
            <w:tcBorders/>
            <w:vAlign w:val="bottom"/>
          </w:tcPr>
          <w:p>
            <w:pPr>
              <w:pStyle w:val="TableContents"/>
              <w:bidi w:val="0"/>
              <w:spacing w:before="0" w:after="283"/>
              <w:jc w:val="center"/>
              <w:rPr>
                <w:b/>
              </w:rPr>
            </w:pPr>
            <w:r>
              <w:rPr>
                <w:b/>
              </w:rPr>
              <w:t>Exhibit Index</w:t>
            </w:r>
          </w:p>
        </w:tc>
      </w:tr>
      <w:tr>
        <w:trPr/>
        <w:tc>
          <w:tcPr>
            <w:tcW w:w="80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467" w:type="dxa"/>
            <w:tcBorders/>
            <w:vAlign w:val="bottom"/>
          </w:tcPr>
          <w:p>
            <w:pPr>
              <w:pStyle w:val="TableContents"/>
              <w:bidi w:val="0"/>
              <w:spacing w:before="0" w:after="283"/>
              <w:jc w:val="left"/>
              <w:rPr/>
            </w:pPr>
            <w:r>
              <w:rPr/>
              <w:t> </w:t>
            </w:r>
          </w:p>
        </w:tc>
        <w:tc>
          <w:tcPr>
            <w:tcW w:w="89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Exhibit</w:t>
            </w:r>
          </w:p>
        </w:tc>
      </w:tr>
      <w:tr>
        <w:trPr/>
        <w:tc>
          <w:tcPr>
            <w:tcW w:w="809" w:type="dxa"/>
            <w:tcBorders/>
          </w:tcPr>
          <w:p>
            <w:pPr>
              <w:pStyle w:val="TableContents"/>
              <w:bidi w:val="0"/>
              <w:spacing w:before="0" w:after="283"/>
              <w:jc w:val="left"/>
              <w:rPr/>
            </w:pPr>
            <w:r>
              <w:rPr/>
              <w:t>  </w:t>
            </w:r>
            <w:r>
              <w:rPr/>
              <w:t>1.1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11.htm">
              <w:r>
                <w:rPr>
                  <w:rStyle w:val="InternetLink"/>
                </w:rPr>
                <w:t xml:space="preserve">Form of Underwriting Agreement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3.1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31.htm">
              <w:r>
                <w:rPr>
                  <w:rStyle w:val="InternetLink"/>
                </w:rPr>
                <w:t xml:space="preserve">Amended and Restated Certificate of Incorporation, as amended (currently in effect)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3.2*</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19">
              <w:r>
                <w:rPr>
                  <w:rStyle w:val="InternetLink"/>
                </w:rPr>
                <w:t xml:space="preserve">Bylaws (currently in effect)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3.3</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33.htm">
              <w:r>
                <w:rPr>
                  <w:rStyle w:val="InternetLink"/>
                </w:rPr>
                <w:t>Form of Amended and Restated Certificate of Incorporation (to be effective immediately prior to the closing of this offering)</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3.4*</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0">
              <w:r>
                <w:rPr>
                  <w:rStyle w:val="InternetLink"/>
                </w:rPr>
                <w:t>Form of Amended and Restated Bylaws (to be effective immediately prior to the closing of this offering)</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4.1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41.htm">
              <w:r>
                <w:rPr>
                  <w:rStyle w:val="InternetLink"/>
                </w:rPr>
                <w:t xml:space="preserve">Specimen stock certificate evidencing the shares of common stock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4.2</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42.htm">
              <w:r>
                <w:rPr>
                  <w:rStyle w:val="InternetLink"/>
                </w:rPr>
                <w:t>Amended and Restated Investors Rights Agreement, dated July 28, 2023, as amended, by and among the Registrant and certain of its stockholders</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  </w:t>
            </w:r>
            <w:r>
              <w:rPr/>
              <w:t>5.1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51.htm">
              <w:r>
                <w:rPr>
                  <w:rStyle w:val="InternetLink"/>
                </w:rPr>
                <w:t xml:space="preserve">Opinion of Latham &amp; Watkins LLP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1">
              <w:r>
                <w:rPr>
                  <w:rStyle w:val="InternetLink"/>
                </w:rPr>
                <w:t xml:space="preserve">CG Oncology, Inc. 2015 Equity Incentive Plan, as amended, and form of stock grant agreement and form of stock option agreement thereunder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10.2#*</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2">
              <w:r>
                <w:rPr>
                  <w:rStyle w:val="InternetLink"/>
                </w:rPr>
                <w:t>CG Oncology, Inc. 2022 Incentive Award Plan, as amended, and form of stock option agreement, form of stock option agreement (early exercise) and form of restricted stock unit agreement thereunder</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10.3#</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103.htm">
              <w:r>
                <w:rPr>
                  <w:rStyle w:val="InternetLink"/>
                </w:rPr>
                <w:t xml:space="preserve">CG Oncology, Inc. 2024 Incentive Award Plan and form of stock option agreement and form of restricted stock unit agreement thereunder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10.4#</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104.htm">
              <w:r>
                <w:rPr>
                  <w:rStyle w:val="InternetLink"/>
                </w:rPr>
                <w:t xml:space="preserve">CG Oncology, Inc. 2024 Employee Stock Purchase Plan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10.5#</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w:anchor="d551455dex105.htm">
              <w:r>
                <w:rPr>
                  <w:rStyle w:val="InternetLink"/>
                </w:rPr>
                <w:t xml:space="preserve">Non-Employee Director Compensation Program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10.6*</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3">
              <w:r>
                <w:rPr>
                  <w:rStyle w:val="InternetLink"/>
                </w:rPr>
                <w:t>Development and License Agreement, dated March 11, 2019, between the Lepu Biotech Co., Ltd. and the Registrant</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10.7*</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4">
              <w:r>
                <w:rPr>
                  <w:rStyle w:val="InternetLink"/>
                </w:rPr>
                <w:t>License and Collaboration Agreement, dated March 26, 2020, between Kissei Pharmaceutical Co., Ltd. and the Registrant</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10.8*</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5">
              <w:r>
                <w:rPr>
                  <w:rStyle w:val="InternetLink"/>
                </w:rPr>
                <w:t>First Amendment to the License and Collaboration Agreement, dated September  15, 2022, between Kissei Pharmaceutical Co., Ltd. and the Registrant</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10.9#*</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6">
              <w:r>
                <w:rPr>
                  <w:rStyle w:val="InternetLink"/>
                </w:rPr>
                <w:t xml:space="preserve">Form of Indemnification Agreement for Directors and Officers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10.10#*</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7">
              <w:r>
                <w:rPr>
                  <w:rStyle w:val="InternetLink"/>
                </w:rPr>
                <w:t xml:space="preserve">Policy for the Recovery of Erroneously Awarded Compensation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10.11#*</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8">
              <w:r>
                <w:rPr>
                  <w:rStyle w:val="InternetLink"/>
                </w:rPr>
                <w:t xml:space="preserve">Annual Bonus Plan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10.12#*</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29">
              <w:r>
                <w:rPr>
                  <w:rStyle w:val="InternetLink"/>
                </w:rPr>
                <w:t xml:space="preserve">Amended and Restated Employment Agreement, effective March 15, 2023, between Arthur Kuan and the Registrant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10.13#*</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30">
              <w:r>
                <w:rPr>
                  <w:rStyle w:val="InternetLink"/>
                </w:rPr>
                <w:t xml:space="preserve">Amended and Restated Employment Agreement, effective December 13, 2023, between Arthur Kuan and the Registrant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10.14#*</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31">
              <w:r>
                <w:rPr>
                  <w:rStyle w:val="InternetLink"/>
                </w:rPr>
                <w:t xml:space="preserve">Employment Agreement, effective July 9, 2023, between Ambaw Bellete and the Registrant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10.15#*</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32">
              <w:r>
                <w:rPr>
                  <w:rStyle w:val="InternetLink"/>
                </w:rPr>
                <w:t xml:space="preserve">Amended and Restated Employment Agreement, effective December 13, 2023, between Ambaw Bellete and the Registrant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10.16#*</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33">
              <w:r>
                <w:rPr>
                  <w:rStyle w:val="InternetLink"/>
                </w:rPr>
                <w:t xml:space="preserve">Employment Agreement, effective August 14, 2023, between Vijay Kasturi and the Registrant </w:t>
              </w:r>
            </w:hyperlink>
          </w:p>
        </w:tc>
      </w:tr>
      <w:tr>
        <w:trPr>
          <w:trHeight w:val="120" w:hRule="atLeast"/>
        </w:trPr>
        <w:tc>
          <w:tcPr>
            <w:tcW w:w="809" w:type="dxa"/>
            <w:tcBorders/>
            <w:vAlign w:val="center"/>
          </w:tcPr>
          <w:p>
            <w:pPr>
              <w:pStyle w:val="TableContents"/>
              <w:bidi w:val="0"/>
              <w:spacing w:before="0" w:after="283"/>
              <w:jc w:val="left"/>
              <w:rPr>
                <w:sz w:val="4"/>
                <w:szCs w:val="4"/>
              </w:rPr>
            </w:pPr>
            <w:r>
              <w:rPr>
                <w:sz w:val="4"/>
                <w:szCs w:val="4"/>
              </w:rPr>
            </w:r>
          </w:p>
        </w:tc>
        <w:tc>
          <w:tcPr>
            <w:tcW w:w="9396" w:type="dxa"/>
            <w:gridSpan w:val="2"/>
            <w:tcBorders/>
            <w:vAlign w:val="center"/>
          </w:tcPr>
          <w:p>
            <w:pPr>
              <w:pStyle w:val="TableContents"/>
              <w:bidi w:val="0"/>
              <w:spacing w:before="0" w:after="283"/>
              <w:jc w:val="left"/>
              <w:rPr>
                <w:sz w:val="4"/>
                <w:szCs w:val="4"/>
              </w:rPr>
            </w:pPr>
            <w:r>
              <w:rPr>
                <w:sz w:val="4"/>
                <w:szCs w:val="4"/>
              </w:rPr>
            </w:r>
          </w:p>
        </w:tc>
      </w:tr>
      <w:tr>
        <w:trPr/>
        <w:tc>
          <w:tcPr>
            <w:tcW w:w="809" w:type="dxa"/>
            <w:tcBorders/>
          </w:tcPr>
          <w:p>
            <w:pPr>
              <w:pStyle w:val="TableContents"/>
              <w:bidi w:val="0"/>
              <w:spacing w:before="0" w:after="283"/>
              <w:jc w:val="left"/>
              <w:rPr/>
            </w:pPr>
            <w:r>
              <w:rPr/>
              <w:t>10.17#*</w:t>
            </w:r>
          </w:p>
        </w:tc>
        <w:tc>
          <w:tcPr>
            <w:tcW w:w="467" w:type="dxa"/>
            <w:tcBorders/>
            <w:vAlign w:val="bottom"/>
          </w:tcPr>
          <w:p>
            <w:pPr>
              <w:pStyle w:val="TableContents"/>
              <w:bidi w:val="0"/>
              <w:spacing w:before="0" w:after="283"/>
              <w:jc w:val="left"/>
              <w:rPr/>
            </w:pPr>
            <w:r>
              <w:rPr/>
              <w:t> </w:t>
            </w:r>
          </w:p>
        </w:tc>
        <w:tc>
          <w:tcPr>
            <w:tcW w:w="8929" w:type="dxa"/>
            <w:tcBorders/>
          </w:tcPr>
          <w:p>
            <w:pPr>
              <w:pStyle w:val="TableContents"/>
              <w:bidi w:val="0"/>
              <w:spacing w:before="0" w:after="283"/>
              <w:jc w:val="left"/>
              <w:rPr/>
            </w:pPr>
            <w:hyperlink r:id="rId34">
              <w:r>
                <w:rPr>
                  <w:rStyle w:val="InternetLink"/>
                </w:rPr>
                <w:t xml:space="preserve">Amended and Restated Employment Agreement, effective December 13, 2023, between Vijay Kasturi and the Registrant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99"/>
        <w:gridCol w:w="486"/>
        <w:gridCol w:w="9020"/>
      </w:tblGrid>
      <w:tr>
        <w:trPr/>
        <w:tc>
          <w:tcPr>
            <w:tcW w:w="699"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9020"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center"/>
              <w:rPr>
                <w:b/>
              </w:rPr>
            </w:pPr>
            <w:r>
              <w:rPr>
                <w:b/>
              </w:rPr>
              <w:t>Exhibit Index</w:t>
            </w:r>
          </w:p>
        </w:tc>
      </w:tr>
      <w:tr>
        <w:trPr/>
        <w:tc>
          <w:tcPr>
            <w:tcW w:w="69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486" w:type="dxa"/>
            <w:tcBorders/>
            <w:vAlign w:val="bottom"/>
          </w:tcPr>
          <w:p>
            <w:pPr>
              <w:pStyle w:val="TableContents"/>
              <w:bidi w:val="0"/>
              <w:spacing w:before="0" w:after="283"/>
              <w:jc w:val="left"/>
              <w:rPr/>
            </w:pPr>
            <w:r>
              <w:rPr/>
              <w:t> </w:t>
            </w:r>
          </w:p>
        </w:tc>
        <w:tc>
          <w:tcPr>
            <w:tcW w:w="90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10.18#</w:t>
            </w:r>
          </w:p>
        </w:tc>
        <w:tc>
          <w:tcPr>
            <w:tcW w:w="486"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283"/>
              <w:jc w:val="left"/>
              <w:rPr/>
            </w:pPr>
            <w:hyperlink w:anchor="d551455dex1018.htm">
              <w:r>
                <w:rPr>
                  <w:rStyle w:val="InternetLink"/>
                </w:rPr>
                <w:t xml:space="preserve">Employment Agreement, effective January 16, 2024, between Corleen Roche and the Registrant </w:t>
              </w:r>
            </w:hyperlink>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23.1</w:t>
            </w:r>
          </w:p>
        </w:tc>
        <w:tc>
          <w:tcPr>
            <w:tcW w:w="486"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283"/>
              <w:jc w:val="left"/>
              <w:rPr/>
            </w:pPr>
            <w:hyperlink w:anchor="d551455dex231.htm">
              <w:r>
                <w:rPr>
                  <w:rStyle w:val="InternetLink"/>
                </w:rPr>
                <w:t>Consent of Ernst &amp; Young LLP, independent registered public accounting firm</w:t>
              </w:r>
            </w:hyperlink>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23.2</w:t>
            </w:r>
          </w:p>
        </w:tc>
        <w:tc>
          <w:tcPr>
            <w:tcW w:w="486"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283"/>
              <w:jc w:val="left"/>
              <w:rPr/>
            </w:pPr>
            <w:hyperlink w:anchor="d551455dex51.htm">
              <w:r>
                <w:rPr>
                  <w:rStyle w:val="InternetLink"/>
                </w:rPr>
                <w:t xml:space="preserve">Consent of Latham &amp; Watkins LLP (included in Exhibit 5.1) </w:t>
              </w:r>
            </w:hyperlink>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24.1*</w:t>
            </w:r>
          </w:p>
        </w:tc>
        <w:tc>
          <w:tcPr>
            <w:tcW w:w="486"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283"/>
              <w:jc w:val="left"/>
              <w:rPr/>
            </w:pPr>
            <w:r>
              <w:fldChar w:fldCharType="begin"/>
            </w:r>
            <w:r>
              <w:rPr>
                <w:rStyle w:val="InternetLink"/>
              </w:rPr>
              <w:instrText xml:space="preserve"> HYPERLINK "http://www.sec.gov/Archives/edgar/data/1991792/000119312524000766/d551455ds1.htm" \l "sig"</w:instrText>
            </w:r>
            <w:r>
              <w:rPr>
                <w:rStyle w:val="InternetLink"/>
              </w:rPr>
              <w:fldChar w:fldCharType="separate"/>
            </w:r>
            <w:r>
              <w:rPr>
                <w:rStyle w:val="InternetLink"/>
              </w:rPr>
              <w:t xml:space="preserve">Power of Attorney (included on signature page) </w:t>
            </w:r>
            <w:r>
              <w:rPr>
                <w:rStyle w:val="InternetLink"/>
              </w:rPr>
              <w:fldChar w:fldCharType="end"/>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107</w:t>
            </w:r>
          </w:p>
        </w:tc>
        <w:tc>
          <w:tcPr>
            <w:tcW w:w="486" w:type="dxa"/>
            <w:tcBorders/>
            <w:vAlign w:val="bottom"/>
          </w:tcPr>
          <w:p>
            <w:pPr>
              <w:pStyle w:val="TableContents"/>
              <w:bidi w:val="0"/>
              <w:spacing w:before="0" w:after="283"/>
              <w:jc w:val="left"/>
              <w:rPr/>
            </w:pPr>
            <w:r>
              <w:rPr/>
              <w:t> </w:t>
            </w:r>
          </w:p>
        </w:tc>
        <w:tc>
          <w:tcPr>
            <w:tcW w:w="9020" w:type="dxa"/>
            <w:tcBorders/>
          </w:tcPr>
          <w:p>
            <w:pPr>
              <w:pStyle w:val="TableContents"/>
              <w:bidi w:val="0"/>
              <w:spacing w:before="0" w:after="283"/>
              <w:jc w:val="left"/>
              <w:rPr/>
            </w:pPr>
            <w:hyperlink w:anchor="d551455dexfilingfees.htm">
              <w:r>
                <w:rPr>
                  <w:rStyle w:val="InternetLink"/>
                </w:rPr>
                <w:t>Filing Fee Table</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Portions of this exhibit (indicated by asterisks) have been omitted pursuant to Item 601 of Regulation S-K because it is both not material and is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sig"/>
      <w:bookmarkEnd w:id="37"/>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Irvine, State of California, on this 18th day of January,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5"/>
        <w:gridCol w:w="213"/>
        <w:gridCol w:w="417"/>
        <w:gridCol w:w="395"/>
        <w:gridCol w:w="1932"/>
      </w:tblGrid>
      <w:tr>
        <w:trPr/>
        <w:tc>
          <w:tcPr>
            <w:tcW w:w="112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CG ONCOLOGY, INC.</w:t>
            </w:r>
          </w:p>
        </w:tc>
      </w:tr>
      <w:tr>
        <w:trPr>
          <w:trHeight w:val="12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4"/>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pPr>
            <w:r>
              <w:rPr/>
              <w:t>By:</w:t>
            </w:r>
          </w:p>
        </w:tc>
        <w:tc>
          <w:tcPr>
            <w:tcW w:w="213" w:type="dxa"/>
            <w:tcBorders/>
            <w:vAlign w:val="bottom"/>
          </w:tcPr>
          <w:p>
            <w:pPr>
              <w:pStyle w:val="TableContents"/>
              <w:bidi w:val="0"/>
              <w:spacing w:before="0" w:after="283"/>
              <w:jc w:val="left"/>
              <w:rPr/>
            </w:pPr>
            <w:r>
              <w:rPr/>
              <w:t> </w:t>
            </w:r>
          </w:p>
        </w:tc>
        <w:tc>
          <w:tcPr>
            <w:tcW w:w="27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Kuan</w:t>
            </w:r>
          </w:p>
        </w:tc>
      </w:tr>
      <w:tr>
        <w:trPr/>
        <w:tc>
          <w:tcPr>
            <w:tcW w:w="1125"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744" w:type="dxa"/>
            <w:gridSpan w:val="3"/>
            <w:tcBorders/>
          </w:tcPr>
          <w:p>
            <w:pPr>
              <w:pStyle w:val="TableContents"/>
              <w:bidi w:val="0"/>
              <w:spacing w:before="0" w:after="283"/>
              <w:jc w:val="left"/>
              <w:rPr/>
            </w:pPr>
            <w:r>
              <w:rPr/>
              <w:t>Arthur Kuan</w:t>
            </w:r>
          </w:p>
        </w:tc>
      </w:tr>
      <w:tr>
        <w:trPr/>
        <w:tc>
          <w:tcPr>
            <w:tcW w:w="1125"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744" w:type="dxa"/>
            <w:gridSpan w:val="3"/>
            <w:tcBorders/>
          </w:tcPr>
          <w:p>
            <w:pPr>
              <w:pStyle w:val="TableContents"/>
              <w:bidi w:val="0"/>
              <w:spacing w:before="0" w:after="283"/>
              <w:jc w:val="left"/>
              <w:rPr/>
            </w:pPr>
            <w:r>
              <w:rPr/>
              <w:t>Chairman and Chief Executive Officer</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held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6"/>
        <w:gridCol w:w="120"/>
        <w:gridCol w:w="3930"/>
        <w:gridCol w:w="203"/>
        <w:gridCol w:w="2066"/>
      </w:tblGrid>
      <w:tr>
        <w:trPr/>
        <w:tc>
          <w:tcPr>
            <w:tcW w:w="3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9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20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12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Arthur Kuan</w:t>
            </w:r>
          </w:p>
          <w:p>
            <w:pPr>
              <w:pStyle w:val="TableContents"/>
              <w:bidi w:val="0"/>
              <w:spacing w:before="0" w:after="20"/>
              <w:jc w:val="center"/>
              <w:rPr>
                <w:rFonts w:ascii="Times New Roman" w:hAnsi="Times New Roman"/>
                <w:sz w:val="20"/>
              </w:rPr>
            </w:pPr>
            <w:r>
              <w:rPr>
                <w:rFonts w:ascii="Times New Roman" w:hAnsi="Times New Roman"/>
                <w:sz w:val="20"/>
              </w:rPr>
              <w:t>Arthur Kuan</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Chairman and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Corleen Roche</w:t>
            </w:r>
          </w:p>
          <w:p>
            <w:pPr>
              <w:pStyle w:val="TableContents"/>
              <w:bidi w:val="0"/>
              <w:spacing w:before="0" w:after="20"/>
              <w:jc w:val="center"/>
              <w:rPr>
                <w:rFonts w:ascii="Times New Roman" w:hAnsi="Times New Roman"/>
                <w:sz w:val="20"/>
              </w:rPr>
            </w:pPr>
            <w:r>
              <w:rPr>
                <w:rFonts w:ascii="Times New Roman" w:hAnsi="Times New Roman"/>
                <w:sz w:val="20"/>
              </w:rPr>
              <w:t>Corleen Roche</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Susan Graf</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Brian Liu, M.D.</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J. Mulé, IPh.D.</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Leonard Post, Ph.D.</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Simone Song</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r>
        <w:trPr>
          <w:trHeight w:val="240" w:hRule="atLeast"/>
        </w:trPr>
        <w:tc>
          <w:tcPr>
            <w:tcW w:w="3886" w:type="dxa"/>
            <w:tcBorders/>
            <w:vAlign w:val="center"/>
          </w:tcPr>
          <w:p>
            <w:pPr>
              <w:pStyle w:val="TableContents"/>
              <w:bidi w:val="0"/>
              <w:spacing w:before="0" w:after="283"/>
              <w:jc w:val="left"/>
              <w:rPr>
                <w:sz w:val="4"/>
                <w:szCs w:val="4"/>
              </w:rPr>
            </w:pPr>
            <w:r>
              <w:rPr>
                <w:sz w:val="4"/>
                <w:szCs w:val="4"/>
              </w:rPr>
            </w:r>
          </w:p>
        </w:tc>
        <w:tc>
          <w:tcPr>
            <w:tcW w:w="4050"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Victor Tong, Jr.</w:t>
            </w:r>
          </w:p>
        </w:tc>
        <w:tc>
          <w:tcPr>
            <w:tcW w:w="120"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January 18, 2024</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3"/>
        <w:gridCol w:w="82"/>
        <w:gridCol w:w="1586"/>
        <w:gridCol w:w="501"/>
        <w:gridCol w:w="1450"/>
      </w:tblGrid>
      <w:tr>
        <w:trPr/>
        <w:tc>
          <w:tcPr>
            <w:tcW w:w="46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63" w:type="dxa"/>
            <w:tcBorders/>
            <w:vAlign w:val="center"/>
          </w:tcPr>
          <w:p>
            <w:pPr>
              <w:pStyle w:val="TableContents"/>
              <w:bidi w:val="0"/>
              <w:spacing w:before="0" w:after="283"/>
              <w:jc w:val="left"/>
              <w:rPr>
                <w:sz w:val="4"/>
                <w:szCs w:val="4"/>
              </w:rPr>
            </w:pPr>
            <w:r>
              <w:rPr>
                <w:sz w:val="4"/>
                <w:szCs w:val="4"/>
              </w:rPr>
            </w:r>
          </w:p>
        </w:tc>
        <w:tc>
          <w:tcPr>
            <w:tcW w:w="3619" w:type="dxa"/>
            <w:gridSpan w:val="4"/>
            <w:tcBorders/>
            <w:vAlign w:val="center"/>
          </w:tcPr>
          <w:p>
            <w:pPr>
              <w:pStyle w:val="TableContents"/>
              <w:bidi w:val="0"/>
              <w:spacing w:before="0" w:after="283"/>
              <w:jc w:val="left"/>
              <w:rPr>
                <w:sz w:val="4"/>
                <w:szCs w:val="4"/>
              </w:rPr>
            </w:pPr>
            <w:r>
              <w:rPr>
                <w:sz w:val="4"/>
                <w:szCs w:val="4"/>
              </w:rPr>
            </w:r>
          </w:p>
        </w:tc>
      </w:tr>
      <w:tr>
        <w:trPr/>
        <w:tc>
          <w:tcPr>
            <w:tcW w:w="463"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537" w:type="dxa"/>
            <w:gridSpan w:val="3"/>
            <w:tcBorders>
              <w:bottom w:val="single" w:sz="2" w:space="0" w:color="000000"/>
            </w:tcBorders>
            <w:tcMar>
              <w:bottom w:w="28" w:type="dxa"/>
            </w:tcMar>
          </w:tcPr>
          <w:p>
            <w:pPr>
              <w:pStyle w:val="TableContents"/>
              <w:bidi w:val="0"/>
              <w:spacing w:before="0" w:after="283"/>
              <w:jc w:val="left"/>
              <w:rPr/>
            </w:pPr>
            <w:r>
              <w:rPr/>
              <w:t>/s/ Arthur Kuan</w:t>
            </w:r>
          </w:p>
        </w:tc>
      </w:tr>
      <w:tr>
        <w:trPr/>
        <w:tc>
          <w:tcPr>
            <w:tcW w:w="463"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37" w:type="dxa"/>
            <w:gridSpan w:val="3"/>
            <w:tcBorders/>
            <w:vAlign w:val="bottom"/>
          </w:tcPr>
          <w:p>
            <w:pPr>
              <w:pStyle w:val="TableContents"/>
              <w:bidi w:val="0"/>
              <w:spacing w:before="0" w:after="283"/>
              <w:jc w:val="left"/>
              <w:rPr>
                <w:sz w:val="20"/>
              </w:rPr>
            </w:pPr>
            <w:r>
              <w:rPr>
                <w:sz w:val="20"/>
              </w:rPr>
              <w:t>Arthur Kuan</w:t>
            </w:r>
          </w:p>
        </w:tc>
      </w:tr>
      <w:tr>
        <w:trPr/>
        <w:tc>
          <w:tcPr>
            <w:tcW w:w="463"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37" w:type="dxa"/>
            <w:gridSpan w:val="3"/>
            <w:tcBorders/>
            <w:vAlign w:val="bottom"/>
          </w:tcPr>
          <w:p>
            <w:pPr>
              <w:pStyle w:val="TableContents"/>
              <w:bidi w:val="0"/>
              <w:spacing w:before="0" w:after="283"/>
              <w:jc w:val="left"/>
              <w:rPr>
                <w:sz w:val="20"/>
              </w:rPr>
            </w:pPr>
            <w:r>
              <w:rPr>
                <w:sz w:val="20"/>
              </w:rPr>
              <w:t>Attorney-in-fact</w:t>
            </w:r>
          </w:p>
        </w:tc>
      </w:tr>
    </w:tbl>
    <w:p>
      <w:pPr>
        <w:pStyle w:val="TextBody"/>
        <w:bidi w:val="0"/>
        <w:spacing w:before="0" w:after="0"/>
        <w:jc w:val="right"/>
        <w:rPr>
          <w:rFonts w:ascii="Times New Roman" w:hAnsi="Times New Roman"/>
          <w:b/>
          <w:sz w:val="20"/>
        </w:rPr>
      </w:pPr>
      <w:bookmarkStart w:id="38" w:name="d551455dex11.htm"/>
      <w:bookmarkStart w:id="39" w:name="ksd551455dex11"/>
      <w:bookmarkEnd w:id="38"/>
      <w:bookmarkEnd w:id="39"/>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 2024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 2024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CG Oncology, Inc., a Delaware corporation (the </w:t>
      </w:r>
      <w:r>
        <w:rPr>
          <w:rFonts w:ascii="Times New Roman" w:hAnsi="Times New Roman"/>
          <w:b/>
          <w:sz w:val="20"/>
        </w:rPr>
        <w:t>Company</w:t>
      </w:r>
      <w:r>
        <w:rPr>
          <w:rFonts w:ascii="Times New Roman" w:hAnsi="Times New Roman"/>
          <w:sz w:val="20"/>
        </w:rPr>
        <w:t>), proposes, subject to terms and conditions stated in this agreement (this </w:t>
      </w:r>
      <w:r>
        <w:rPr>
          <w:rFonts w:ascii="Times New Roman" w:hAnsi="Times New Roman"/>
          <w:b/>
          <w:sz w:val="20"/>
        </w:rPr>
        <w:t>Agreement</w:t>
      </w:r>
      <w:r>
        <w:rPr>
          <w:rFonts w:ascii="Times New Roman" w:hAnsi="Times New Roman"/>
          <w:sz w:val="20"/>
        </w:rPr>
        <w:t>), to issue and sell to the several Underwriters named in Schedule I hereto (the </w:t>
      </w:r>
      <w:r>
        <w:rPr>
          <w:rFonts w:ascii="Times New Roman" w:hAnsi="Times New Roman"/>
          <w:b/>
          <w:sz w:val="20"/>
        </w:rPr>
        <w:t>Underwriters</w:t>
      </w:r>
      <w:r>
        <w:rPr>
          <w:rFonts w:ascii="Times New Roman" w:hAnsi="Times New Roman"/>
          <w:sz w:val="20"/>
        </w:rPr>
        <w:t>), for whom Morgan Stanley &amp; Co. LLC, Goldman Sachs &amp; Co. LLC and Cantor Fitzgerald &amp; Co. are acting as representatives (the </w:t>
      </w:r>
      <w:r>
        <w:rPr>
          <w:rFonts w:ascii="Times New Roman" w:hAnsi="Times New Roman"/>
          <w:b/>
          <w:sz w:val="20"/>
        </w:rPr>
        <w:t>Representatives</w:t>
      </w:r>
      <w:r>
        <w:rPr>
          <w:rFonts w:ascii="Times New Roman" w:hAnsi="Times New Roman"/>
          <w:sz w:val="20"/>
        </w:rPr>
        <w:t>), [] shares of its common stock, par value $0.0001 per share (the </w:t>
      </w:r>
      <w:r>
        <w:rPr>
          <w:rFonts w:ascii="Times New Roman" w:hAnsi="Times New Roman"/>
          <w:b/>
          <w:sz w:val="20"/>
        </w:rPr>
        <w:t>Firm Shares</w:t>
      </w:r>
      <w:r>
        <w:rPr>
          <w:rFonts w:ascii="Times New Roman" w:hAnsi="Times New Roman"/>
          <w:sz w:val="20"/>
        </w:rPr>
        <w:t>). The Company also proposes to issue and sell to the several Underwriters not more than an additional [] shares of its common stock, par value $0.0001 per share (the </w:t>
      </w:r>
      <w:r>
        <w:rPr>
          <w:rFonts w:ascii="Times New Roman" w:hAnsi="Times New Roman"/>
          <w:b/>
          <w:sz w:val="20"/>
        </w:rPr>
        <w:t>Additional Shares</w:t>
      </w:r>
      <w:r>
        <w:rPr>
          <w:rFonts w:ascii="Times New Roman" w:hAnsi="Times New Roman"/>
          <w:sz w:val="20"/>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hAnsi="Times New Roman"/>
          <w:b/>
          <w:sz w:val="20"/>
        </w:rPr>
        <w:t>Shares</w:t>
      </w:r>
      <w:r>
        <w:rPr>
          <w:rFonts w:ascii="Times New Roman" w:hAnsi="Times New Roman"/>
          <w:sz w:val="20"/>
        </w:rPr>
        <w:t>. The shares of common stock, par value $0.0001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In the event that the Company has no subsidiaries, or only one subsidiary, then all references herein to subsidiaries of the Company shall be deemed to refer to no subsidiary, or such single subsidiary,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S-1 (File No. 333-276350),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hAnsi="Times New Roman"/>
          <w:b/>
          <w:sz w:val="20"/>
        </w:rPr>
        <w:t>Securities Act</w:t>
      </w:r>
      <w:r>
        <w:rPr>
          <w:rFonts w:ascii="Times New Roman" w:hAnsi="Times New Roman"/>
          <w:sz w:val="20"/>
        </w:rPr>
        <w:t xml:space="preserve">), is hereinafter referred 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rPr>
        <w:t>Registration Statement</w:t>
      </w:r>
      <w:r>
        <w:rPr>
          <w:rFonts w:ascii="Times New Roman" w:hAnsi="Times New Roman"/>
          <w:sz w:val="20"/>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xml:space="preserve"> </w:t>
      </w:r>
      <w:r>
        <w:rPr>
          <w:rFonts w:ascii="Times New Roman" w:hAnsi="Times New Roman"/>
          <w:b/>
          <w:sz w:val="20"/>
        </w:rPr>
        <w:t>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preliminary prospectus</w:t>
      </w:r>
      <w:r>
        <w:rPr>
          <w:rFonts w:ascii="Times New Roman" w:hAnsi="Times New Roman"/>
          <w:sz w:val="20"/>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hAnsi="Times New Roman"/>
          <w:b/>
          <w:sz w:val="20"/>
        </w:rPr>
        <w:t>Time of Sale Prospectus</w:t>
      </w:r>
      <w:r>
        <w:rPr>
          <w:rFonts w:ascii="Times New Roman" w:hAnsi="Times New Roman"/>
          <w:sz w:val="20"/>
        </w:rPr>
        <w:t> means the preliminary prospectus contained in the Registration Statement at the time of its effectiveness together with the documents and pricing information set forth in Schedule II hereto, and </w:t>
      </w:r>
      <w:r>
        <w:rPr>
          <w:rFonts w:ascii="Times New Roman" w:hAnsi="Times New Roman"/>
          <w:b/>
          <w:sz w:val="20"/>
        </w:rPr>
        <w:t>broadly available road show</w:t>
      </w:r>
      <w:r>
        <w:rPr>
          <w:rFonts w:ascii="Times New Roman" w:hAnsi="Times New Roman"/>
          <w:sz w:val="20"/>
        </w:rPr>
        <w:t xml:space="preserve">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has no subsidiaries and does not, directly or indirectly, own any capital stock or other equity or ownership or proprietary interest in any corporation, partnership, association, trust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authorized capital stock of the Company conforms as to legal matters, in all material respects,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shares of Common Stock outstanding prior to the issuance of the Shares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(i)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 </w:t>
      </w:r>
    </w:p>
    <w:p>
      <w:pPr>
        <w:pStyle w:val="TextBody"/>
        <w:bidi w:val="0"/>
        <w:spacing w:before="120" w:after="0"/>
        <w:jc w:val="left"/>
        <w:rPr>
          <w:rFonts w:ascii="Times New Roman" w:hAnsi="Times New Roman"/>
          <w:sz w:val="20"/>
        </w:rPr>
      </w:pPr>
      <w:r>
        <w:rPr>
          <w:rFonts w:ascii="Times New Roman" w:hAnsi="Times New Roman"/>
          <w:sz w:val="20"/>
        </w:rPr>
        <w:t>(j) With respect to the stock options granted pursuant to the stock-based compensation plans of the Company and its subsidiaries (the </w:t>
      </w:r>
      <w:r>
        <w:rPr>
          <w:rFonts w:ascii="Times New Roman" w:hAnsi="Times New Roman"/>
          <w:b/>
          <w:sz w:val="20"/>
        </w:rPr>
        <w:t>Company Stock Plans</w:t>
      </w:r>
      <w:r>
        <w:rPr>
          <w:rFonts w:ascii="Times New Roman" w:hAnsi="Times New Roman"/>
          <w:sz w:val="20"/>
        </w:rPr>
        <w:t xml:space="preserve">),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(ii) each such grant was made in accordance with the terms of the Company Stock Plans, and all applicable laws and regulatory rules or requirements, including all applicable federal securities laws. </w:t>
      </w:r>
    </w:p>
    <w:p>
      <w:pPr>
        <w:pStyle w:val="TextBody"/>
        <w:bidi w:val="0"/>
        <w:spacing w:before="120" w:after="0"/>
        <w:jc w:val="left"/>
        <w:rPr>
          <w:rFonts w:ascii="Times New Roman" w:hAnsi="Times New Roman"/>
          <w:sz w:val="20"/>
        </w:rPr>
      </w:pPr>
      <w:r>
        <w:rPr>
          <w:rFonts w:ascii="Times New Roman" w:hAnsi="Times New Roman"/>
          <w:sz w:val="20"/>
        </w:rPr>
        <w:t>(k) 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this case of clauses (i), (iii) and (iv), where such contravention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or foreign jurisdictions or the rules and regulations of the Financial Industry Regulatory Authority (</w:t>
      </w:r>
      <w:r>
        <w:rPr>
          <w:rFonts w:ascii="Times New Roman" w:hAnsi="Times New Roman"/>
          <w:b/>
          <w:sz w:val="20"/>
        </w:rPr>
        <w:t>FINRA</w:t>
      </w:r>
      <w:r>
        <w:rPr>
          <w:rFonts w:ascii="Times New Roman" w:hAnsi="Times New Roman"/>
          <w:sz w:val="20"/>
        </w:rPr>
        <w:t xml:space="preserve">) in connection with the offer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(l)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Neither the Company nor any of its subsidiaries is (i) in violation of its respective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individually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is subject or by which the Company is bound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(o)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(p) 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has received all permits, licenses or other approvals required of them under applicable Environmental Laws to conduct their respective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(r)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(t) (i) None of the Company or any of its subsidiaries or affiliates, or any director, officer, or employee thereof, nor,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rPr>
        <w:t>Government Official</w:t>
      </w:r>
      <w:r>
        <w:rPr>
          <w:rFonts w:ascii="Times New Roman" w:hAnsi="Times New Roman"/>
          <w:sz w:val="20"/>
        </w:rPr>
        <w:t xml:space="preserve">) in order to influence official action, or to any person in violation of any applicable anti-corruption laws; (ii) the Company and each of its subsidiaries and each of its controlled affiliates has conducted their businesses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120" w:after="0"/>
        <w:jc w:val="left"/>
        <w:rPr>
          <w:rFonts w:ascii="Times New Roman" w:hAnsi="Times New Roman"/>
          <w:sz w:val="20"/>
        </w:rPr>
      </w:pPr>
      <w:r>
        <w:rPr>
          <w:rFonts w:ascii="Times New Roman" w:hAnsi="Times New Roman"/>
          <w:sz w:val="20"/>
        </w:rPr>
        <w:t>(u)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(v) (i)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Crimea, Cuba, Iran, North Korea, Syria, and the Donetsk Peoples Republic and Luhansk Peoples Republic located in Ukraine).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(w)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equity compensation plans or agreements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each case as described in each of the Registration Statement, the Time of Sale Prospectus and the Prospectus, respectively. </w:t>
      </w:r>
    </w:p>
    <w:p>
      <w:pPr>
        <w:pStyle w:val="TextBody"/>
        <w:bidi w:val="0"/>
        <w:spacing w:before="120" w:after="0"/>
        <w:jc w:val="left"/>
        <w:rPr>
          <w:rFonts w:ascii="Times New Roman" w:hAnsi="Times New Roman"/>
          <w:sz w:val="20"/>
        </w:rPr>
      </w:pPr>
      <w:r>
        <w:rPr>
          <w:rFonts w:ascii="Times New Roman" w:hAnsi="Times New Roman"/>
          <w:sz w:val="20"/>
        </w:rPr>
        <w:t xml:space="preserve">(x)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To the Companys knowledge, the Company and its subsidiaries own or have valid and enforceable licenses or other rights to practice and use all technology,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of the business of the Company and its subsidiaries (including as described in the Time of Sale Prospectus and the Prospectus (collectively, the </w:t>
      </w:r>
      <w:r>
        <w:rPr>
          <w:rFonts w:ascii="Times New Roman" w:hAnsi="Times New Roman"/>
          <w:b/>
          <w:sz w:val="20"/>
        </w:rPr>
        <w:t>Company Intellectual Property</w:t>
      </w:r>
      <w:r>
        <w:rPr>
          <w:rFonts w:ascii="Times New Roman" w:hAnsi="Times New Roman"/>
          <w:sz w:val="20"/>
        </w:rPr>
        <w:t>). Except as disclosed in the Time of Sale Prospectus and the Prospectus, (i) to the Companys knowledge, the conduct of the Companys and its subsidiaries respective business and the proposed conduct of its business (including the development and commercialization of the product candidates described in the Time of Sale Prospectus and the Prospectus) has not and will not infringe or misappropriate any intellectual property rights of others; (ii) to the Companys knowledge, there are no ownership rights of third parties to any of the Company Intellectual Property owned by the Company or any of its subsidiaries, and such Company Intellectual Property is owned by the Company free and clear of all liens, security interests, or encumbrances; (iii) the registered patents, trademarks and copyrights held or licensed by the Company and its subsidiaries included within the Company Intellectual Property are subsisting, and, to the Companys knowledge, valid and enforceable, and the patent, trademark, and copyright applications included within the Company Intellectual Property are subsisting and have not been abandoned, except as would not, individually or in the aggregate, reasonably be expected to result in a material adverse effect on the Company; (iv) to the Companys knowledge, there is no infringement by third parties of any of the Company Intellectual Property; (v) no action, suit, claim or other proceeding is pending or threatened in writing alleging that the Company or any of its subsidiaries is infringing, misappropriating, diluting or otherwise violating, or would, upon the commercialization of any product or service proposed in the Time of Sale Prospectus and the Prospectus as under development, infringe, misappropriate, dilute, or otherwise violate any rights of others with respect to any of the Companys product candidates, processes or Company Intellectual Property; (vi) no action, suit, claim or other proceeding is pending, or is threatened in writing, challenging the validity, enforceability, scope, registration, ownership or use of any Company Intellectual Property; (vii) the Company has not received written notice of any claim of infringement, misappropriation or conflict with any asserted rights of others with respect to any of the Companys products, proposed products, processes or Company Intellectual Property; (viii) to the Companys knowledge, no employee, consultant or independent contractor of the Company or any of its subsidiaries (</w:t>
      </w:r>
      <w:r>
        <w:rPr>
          <w:rFonts w:ascii="Times New Roman" w:hAnsi="Times New Roman"/>
          <w:b/>
          <w:sz w:val="20"/>
        </w:rPr>
        <w:t>Company Personnel</w:t>
      </w:r>
      <w:r>
        <w:rPr>
          <w:rFonts w:ascii="Times New Roman" w:hAnsi="Times New Roman"/>
          <w:sz w:val="20"/>
        </w:rPr>
        <w:t xml:space="preserve">) is in or has ever been in violation in any respect of any term of any employment contract, patent disclosure agreement, invention assignment agreement, non-competition agreement, non-solicitation agreement, or nondisclosure agreement it has with the Company; (ix) the Company has taken commercially reasonable measures to protect its confidential information and trade secrets and to maintain and safeguard the Company Intellectual Property, including the execution of appropriate nondisclosure and confidentiality agreements; (x) the Company and its subsidiaries have complied with the material terms of each material agreement pursuant to which material intellectual property has been licensed to the Company or any of its subsidiaries, and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are in full force and effect; (xi) to the Companys knowledge, none of the Company Intellectual Property has been obtained or is being used by the Company in violation of any contractual obligation binding on the Company; (xii) to the Companys knowledge, the use of the product candidates described in the Time of Sale Prospectus and the Prospectus as under development by the Company fall within the scope of the claims of one or more patents or patent applications owned by, or exclusively licensed to, the Company; and (xiii) to the Companys knowledge, the duties of candor and good faith required by the United States Patent and Trademark Office during the prosecution of the United States patents and patent applications included in the Company Intellectual Property have been complied with. </w:t>
      </w:r>
    </w:p>
    <w:p>
      <w:pPr>
        <w:pStyle w:val="TextBody"/>
        <w:bidi w:val="0"/>
        <w:spacing w:before="120" w:after="0"/>
        <w:jc w:val="left"/>
        <w:rPr>
          <w:rFonts w:ascii="Times New Roman" w:hAnsi="Times New Roman"/>
          <w:sz w:val="20"/>
        </w:rPr>
      </w:pPr>
      <w:r>
        <w:rPr>
          <w:rFonts w:ascii="Times New Roman" w:hAnsi="Times New Roman"/>
          <w:sz w:val="20"/>
        </w:rPr>
        <w:t>(z) Except as would not, individually or in the aggregate, reasonably be expected to result in a material adverse effect on the Company and its subsidiaries, taken as a whole, (A)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 w:hAnsi="Times New Roman"/>
          <w:b/>
          <w:sz w:val="20"/>
        </w:rPr>
        <w:t>ERISA</w:t>
      </w:r>
      <w:r>
        <w:rPr>
          <w:rFonts w:ascii="Times New Roman" w:hAnsi="Times New Roman"/>
          <w:sz w:val="20"/>
        </w:rPr>
        <w:t>) and the Internal Revenue Code of 1986, as amended (the </w:t>
      </w:r>
      <w:r>
        <w:rPr>
          <w:rFonts w:ascii="Times New Roman" w:hAnsi="Times New Roman"/>
          <w:b/>
          <w:sz w:val="20"/>
        </w:rPr>
        <w:t>Code</w:t>
      </w:r>
      <w:r>
        <w:rPr>
          <w:rFonts w:ascii="Times New Roman" w:hAnsi="Times New Roman"/>
          <w:sz w:val="20"/>
        </w:rPr>
        <w:t>);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with respect to any Plan that is a Pension Plan (within the meaning of Section 3(2) of ERISA) (together with any multiemployer plan within the meaning of Section 4001(a)(3) of ERISA, a </w:t>
      </w:r>
      <w:r>
        <w:rPr>
          <w:rFonts w:ascii="Times New Roman" w:hAnsi="Times New Roman"/>
          <w:b/>
          <w:sz w:val="20"/>
        </w:rPr>
        <w:t>Pension Plan</w:t>
      </w:r>
      <w:r>
        <w:rPr>
          <w:rFonts w:ascii="Times New Roman" w:hAnsi="Times New Roman"/>
          <w:sz w:val="20"/>
        </w:rPr>
        <w:t xml:space="preserve">); and (E) neither the Company nor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has incurred, nor is reasonably expected to incur, any liability under Title IV of ERISA (other than contributions to any Plan or any Pension Plan or premiums to the Pension Benefit Guaranty Corporation, in the ordinary course and without default) with respect to the termination of, withdrawal from or failure to make required contributions to, any Pension Plan. For purposes of this paragraph, (x) the term Plan means an employee benefit plan, within the meaning of Section 3(3) of ERISA, subject to Title IV of ERISA, for which the Company has any liability (whether absolute or contingent). </w:t>
      </w:r>
    </w:p>
    <w:p>
      <w:pPr>
        <w:pStyle w:val="TextBody"/>
        <w:bidi w:val="0"/>
        <w:spacing w:before="120" w:after="0"/>
        <w:jc w:val="left"/>
        <w:rPr>
          <w:rFonts w:ascii="Times New Roman" w:hAnsi="Times New Roman"/>
          <w:sz w:val="20"/>
        </w:rPr>
      </w:pPr>
      <w:r>
        <w:rPr>
          <w:rFonts w:ascii="Times New Roman" w:hAnsi="Times New Roman"/>
          <w:sz w:val="20"/>
        </w:rPr>
        <w:t xml:space="preserve">(aa) Except as would not, individually or in the aggregate, reasonably be expected to result in a material adverse effect on the Company, no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(cc) The Company and each of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(dd) 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hAnsi="Times New Roman"/>
          <w:b/>
          <w:sz w:val="20"/>
        </w:rPr>
        <w:t>U.S. GAAP</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(ee) [Reserved]. </w:t>
      </w:r>
    </w:p>
    <w:p>
      <w:pPr>
        <w:pStyle w:val="TextBody"/>
        <w:bidi w:val="0"/>
        <w:spacing w:before="120" w:after="0"/>
        <w:jc w:val="left"/>
        <w:rPr>
          <w:rFonts w:ascii="Times New Roman" w:hAnsi="Times New Roman"/>
          <w:sz w:val="20"/>
        </w:rPr>
      </w:pPr>
      <w:r>
        <w:rPr>
          <w:rFonts w:ascii="Times New Roman" w:hAnsi="Times New Roman"/>
          <w:sz w:val="20"/>
        </w:rPr>
        <w:t xml:space="preserve">(ff) Ernst &amp; Young LLP, which has expressed its opinion and certified certain of the financial statements of the Company filed with the Commission as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(hh) The statistical, industry and market related data included in the Registration Statement, the Time of Sale Prospectus and the Prospectus are based on or derived from sources that the Company believes, after reasonable inquiry, to be reliable and accurate. To the Companys knowledge, after reasonable investigation, it does not require the consent of any third party for the use of any such data. </w:t>
      </w:r>
    </w:p>
    <w:p>
      <w:pPr>
        <w:pStyle w:val="TextBody"/>
        <w:bidi w:val="0"/>
        <w:spacing w:before="120" w:after="0"/>
        <w:jc w:val="left"/>
        <w:rPr>
          <w:rFonts w:ascii="Times New Roman" w:hAnsi="Times New Roman"/>
          <w:sz w:val="20"/>
        </w:rPr>
      </w:pPr>
      <w:r>
        <w:rPr>
          <w:rFonts w:ascii="Times New Roman" w:hAnsi="Times New Roman"/>
          <w:sz w:val="20"/>
        </w:rPr>
        <w:t>(ii) To the extent required under applicable rules, the Company maintains disclosure controls and procedures that comply with the requirements of the Securities Exchange Act of 1934, as amended (the </w:t>
      </w:r>
      <w:r>
        <w:rPr>
          <w:rFonts w:ascii="Times New Roman" w:hAnsi="Times New Roman"/>
          <w:b/>
          <w:sz w:val="20"/>
        </w:rPr>
        <w:t>Exchange Act</w:t>
      </w:r>
      <w:r>
        <w:rPr>
          <w:rFonts w:ascii="Times New Roman" w:hAnsi="Times New Roman"/>
          <w:sz w:val="20"/>
        </w:rPr>
        <w:t xml:space="preserve">);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before="120" w:after="0"/>
        <w:jc w:val="left"/>
        <w:rPr>
          <w:rFonts w:ascii="Times New Roman" w:hAnsi="Times New Roman"/>
          <w:sz w:val="20"/>
        </w:rPr>
      </w:pPr>
      <w:r>
        <w:rPr>
          <w:rFonts w:ascii="Times New Roman" w:hAnsi="Times New Roman"/>
          <w:sz w:val="20"/>
        </w:rPr>
        <w:t xml:space="preserve">(jj) Except as described in the Time of Sale Prospectus and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equity incentive plans or other employee compensation plans or pursuant to outstanding options, rights or warrants. </w:t>
      </w:r>
    </w:p>
    <w:p>
      <w:pPr>
        <w:pStyle w:val="TextBody"/>
        <w:bidi w:val="0"/>
        <w:spacing w:before="120" w:after="0"/>
        <w:jc w:val="left"/>
        <w:rPr>
          <w:rFonts w:ascii="Times New Roman" w:hAnsi="Times New Roman"/>
          <w:sz w:val="20"/>
        </w:rPr>
      </w:pPr>
      <w:r>
        <w:rPr>
          <w:rFonts w:ascii="Times New Roman" w:hAnsi="Times New Roman"/>
          <w:sz w:val="20"/>
        </w:rPr>
        <w:t xml:space="preserve">(kk) 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paid all taxes required to be paid thereon or pursuant to any assessment received by the Company and its subsidiaries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established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(ll) The Company has taken all necessary actions to ensure that, upon the effectiveness of the Registration Statement, it will be in compliance with all provisions of the Sarbanes-Oxley Act of 2002, as amended (the </w:t>
      </w:r>
      <w:r>
        <w:rPr>
          <w:rFonts w:ascii="Times New Roman" w:hAnsi="Times New Roman"/>
          <w:b/>
          <w:sz w:val="20"/>
        </w:rPr>
        <w:t>Sarbanes-Oxley Act</w:t>
      </w:r>
      <w:r>
        <w:rPr>
          <w:rFonts w:ascii="Times New Roman" w:hAnsi="Times New Roman"/>
          <w:sz w:val="20"/>
        </w:rPr>
        <w:t xml:space="preserve">), and all rules and regulations promulgated thereunder applicable to the Company at such time, and is taking steps designed to ensure that it will be in compliance, at all times, with the other provisions of the Sarbanes-Oxley Act when they become applicable to the Company after the effectiveness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(mm) The Company has not taken, directly or indirectly, any action designed to, or that would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(nn) From the time of initial confidential submission of the Registration Statement to the Commission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(oo)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(qq) The preclinical tests and clinical trials, and other studies (collectively, </w:t>
      </w:r>
      <w:r>
        <w:rPr>
          <w:rFonts w:ascii="Times New Roman" w:hAnsi="Times New Roman"/>
          <w:b/>
          <w:sz w:val="20"/>
        </w:rPr>
        <w:t>Studies</w:t>
      </w:r>
      <w:r>
        <w:rPr>
          <w:rFonts w:ascii="Times New Roman" w:hAnsi="Times New Roman"/>
          <w:sz w:val="20"/>
        </w:rPr>
        <w:t>) conducted or sponsored by the Company or in which the Company has participated with respect to its product candidate that are described in, or the results of which are referred to in, the Registration Statement, the Time of Sale Prospectus or the Prospectus were and, if still pending, are being conducted in all material respects in accordance with all applicable Health Care Laws and any other applicable rules or regulations to which they are subject; each description of the results of such Studies is accurate in all material respects, and the Company has no knowledge of any other Studies the results of which are inconsistent with, or otherwise call into question, the results described or referred to in the Registration Statement, the Time of Sale Prospectus or the Prospectus; the Company has made all such filings and obtained all such approvals or authorizations as may be required by the Food and Drug Administration (the </w:t>
      </w:r>
      <w:r>
        <w:rPr>
          <w:rFonts w:ascii="Times New Roman" w:hAnsi="Times New Roman"/>
          <w:b/>
          <w:sz w:val="20"/>
        </w:rPr>
        <w:t>FDA</w:t>
      </w:r>
      <w:r>
        <w:rPr>
          <w:rFonts w:ascii="Times New Roman" w:hAnsi="Times New Roman"/>
          <w:sz w:val="20"/>
        </w:rPr>
        <w:t>) of the U.S. Department of Health and Human Services or from any other U.S. or foreign government or drug regulatory agency, or health care facility Institutional Review Board for the conduct of such Studies (collectively, the </w:t>
      </w:r>
      <w:r>
        <w:rPr>
          <w:rFonts w:ascii="Times New Roman" w:hAnsi="Times New Roman"/>
          <w:b/>
          <w:sz w:val="20"/>
        </w:rPr>
        <w:t>Regulatory Agencies</w:t>
      </w:r>
      <w:r>
        <w:rPr>
          <w:rFonts w:ascii="Times New Roman" w:hAnsi="Times New Roman"/>
          <w:sz w:val="20"/>
        </w:rPr>
        <w:t xml:space="preserve">), except where the failure to make such filing or obtain such approval would not reasonably be expected to, individually or in the aggregate, result in a material adverse effect on the Company; the Company has not received any written notice of, or written correspondence from, any Regulatory Agency requiring the termination or suspension of any Studies currently being conducted or proposed to be conducted by or on behalf of the Company, nor is the Company aware of any reasonable grounds for such written notice or correspondence. </w:t>
      </w:r>
    </w:p>
    <w:p>
      <w:pPr>
        <w:pStyle w:val="TextBody"/>
        <w:bidi w:val="0"/>
        <w:spacing w:before="120" w:after="0"/>
        <w:jc w:val="left"/>
        <w:rPr>
          <w:rFonts w:ascii="Times New Roman" w:hAnsi="Times New Roman"/>
          <w:sz w:val="20"/>
        </w:rPr>
      </w:pPr>
      <w:r>
        <w:rPr>
          <w:rFonts w:ascii="Times New Roman" w:hAnsi="Times New Roman"/>
          <w:sz w:val="20"/>
        </w:rPr>
        <w:t>(rr) The Company and to the Companys knowledge, its directors, officers, employees, and agents, are and at all relevant times have been, in compliance with all applicable Health Care Laws except where such non-compliance would not reasonably be expected to, individually or in the aggregate, result in a material adverse effect on the Company. For purposes of this Agreement, </w:t>
      </w:r>
      <w:r>
        <w:rPr>
          <w:rFonts w:ascii="Times New Roman" w:hAnsi="Times New Roman"/>
          <w:b/>
          <w:sz w:val="20"/>
        </w:rPr>
        <w:t>Health Care Laws</w:t>
      </w:r>
      <w:r>
        <w:rPr>
          <w:rFonts w:ascii="Times New Roman" w:hAnsi="Times New Roman"/>
          <w:sz w:val="20"/>
        </w:rPr>
        <w:t xml:space="preserve"> means: (i) the Federal Food, Drug, and Cosmetic Act (21 U.S.C. §§ 301 et seq.), the Public Health Service Act (42 U.S.C. §§ 201 et seq.) and the regulations promulgated thereunder; (ii) all federal, state, local and all foreign health care related fraud and abuse laws, including, without limitation, the U.S. Anti-Kickback Statute (42 U.S.C. §1320a-7b(b)), the U.S. False Statements Law (42 U.S.C. §1320a-7b(a)), the Civil Monetary Penalties Law (42 U.S.C. §1320a-7a), the U.S. Civil False Claims Act (31 U.S.C.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§3729 et seq.), all criminal laws relating to health care fraud and abuse, including but not limited to 18 U.S.C. §§ 286 and 287, and the health care fraud criminal provisions under the U.S. Health Insurance Portability and Accountability Act of 1996 (</w:t>
      </w:r>
      <w:r>
        <w:rPr>
          <w:rFonts w:ascii="Times New Roman" w:hAnsi="Times New Roman"/>
          <w:b/>
          <w:sz w:val="20"/>
        </w:rPr>
        <w:t>HIPAA</w:t>
      </w:r>
      <w:r>
        <w:rPr>
          <w:rFonts w:ascii="Times New Roman" w:hAnsi="Times New Roman"/>
          <w:sz w:val="20"/>
        </w:rPr>
        <w:t xml:space="preserve">) (42 U.S.C. §§ 1320d et seq.), the Physician Payments Sunshine Act (42 U.S.C. §1320a-7h), the exclusions law (42 U.S.C. §1320a-7), the statutes and regulations of applicable government funded or sponsored healthcare programs, including but not limited to the Medicare (Title XVIII of the Social Security Act) and Medicaid (Title XIX of the Social Security Act); (iii) licensure, quality, safety and accreditation requirements enforced by applicable governmental authorities; and (iv) any and all other comparable health care laws and regulations applicable to the ownership, testing, development, manufacture, packaging, processing, use, distribution, marketing, advertising, labeling, promotion, sale, offer for sale, storage, import, export or disposal of any product manufactured or distributed by the Company. The Company has not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and, to the Companys knowledge, no such claim, action, suit, proceeding, hearing, enforcement, investigation, arbitration or other action is threatened. The Company is not a party to any corporate integrity agreements, monitoring agreements, consent decrees, settlement orders, or similar agreements with or imposed by any governmental or regulatory authority. Additionally, neither the Company nor any of the Companys employees, officers, directors, contractors or, to the Companys knowledge, any of its agents, is or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or engaged in any conduct that would reasonably be expected to result in debarment, suspension, or exclusion. Except as not reasonably be expected to, individually or in the aggregate, result in a material adverse effect on the Company, the Company has filed, obtained, maintained or submitted all reports, documents, forms, notices, applications, records, claims, submissions and supplements or amendments as required by any applicable Health Care Laws, and all such reports, documents, forms, notices, applications, records, claims, submissions and supplements or amendments were timely, complete, accurate and not misleading on the date filed in all respects (or were corrected or supplemented by a subsequent submission). Except in each case as would not reasonably be expected to, individually or in the aggregate, result in a material adverse effect on the Company (A) possesses and is in compliance with all licenses, certificates, approvals, clearances, exemptions, authorizations, permits and supplements or amendments thereto required by any applicable Health Care Laws, (B) has fulfilled and performed all of its obligations with respect to all such licenses, sublicenses, certificates, permits and other authorizations, and (C) to the Companys knowledge, no event has occurred which allows, or after notice or lapse of time would allow, revocation or termination thereof or results in any other impairment of the rights of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(ss) The Company: (A) is and at all relevant times has been in material compliance with all applicable Health Care Laws enforced by the FDA and other comparable governmental entities (</w:t>
      </w:r>
      <w:r>
        <w:rPr>
          <w:rFonts w:ascii="Times New Roman" w:hAnsi="Times New Roman"/>
          <w:b/>
          <w:sz w:val="20"/>
        </w:rPr>
        <w:t>Applicable Laws</w:t>
      </w:r>
      <w:r>
        <w:rPr>
          <w:rFonts w:ascii="Times New Roman" w:hAnsi="Times New Roman"/>
          <w:sz w:val="20"/>
        </w:rPr>
        <w:t>) except where such non-compliance would not reasonably be expected to, individually or in the aggregate, result in a material adverse effect on the Company; (B) has not received any FDA Form 483, written notice of adverse finding, warning letter, untitled letter or other written correspondence or written notice from the FDA or any governmental entity alleging or asserting material noncompliance with any Applicable Laws or any licenses, certificates, approvals, clearances, exemptions, authorizations, permits and supplements or amendments thereto required by any such Applicable Laws (</w:t>
      </w:r>
      <w:r>
        <w:rPr>
          <w:rFonts w:ascii="Times New Roman" w:hAnsi="Times New Roman"/>
          <w:b/>
          <w:sz w:val="20"/>
        </w:rPr>
        <w:t>Authorizations</w:t>
      </w:r>
      <w:r>
        <w:rPr>
          <w:rFonts w:ascii="Times New Roman" w:hAnsi="Times New Roman"/>
          <w:sz w:val="20"/>
        </w:rPr>
        <w:t xml:space="preserve">); (C) possesses all Authorizations, such Authorizations are valid and in full force and effect and the Company is not in violation of any term of any such Authorizations except as would not reasonably be expected to, individually or in the aggregate, result in a material adverse effect on the Company; (D) has not received written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comparable governmental entity or third party has threatened any such claim, litigation, arbitration, action, suit, investigation or proceeding, which in each case, if determined adversely to the Company, would reasonably be expected to have a material adverse effect on the Company; (E) has not received written notice that the FDA or any governmental entity has taken, is taking or intends to take action to limit, suspend, modify or revoke any material Authorizations and has no knowledge that the FDA or any governmental entity has threatened such action except where such limitation, suspension, modification or revocation would not reasonably be expected to, individually or in the aggregate, result in a material adverse effect on the Company; and (F) except as would not reasonably be expected to, individually or in the aggregate, result in a material adverse effect on the Company, has filed, obtained, maintained or submitted all reports, documents, forms, notices, applications, records, claims, submissions and supplements or amendments as required by any Applicable Laws or Authorizations and all such reports, documents, forms, notices, applications, records, claims, submissions and supplements or amendments were complete and correct on the date filed (or were corrected or supplemented by a subsequent submission. </w:t>
      </w:r>
    </w:p>
    <w:p>
      <w:pPr>
        <w:pStyle w:val="TextBody"/>
        <w:bidi w:val="0"/>
        <w:spacing w:before="120" w:after="0"/>
        <w:jc w:val="left"/>
        <w:rPr>
          <w:rFonts w:ascii="Times New Roman" w:hAnsi="Times New Roman"/>
          <w:sz w:val="20"/>
        </w:rPr>
      </w:pPr>
      <w:r>
        <w:rPr>
          <w:rFonts w:ascii="Times New Roman" w:hAnsi="Times New Roman"/>
          <w:sz w:val="20"/>
        </w:rPr>
        <w:t>(tt) The Company is, and at all relevant times has been, in material compliance with applicable data privacy and security laws and regulations (the </w:t>
      </w:r>
      <w:r>
        <w:rPr>
          <w:rFonts w:ascii="Times New Roman" w:hAnsi="Times New Roman"/>
          <w:b/>
          <w:sz w:val="20"/>
        </w:rPr>
        <w:t>Data Protection Laws</w:t>
      </w:r>
      <w:r>
        <w:rPr>
          <w:rFonts w:ascii="Times New Roman" w:hAnsi="Times New Roman"/>
          <w:sz w:val="20"/>
        </w:rPr>
        <w:t>), contractual obligations, or binding industry standards regarding the collection, use, transfer, storage, processing , protection, disposal or disclosure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(defined below), sensitive, confidential, or regulated data (collectively </w:t>
      </w:r>
      <w:r>
        <w:rPr>
          <w:rFonts w:ascii="Times New Roman" w:hAnsi="Times New Roman"/>
          <w:b/>
          <w:sz w:val="20"/>
        </w:rPr>
        <w:t>Sensitive Data</w:t>
      </w:r>
      <w:r>
        <w:rPr>
          <w:rFonts w:ascii="Times New Roman" w:hAnsi="Times New Roman"/>
          <w:sz w:val="20"/>
        </w:rPr>
        <w:t xml:space="preserve">), including, to the extent applicable, the European Union General Data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Regulation (</w:t>
      </w:r>
      <w:r>
        <w:rPr>
          <w:rFonts w:ascii="Times New Roman" w:hAnsi="Times New Roman"/>
          <w:b/>
          <w:sz w:val="20"/>
        </w:rPr>
        <w:t>GDPR</w:t>
      </w:r>
      <w:r>
        <w:rPr>
          <w:rFonts w:ascii="Times New Roman" w:hAnsi="Times New Roman"/>
          <w:sz w:val="20"/>
        </w:rPr>
        <w:t>) (EU 2016/679), HIPAA as amended by the Health Information Technology for Economic and Clinical Health Act (</w:t>
      </w:r>
      <w:r>
        <w:rPr>
          <w:rFonts w:ascii="Times New Roman" w:hAnsi="Times New Roman"/>
          <w:b/>
          <w:sz w:val="20"/>
        </w:rPr>
        <w:t>HITECH</w:t>
      </w:r>
      <w:r>
        <w:rPr>
          <w:rFonts w:ascii="Times New Roman" w:hAnsi="Times New Roman"/>
          <w:sz w:val="20"/>
        </w:rPr>
        <w:t>) and the regulations implemented thereunder, and the California Consumer Privacy Act (</w:t>
      </w:r>
      <w:r>
        <w:rPr>
          <w:rFonts w:ascii="Times New Roman" w:hAnsi="Times New Roman"/>
          <w:b/>
          <w:sz w:val="20"/>
        </w:rPr>
        <w:t>CCPA</w:t>
      </w:r>
      <w:r>
        <w:rPr>
          <w:rFonts w:ascii="Times New Roman" w:hAnsi="Times New Roman"/>
          <w:sz w:val="20"/>
        </w:rPr>
        <w:t>) of 2018 (collectively, the </w:t>
      </w:r>
      <w:r>
        <w:rPr>
          <w:rFonts w:ascii="Times New Roman" w:hAnsi="Times New Roman"/>
          <w:b/>
          <w:sz w:val="20"/>
        </w:rPr>
        <w:t>Privacy and Security Obligations</w:t>
      </w:r>
      <w:r>
        <w:rPr>
          <w:rFonts w:ascii="Times New Roman" w:hAnsi="Times New Roman"/>
          <w:sz w:val="20"/>
        </w:rPr>
        <w:t>). </w:t>
      </w:r>
      <w:r>
        <w:rPr>
          <w:rFonts w:ascii="Times New Roman" w:hAnsi="Times New Roman"/>
          <w:b/>
          <w:sz w:val="20"/>
        </w:rPr>
        <w:t>Personal Data</w:t>
      </w:r>
      <w:r>
        <w:rPr>
          <w:rFonts w:ascii="Times New Roman" w:hAnsi="Times New Roman"/>
          <w:sz w:val="20"/>
        </w:rPr>
        <w:t xml:space="preserve"> has the same meaning as the term personal data, personal information, protected health information, or the equivalent under applicable Data Protection Laws. To ensure compliance with the Privacy and Security Obligations, the Company has in place, complies with, and takes appropriate steps designed to ensure compliance with their policies and procedures relating to data privacy and security and the Processing of Personal Data (the Policies). To the extent required by Data Protection Laws, the Company has contractually required third parties Processing Personal Data on behalf of the Company to comply with applicable Privacy and Security Obligations. The Company has not received written notice of any actual or potential liability under or relating to, or actual or potential violation of, any of the Privacy and Security Obligations, and, is not (i) currently conducting or paying for, in whole or in part, any investigation, remediation, or other corrective action pursuant to any Privacy and Security Obligation; or (ii) a party to any order, decree, or agreement that imposes any obligation or liability under any Privacy and Security Obligation. </w:t>
      </w:r>
    </w:p>
    <w:p>
      <w:pPr>
        <w:pStyle w:val="TextBody"/>
        <w:bidi w:val="0"/>
        <w:spacing w:before="120" w:after="0"/>
        <w:jc w:val="left"/>
        <w:rPr>
          <w:rFonts w:ascii="Times New Roman" w:hAnsi="Times New Roman"/>
          <w:sz w:val="20"/>
        </w:rPr>
      </w:pPr>
      <w:r>
        <w:rPr>
          <w:rFonts w:ascii="Times New Roman" w:hAnsi="Times New Roman"/>
          <w:sz w:val="20"/>
        </w:rPr>
        <w:t>(uu) Except as would not, individually or in the aggregate, reasonably be expected to have a material adverse effect: (i) the Companys information technology assets and equipment, computers, technology systems and other systems, networks, hardware, software, websites, applications, and databases (collectively, </w:t>
      </w:r>
      <w:r>
        <w:rPr>
          <w:rFonts w:ascii="Times New Roman" w:hAnsi="Times New Roman"/>
          <w:b/>
          <w:sz w:val="20"/>
        </w:rPr>
        <w:t>IT Systems</w:t>
      </w:r>
      <w:r>
        <w:rPr>
          <w:rFonts w:ascii="Times New Roman" w:hAnsi="Times New Roman"/>
          <w:sz w:val="20"/>
        </w:rPr>
        <w:t xml:space="preserve">) operate and perform as required in connection with the operation of the business of the Company as currently conducted, and are free and clear of all material bugs, errors, defects, Trojan horses, time bombs, malware and other malicious code, (ii) the Company has implemented and maintained commercially reasonable physical, technical and administrative controls, policies, procedures, and safeguards designed to maintain and protect the integrity, continuous operation, redundancy and security of all IT Systems (including all Sensitive Data) used in connection with the operation of the Company, (iii) the Company has established commercially reasonable disaster recovery and security plans, procedures and facilities for the business, including, without limitation, for the IT Systems and Sensitive Data and (iv) during the past three (3) years, there have been no security breaches, outages or unauthorized uses of or accesses to the Sensitive Data or IT Systems.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Times New Roman" w:hAnsi="Times New Roman"/>
          <w:b/>
          <w:sz w:val="20"/>
        </w:rPr>
        <w:t>Purchase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Shares as soon after the Registration Statement and this Agreement have become effective as in the judgment of the Representatives is advisable. The Company is further advised by the Representatives that the Shares are to be offered to the public initially at $[] a share (the </w:t>
      </w:r>
      <w:r>
        <w:rPr>
          <w:rFonts w:ascii="Times New Roman" w:hAnsi="Times New Roman"/>
          <w:b/>
          <w:sz w:val="20"/>
        </w:rPr>
        <w:t>Public Offering Price</w:t>
      </w:r>
      <w:r>
        <w:rPr>
          <w:rFonts w:ascii="Times New Roman" w:hAnsi="Times New Roman"/>
          <w:sz w:val="20"/>
        </w:rPr>
        <w:t xml:space="preserve">) and to certain dealers selected by the Representatives at a price that represents a concession not in excess of $[] a share under the Public Offering Price, and that any Underwriter may allow, and such dealers may reallow, a concession, not in excess of $[] a share, to any Underwriter or to certain other dealers.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Payment and Delivery. </w:t>
      </w:r>
      <w:r>
        <w:rPr>
          <w:rFonts w:ascii="Times New Roman" w:hAnsi="Times New Roman"/>
          <w:sz w:val="20"/>
        </w:rPr>
        <w:t>Payment for the Firm Shares shall be made to the Company in Federal or other funds immediately available in New York City against delivery of such Firm Shares for the respective accounts of the several Underwriters at 10:00 a.m., New York City time, on [], 2024, or at such other time on the same or such other date, not later than [], 2024,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2024, as shall be designated in writing by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Firm Shares and Additional Shares shall be registered in such names and in such denominations as Morgan Stanley shall request not later than one full business day prior to the Closing Date or the applicable Option Closing Date, as the case may be. The Firm Shares and Additional Shares shall be delivered to Morgan Stanley on the Closing Date or an Option Closing Date, as the case may be, for the respective accounts of the several Underwriters, with any transfer taxes payable in connection with the transfer of the Shares to the Underwriters duly paid, against payment of the 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obligations of the Company to sell the Shares to the Underwriters and the several obligations of the Underwriters to purchase and pay for the Shares on the Closing Date are subject to the condition that the Registration Statement shall have become effective not later than [5:00 p.m.] (New York City time)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several obligations of the Underwriters are subject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Shares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the Closing Date an opinion and negative assurance letter of Latham &amp; Watkins LLP, outside counsel for the Company, dated the Closing Date, in the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and negative assurance letter of Cooley LLP, counsel for the Underwriters, dated the Closing Date, in form and substance reasonably satisfactory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the Closing Date an opinion of Morrison &amp; Foerster LLP, intellectual property counsel for the Company, dated the Closing Date, in form and substance reasonably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Sections 5(c) and (d) above, Latham &amp; Watkins LLP and Cooley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 and negative assurance letter of Latham &amp; Watkins LLP described in Section 5(c) above shall be rendered to the Underwriters at the request of the Company and shall so state therein.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each of the date hereof and the Closing Date, a letter dated the date hereof or the Closing Date, as the case may be, in form and substance satisfactory to the Underwriters, from Ernst &amp; Young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120" w:after="0"/>
        <w:jc w:val="left"/>
        <w:rPr>
          <w:rFonts w:ascii="Times New Roman" w:hAnsi="Times New Roman"/>
          <w:sz w:val="20"/>
        </w:rPr>
      </w:pPr>
      <w:r>
        <w:rPr>
          <w:rFonts w:ascii="Times New Roman" w:hAnsi="Times New Roman"/>
          <w:sz w:val="20"/>
        </w:rPr>
        <w:t>(g) The lock-up agreements, each substantially in the form of Exhibit A hereto, executed by substantially all securityholders, and all officers and directors of the Company relating to restrictions on sales and certain other dispositions of shares of Common Stock or certain other securities, delivered to the Representatives on or before the date hereof (the </w:t>
      </w:r>
      <w:r>
        <w:rPr>
          <w:rFonts w:ascii="Times New Roman" w:hAnsi="Times New Roman"/>
          <w:b/>
          <w:sz w:val="20"/>
        </w:rPr>
        <w:t>Lock-up Agreements</w:t>
      </w:r>
      <w:r>
        <w:rPr>
          <w:rFonts w:ascii="Times New Roman" w:hAnsi="Times New Roman"/>
          <w:sz w:val="20"/>
        </w:rPr>
        <w:t xml:space="preserve">), shall be in full force and effect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chief financial officer of the Company shall have delivered to the Underwriters, on each of the date hereof and on the Closing Date, a certificate in a form reasonably acceptable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 The several obligations of the Underwriters to purchase Additional Shares hereunder are subject to the delivery to the Representatives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 opinion and negative assurance letter of Latham &amp; Watkins LLP, outside counsel for the Company, dated the Option Closing Date, relating to the Additional Shares to be purchased on such Option Closing Date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and negative assurance letter of Cooley LLP, counsel for the Underwriters, dated the Option Closing Date, relating to the Additional Shares to be purchased on such Option Closing Date and otherwise to the same effect as the opinion required by Section 5(d) hereof; </w:t>
      </w:r>
    </w:p>
    <w:p>
      <w:pPr>
        <w:pStyle w:val="TextBody"/>
        <w:bidi w:val="0"/>
        <w:spacing w:before="120" w:after="0"/>
        <w:jc w:val="left"/>
        <w:rPr>
          <w:rFonts w:ascii="Times New Roman" w:hAnsi="Times New Roman"/>
          <w:sz w:val="20"/>
        </w:rPr>
      </w:pPr>
      <w:r>
        <w:rPr>
          <w:rFonts w:ascii="Times New Roman" w:hAnsi="Times New Roman"/>
          <w:sz w:val="20"/>
        </w:rPr>
        <w:t xml:space="preserve">(iv) a letter dated the Option Closing Date, in form and substance satisfactory to the Underwriters, from Ernst &amp; Young LLP, independent registered public accounting firm, substantially in the same form and substance as the letter furnished to the Underwriters pursuant to Section 5(f)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(v) an opinion of Morrison &amp; Foerster LLP, intellectual property counsel for the Company, dated the Option Closing Date, relating to the Additional Shares to be purchased on such Option Closing Date and otherwise to the same effect as the opinion required by Section 5(e) hereof;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dated the Option Closing Date and signed by the chief financial officer of the Company substantially in the same form and substance as the letter furnished to the Underwriters pursuant to Section 5(h) hereof; and </w:t>
      </w:r>
    </w:p>
    <w:p>
      <w:pPr>
        <w:pStyle w:val="TextBody"/>
        <w:bidi w:val="0"/>
        <w:spacing w:before="120" w:after="0"/>
        <w:jc w:val="left"/>
        <w:rPr>
          <w:rFonts w:ascii="Times New Roman" w:hAnsi="Times New Roman"/>
          <w:sz w:val="20"/>
        </w:rPr>
      </w:pPr>
      <w:r>
        <w:rPr>
          <w:rFonts w:ascii="Times New Roman" w:hAnsi="Times New Roman"/>
          <w:sz w:val="20"/>
        </w:rPr>
        <w:t xml:space="preserve">(vii)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upon written request,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Shares for offer and sale under the securities or Blue Sky laws of such jurisdictions as the Representatives shall reasonably request, </w:t>
      </w:r>
      <w:r>
        <w:rPr>
          <w:rFonts w:ascii="Times New Roman" w:hAnsi="Times New Roman"/>
          <w:i/>
          <w:sz w:val="20"/>
        </w:rPr>
        <w:t>provided</w:t>
      </w:r>
      <w:r>
        <w:rPr>
          <w:rFonts w:ascii="Times New Roman" w:hAnsi="Times New Roman"/>
          <w:sz w:val="20"/>
        </w:rPr>
        <w:t xml:space="preserve"> that the Company shall not be required to (i) qualify as a foreign corporation or other entity as a deal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fees and expenses of counsel pursuant to clauses (iii) and (iv) above shall not, in the aggregate, exceed $40,000),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w:t>
      </w:r>
      <w:r>
        <w:rPr>
          <w:rFonts w:ascii="Times New Roman" w:hAnsi="Times New Roman"/>
          <w:i/>
          <w:sz w:val="20"/>
        </w:rPr>
        <w:t>provided</w:t>
      </w:r>
      <w:r>
        <w:rPr>
          <w:rFonts w:ascii="Times New Roman" w:hAnsi="Times New Roman"/>
          <w:sz w:val="20"/>
        </w:rPr>
        <w:t xml:space="preserve"> the last sentence of this Section 6(i) does not include the cost of any chartered aircraft, which shall be paid 50% by the Company as described above in clause (viii).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6). </w:t>
      </w:r>
    </w:p>
    <w:p>
      <w:pPr>
        <w:pStyle w:val="TextBody"/>
        <w:bidi w:val="0"/>
        <w:spacing w:before="12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(l)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Morgan Stanley &amp; Co. LLC and Goldman Sachs &amp; Co. LLC, it will not, and will not publicly disclose an intention to, during the period ending 180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(2) enter into any hedging, swap or other arrangement that transfers to another, in whole or in part, any of the economic consequences of ownership of the shares of Common Stock, whether any such transaction described in clause (1) or (2) above is to be settled by delivery of shares of Common Stock or such other securities, in cash or otherwise, or (3) confidentially submit any draft registration statement or file any registration statement with the Commission relating to the offering of any shares of Common Stock or any securities convertible into or exercisable or exchangeable for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grants of compensatory equity-based awards, and/or the issuance of shares of Common Stock or securities with respect thereto, made pursuant to compensatory equity-based plans as described in the Time of Sale Prospectus, provided that the Company shall cause each recipient of such grant to execute and deliver to the Representatives an agreement substantially in the form of Exhibit A hereto if such recipient has not already delivered one, (d)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(e) the filing of a registration of Form S-8 to register shares of Common Stock issuable pursuant to any employee benefit plans, qualified stock option plans or other employee compensation plans, described in the Time of Sale Prospectus, (f) any shares of Common Stock issuable pursuant to any non-employee director stock compensation plan or program described in the Time of Sale Prospectus, (g) 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w:t>
      </w:r>
      <w:r>
        <w:rPr>
          <w:rFonts w:ascii="Times New Roman" w:hAnsi="Times New Roman"/>
          <w:i/>
          <w:sz w:val="20"/>
        </w:rPr>
        <w:t>provided</w:t>
      </w:r>
      <w:r>
        <w:rPr>
          <w:rFonts w:ascii="Times New Roman" w:hAnsi="Times New Roman"/>
          <w:sz w:val="20"/>
        </w:rPr>
        <w:t xml:space="preserve"> that the aggregate number of shares of Common Stock or any other securities convertible into, or exercisable or exchangeable for, shares of Common Stock that the Company may issue or agree to issue pursuant to this clause (g) shall not exceed 10% of the total outstanding share capital of the Company immediately following the issuance of the Shares; and provided further, that the recipients of any such shares of Common Stock and securities issued pursuant to this clause (g) during the 180-day restricted period described above shall enter into an agreement substantially in the form of Exhibit A hereto on or prior to such issuance or (h) facilitating the establishment of a trading plan on behalf of a shareholder,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If Morgan Stanley &amp; Co. LLC and Goldman Sachs &amp; Co. LLC, in their sole discretion,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 </w:t>
      </w:r>
    </w:p>
    <w:p>
      <w:pPr>
        <w:pStyle w:val="TextBody"/>
        <w:bidi w:val="0"/>
        <w:spacing w:before="240" w:after="0"/>
        <w:jc w:val="left"/>
        <w:rPr>
          <w:rFonts w:ascii="Times New Roman" w:hAnsi="Times New Roman"/>
          <w:sz w:val="20"/>
        </w:rPr>
      </w:pPr>
      <w:r>
        <w:rPr>
          <w:rFonts w:ascii="Times New Roman" w:hAnsi="Times New Roman"/>
          <w:sz w:val="20"/>
        </w:rPr>
        <w:t xml:space="preserve">During the Restricted Period, the Company will enforce all agreements between the Company and any of its securityholders that restrict or prohibit, expressly or in operation, the offer, sale or transfer of any shares of Common Stock or any securities convertible into or exercisable or exchangeable for Common Stock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5(g)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hAnsi="Times New Roman"/>
          <w:b/>
          <w:sz w:val="20"/>
        </w:rPr>
        <w:t>road show</w:t>
      </w:r>
      <w:r>
        <w:rPr>
          <w:rFonts w:ascii="Times New Roman" w:hAnsi="Times New Roman"/>
          <w:sz w:val="20"/>
        </w:rPr>
        <w:t xml:space="preserve">),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The Company agrees and confirms that references to affiliates of Morgan Stanley that appear in this Agreement shall be understood to include Mitsubishi UFJ Morgan Stanley Securities Co., Ltd. </w:t>
      </w:r>
    </w:p>
    <w:p>
      <w:pPr>
        <w:pStyle w:val="TextBody"/>
        <w:bidi w:val="0"/>
        <w:spacing w:before="120" w:after="0"/>
        <w:jc w:val="left"/>
        <w:rPr>
          <w:rFonts w:ascii="Times New Roman" w:hAnsi="Times New Roman"/>
          <w:sz w:val="20"/>
        </w:rPr>
      </w:pPr>
      <w:r>
        <w:rPr>
          <w:rFonts w:ascii="Times New Roman" w:hAnsi="Times New Roman"/>
          <w:sz w:val="20"/>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through the Representatives consists of the following information in the Prospectus: the concession figure in the [] paragraph and the information set forth in the [] and [] paragraphs, in each case under the caption Underwriting (the </w:t>
      </w:r>
      <w:r>
        <w:rPr>
          <w:rFonts w:ascii="Times New Roman" w:hAnsi="Times New Roman"/>
          <w:b/>
          <w:sz w:val="20"/>
        </w:rPr>
        <w:t>Underwriting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MKT, the Nasdaq Global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or other relevant jurisdiction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and (iii)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 and Electronic Signatures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any claim, controversy or disputes arising under or related to this Agreement and any transaction contemplated by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if to the Underwriters shall be delivered, mailed or sent to the Representatives in care of Morgan Stanley &amp; Co. LLC, 1585 Broadway, New York, New York 10036, Attention: Equity Syndicate Desk, with a copy to the Legal Department; Goldman Sachs &amp; Co. LLC, 200 West Street, New York, New York 10282, Attention: Registration Department; or Cantor Fitzgerald &amp; Co., 110 East 59th Street, New York, New York, 10022, Attention: General Counsel; and if to the Company shall be delivered, mailed or sent to CG Oncology, Inc., 400 Spectrum Center Drive, Suite 2040, Irvine, California 92618, Attention: Chief Executive Officer.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8"/>
        <w:gridCol w:w="91"/>
        <w:gridCol w:w="3403"/>
      </w:tblGrid>
      <w:tr>
        <w:trPr/>
        <w:tc>
          <w:tcPr>
            <w:tcW w:w="58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CG ONCOLOGY, INC.</w:t>
            </w:r>
          </w:p>
        </w:tc>
      </w:tr>
      <w:tr>
        <w:trPr>
          <w:trHeight w:val="240" w:hRule="atLeast"/>
        </w:trPr>
        <w:tc>
          <w:tcPr>
            <w:tcW w:w="588" w:type="dxa"/>
            <w:tcBorders/>
            <w:vAlign w:val="center"/>
          </w:tcPr>
          <w:p>
            <w:pPr>
              <w:pStyle w:val="TableContents"/>
              <w:bidi w:val="0"/>
              <w:spacing w:before="0" w:after="283"/>
              <w:jc w:val="left"/>
              <w:rPr>
                <w:sz w:val="4"/>
                <w:szCs w:val="4"/>
              </w:rPr>
            </w:pPr>
            <w:r>
              <w:rPr>
                <w:sz w:val="4"/>
                <w:szCs w:val="4"/>
              </w:rPr>
            </w:r>
          </w:p>
        </w:tc>
        <w:tc>
          <w:tcPr>
            <w:tcW w:w="3494" w:type="dxa"/>
            <w:gridSpan w:val="2"/>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By:</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 </w:t>
            </w:r>
          </w:p>
        </w:tc>
      </w:tr>
      <w:tr>
        <w:trPr/>
        <w:tc>
          <w:tcPr>
            <w:tcW w:w="588"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c>
          <w:tcPr>
            <w:tcW w:w="588"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w:t>
      </w:r>
    </w:p>
    <w:p>
      <w:pPr>
        <w:pStyle w:val="TextBody"/>
        <w:bidi w:val="0"/>
        <w:spacing w:before="0" w:after="0"/>
        <w:jc w:val="left"/>
        <w:rPr>
          <w:rFonts w:ascii="Times New Roman" w:hAnsi="Times New Roman"/>
          <w:sz w:val="20"/>
        </w:rPr>
      </w:pPr>
      <w:r>
        <w:rPr>
          <w:rFonts w:ascii="Times New Roman" w:hAnsi="Times New Roman"/>
          <w:sz w:val="20"/>
        </w:rPr>
        <w:t xml:space="preserve">the several Underwriters named in </w:t>
      </w:r>
    </w:p>
    <w:p>
      <w:pPr>
        <w:pStyle w:val="TextBody"/>
        <w:bidi w:val="0"/>
        <w:spacing w:before="0" w:after="0"/>
        <w:jc w:val="left"/>
        <w:rPr>
          <w:rFonts w:ascii="Times New Roman" w:hAnsi="Times New Roman"/>
          <w:sz w:val="20"/>
        </w:rPr>
      </w:pPr>
      <w:r>
        <w:rPr>
          <w:rFonts w:ascii="Times New Roman" w:hAnsi="Times New Roman"/>
          <w:sz w:val="20"/>
        </w:rPr>
        <w:t xml:space="preserve">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3"/>
        <w:gridCol w:w="90"/>
        <w:gridCol w:w="3309"/>
      </w:tblGrid>
      <w:tr>
        <w:trPr/>
        <w:tc>
          <w:tcPr>
            <w:tcW w:w="68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9"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9"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Cantor Fitzgerald &amp; Co.</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9"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15"/>
        <w:gridCol w:w="1091"/>
        <w:gridCol w:w="2799"/>
      </w:tblGrid>
      <w:tr>
        <w:trPr/>
        <w:tc>
          <w:tcPr>
            <w:tcW w:w="6315" w:type="dxa"/>
            <w:tcBorders/>
            <w:vAlign w:val="center"/>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63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091" w:type="dxa"/>
            <w:tcBorders/>
            <w:vAlign w:val="bottom"/>
          </w:tcPr>
          <w:p>
            <w:pPr>
              <w:pStyle w:val="TableContents"/>
              <w:bidi w:val="0"/>
              <w:spacing w:before="0" w:after="283"/>
              <w:jc w:val="left"/>
              <w:rPr/>
            </w:pPr>
            <w:r>
              <w:rPr/>
              <w:t>  </w:t>
            </w:r>
          </w:p>
        </w:tc>
        <w:tc>
          <w:tcPr>
            <w:tcW w:w="2799" w:type="dxa"/>
            <w:tcBorders>
              <w:bottom w:val="single" w:sz="8" w:space="0" w:color="000000"/>
            </w:tcBorders>
            <w:tcMar>
              <w:bottom w:w="28" w:type="dxa"/>
            </w:tcMar>
            <w:vAlign w:val="bottom"/>
          </w:tcPr>
          <w:p>
            <w:pPr>
              <w:pStyle w:val="TableContents"/>
              <w:bidi w:val="0"/>
              <w:spacing w:before="0" w:after="283"/>
              <w:jc w:val="center"/>
              <w:rPr>
                <w:b/>
              </w:rPr>
            </w:pPr>
            <w:r>
              <w:rPr>
                <w:b/>
              </w:rPr>
              <w:t>Number of Firm Shares To</w:t>
              <w:br/>
              <w:t>Be Purchased</w:t>
            </w:r>
          </w:p>
        </w:tc>
      </w:tr>
      <w:tr>
        <w:trPr/>
        <w:tc>
          <w:tcPr>
            <w:tcW w:w="63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091"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w:t>
            </w:r>
          </w:p>
        </w:tc>
      </w:tr>
      <w:tr>
        <w:trPr/>
        <w:tc>
          <w:tcPr>
            <w:tcW w:w="63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091"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w:t>
            </w:r>
          </w:p>
        </w:tc>
      </w:tr>
      <w:tr>
        <w:trPr/>
        <w:tc>
          <w:tcPr>
            <w:tcW w:w="63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091"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w:t>
            </w:r>
          </w:p>
        </w:tc>
      </w:tr>
      <w:tr>
        <w:trPr/>
        <w:tc>
          <w:tcPr>
            <w:tcW w:w="63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091"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w:t>
            </w:r>
          </w:p>
        </w:tc>
      </w:tr>
      <w:tr>
        <w:trPr/>
        <w:tc>
          <w:tcPr>
            <w:tcW w:w="63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w:t>
            </w:r>
          </w:p>
        </w:tc>
      </w:tr>
      <w:tr>
        <w:trPr/>
        <w:tc>
          <w:tcPr>
            <w:tcW w:w="6315"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pPr>
            <w:r>
              <w:rPr/>
              <w:t>  </w:t>
            </w:r>
          </w:p>
        </w:tc>
        <w:tc>
          <w:tcPr>
            <w:tcW w:w="2799" w:type="dxa"/>
            <w:tcBorders/>
            <w:vAlign w:val="bottom"/>
          </w:tcPr>
          <w:p>
            <w:pPr>
              <w:pStyle w:val="TableContents"/>
              <w:pBdr>
                <w:top w:val="single" w:sz="2" w:space="1" w:color="000000"/>
              </w:pBdr>
              <w:bidi w:val="0"/>
              <w:spacing w:before="0" w:after="0"/>
              <w:jc w:val="left"/>
              <w:rPr/>
            </w:pPr>
            <w:r>
              <w:rPr/>
              <w:t> </w:t>
            </w:r>
          </w:p>
        </w:tc>
      </w:tr>
      <w:tr>
        <w:trPr/>
        <w:tc>
          <w:tcPr>
            <w:tcW w:w="631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091"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w:t>
            </w:r>
          </w:p>
        </w:tc>
      </w:tr>
      <w:tr>
        <w:trPr/>
        <w:tc>
          <w:tcPr>
            <w:tcW w:w="6315"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pPr>
            <w:r>
              <w:rPr/>
              <w:t>  </w:t>
            </w:r>
          </w:p>
        </w:tc>
        <w:tc>
          <w:tcPr>
            <w:tcW w:w="2799"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1. Preliminary Prospectus issued [], 2024 </w:t>
      </w:r>
    </w:p>
    <w:p>
      <w:pPr>
        <w:pStyle w:val="TextBody"/>
        <w:bidi w:val="0"/>
        <w:spacing w:before="120" w:after="0"/>
        <w:jc w:val="left"/>
        <w:rPr>
          <w:rFonts w:ascii="Times New Roman" w:hAnsi="Times New Roman"/>
          <w:sz w:val="20"/>
        </w:rPr>
      </w:pPr>
      <w:r>
        <w:rPr>
          <w:rFonts w:ascii="Times New Roman" w:hAnsi="Times New Roman"/>
          <w:sz w:val="20"/>
        </w:rPr>
        <w:t xml:space="preserve">2. Pricing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Firm Shares: [] </w:t>
      </w:r>
    </w:p>
    <w:p>
      <w:pPr>
        <w:pStyle w:val="TextBody"/>
        <w:bidi w:val="0"/>
        <w:spacing w:before="120" w:after="0"/>
        <w:jc w:val="left"/>
        <w:rPr>
          <w:rFonts w:ascii="Times New Roman" w:hAnsi="Times New Roman"/>
          <w:sz w:val="20"/>
        </w:rPr>
      </w:pPr>
      <w:r>
        <w:rPr>
          <w:rFonts w:ascii="Times New Roman" w:hAnsi="Times New Roman"/>
          <w:sz w:val="20"/>
        </w:rPr>
        <w:t xml:space="preserve">Additional Shares: [] </w:t>
      </w:r>
    </w:p>
    <w:p>
      <w:pPr>
        <w:pStyle w:val="TextBody"/>
        <w:bidi w:val="0"/>
        <w:spacing w:before="120" w:after="0"/>
        <w:jc w:val="left"/>
        <w:rPr>
          <w:rFonts w:ascii="Times New Roman" w:hAnsi="Times New Roman"/>
          <w:sz w:val="20"/>
        </w:rPr>
      </w:pPr>
      <w:r>
        <w:rPr>
          <w:rFonts w:ascii="Times New Roman" w:hAnsi="Times New Roman"/>
          <w:sz w:val="20"/>
        </w:rPr>
        <w:t xml:space="preserve">Public Offering Price: $[] per share </w:t>
      </w:r>
    </w:p>
    <w:p>
      <w:pPr>
        <w:pStyle w:val="TextBody"/>
        <w:bidi w:val="0"/>
        <w:spacing w:before="120" w:after="0"/>
        <w:jc w:val="left"/>
        <w:rPr>
          <w:rFonts w:ascii="Times New Roman" w:hAnsi="Times New Roman"/>
          <w:sz w:val="20"/>
        </w:rPr>
      </w:pPr>
      <w:r>
        <w:rPr>
          <w:rFonts w:ascii="Times New Roman" w:hAnsi="Times New Roman"/>
          <w:sz w:val="20"/>
        </w:rPr>
        <w:t xml:space="preserve">Issuer Directed Allocation: The underwriters intend to make issuer directed allocations in the aggregate of [] shares to certain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Testing-the-Waters Presentation dated November 10, 2023. </w:t>
      </w:r>
    </w:p>
    <w:p>
      <w:pPr>
        <w:pStyle w:val="TextBody"/>
        <w:bidi w:val="0"/>
        <w:spacing w:before="240" w:after="0"/>
        <w:jc w:val="left"/>
        <w:rPr>
          <w:rFonts w:ascii="Times New Roman" w:hAnsi="Times New Roman"/>
          <w:sz w:val="20"/>
        </w:rPr>
      </w:pPr>
      <w:r>
        <w:rPr>
          <w:rFonts w:ascii="Times New Roman" w:hAnsi="Times New Roman"/>
          <w:sz w:val="20"/>
        </w:rPr>
        <w:t xml:space="preserve">Testing-the-Waters Presentation dated December 4,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_____________, 2024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Cantor Fitzgerald &amp; Co. </w:t>
            </w:r>
          </w:p>
        </w:tc>
      </w:tr>
    </w:tbl>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w:t>
      </w:r>
      <w:r>
        <w:rPr>
          <w:rFonts w:ascii="Times New Roman" w:hAnsi="Times New Roman"/>
          <w:b/>
          <w:sz w:val="20"/>
        </w:rPr>
        <w:t>Morgan Stanley</w:t>
      </w:r>
      <w:r>
        <w:rPr>
          <w:rFonts w:ascii="Times New Roman" w:hAnsi="Times New Roman"/>
          <w:sz w:val="20"/>
        </w:rPr>
        <w:t>), Goldman Sachs &amp; Co. LLC (</w:t>
      </w:r>
      <w:r>
        <w:rPr>
          <w:rFonts w:ascii="Times New Roman" w:hAnsi="Times New Roman"/>
          <w:b/>
          <w:sz w:val="20"/>
        </w:rPr>
        <w:t>Goldman Sachs</w:t>
      </w:r>
      <w:r>
        <w:rPr>
          <w:rFonts w:ascii="Times New Roman" w:hAnsi="Times New Roman"/>
          <w:sz w:val="20"/>
        </w:rPr>
        <w:t>) and Cantor Fitzgerald &amp; Co. LLC (</w:t>
      </w:r>
      <w:r>
        <w:rPr>
          <w:rFonts w:ascii="Times New Roman" w:hAnsi="Times New Roman"/>
          <w:b/>
          <w:sz w:val="20"/>
        </w:rPr>
        <w:t>Cantor</w:t>
      </w:r>
      <w:r>
        <w:rPr>
          <w:rFonts w:ascii="Times New Roman" w:hAnsi="Times New Roman"/>
          <w:sz w:val="20"/>
        </w:rPr>
        <w:t> and together with Morgan Stanley and Goldman Sachs, the </w:t>
      </w:r>
      <w:r>
        <w:rPr>
          <w:rFonts w:ascii="Times New Roman" w:hAnsi="Times New Roman"/>
          <w:b/>
          <w:sz w:val="20"/>
        </w:rPr>
        <w:t>Representatives</w:t>
      </w:r>
      <w:r>
        <w:rPr>
          <w:rFonts w:ascii="Times New Roman" w:hAnsi="Times New Roman"/>
          <w:sz w:val="20"/>
        </w:rPr>
        <w:t>), as representatives of the several Underwriters, propose to enter into an Underwriting Agreement (the </w:t>
      </w:r>
      <w:r>
        <w:rPr>
          <w:rFonts w:ascii="Times New Roman" w:hAnsi="Times New Roman"/>
          <w:b/>
          <w:sz w:val="20"/>
        </w:rPr>
        <w:t>Underwriting Agreement</w:t>
      </w:r>
      <w:r>
        <w:rPr>
          <w:rFonts w:ascii="Times New Roman" w:hAnsi="Times New Roman"/>
          <w:sz w:val="20"/>
        </w:rPr>
        <w:t>) with CG Oncology,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including the Representatives (the </w:t>
      </w:r>
      <w:r>
        <w:rPr>
          <w:rFonts w:ascii="Times New Roman" w:hAnsi="Times New Roman"/>
          <w:b/>
          <w:sz w:val="20"/>
        </w:rPr>
        <w:t>Underwriters</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common stock, par value $0.0001 per share, of the Company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Morgan Stanley and Goldman Sachs on behalf of the Underwriters, it will not, and will not publicly disclose an intention to, during the period commencing on the date hereof and ending 180 days after the date of the final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paragraph shall not apply to: </w:t>
      </w:r>
    </w:p>
    <w:p>
      <w:pPr>
        <w:pStyle w:val="TextBody"/>
        <w:bidi w:val="0"/>
        <w:spacing w:before="240" w:after="0"/>
        <w:jc w:val="left"/>
        <w:rPr>
          <w:rFonts w:ascii="Times New Roman" w:hAnsi="Times New Roman"/>
          <w:sz w:val="20"/>
        </w:rPr>
      </w:pPr>
      <w:r>
        <w:rPr>
          <w:rFonts w:ascii="Times New Roman" w:hAnsi="Times New Roman"/>
          <w:sz w:val="20"/>
        </w:rPr>
        <w:t xml:space="preserve">(a) transactions relating to shares of Common Stock or other securities acquired in the Public Offering or in open market transactions after the completion of the Public Offering, </w:t>
      </w:r>
      <w:r>
        <w:rPr>
          <w:rFonts w:ascii="Times New Roman" w:hAnsi="Times New Roman"/>
          <w:i/>
          <w:sz w:val="20"/>
        </w:rPr>
        <w:t>provided</w:t>
      </w:r>
      <w:r>
        <w:rPr>
          <w:rFonts w:ascii="Times New Roman" w:hAnsi="Times New Roman"/>
          <w:sz w:val="20"/>
        </w:rPr>
        <w:t xml:space="preserve"> that no filing under Section 16(a) of the Exchange Act or other public announcement shall be required or shall be voluntarily made during the Restricted Period in connection with subsequent sales of Common Stock or other securities acquired in the Public Offering or in such open 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shares of Common Stock or any security convertible into Common Stock (i) as a bona fide gift, (ii) to an immediate family member (as defined below) or to any trust for the direct or indirect benefit of the undersigned or an immediate family member of the undersigned, (iii) to any corporation, partnership, limited liability company, investment fund, trust or other entity of which the undersigned and the immediate family of the undersigned are the legal and beneficial owner of all of the outstanding equity securities or similar interests, or (iv) by will, other testamentary document or intestate succession to the legal representative, heir, beneficiary or an immediate family member of the undersigned; </w:t>
      </w:r>
      <w:r>
        <w:rPr>
          <w:rFonts w:ascii="Times New Roman" w:hAnsi="Times New Roman"/>
          <w:i/>
          <w:sz w:val="20"/>
        </w:rPr>
        <w:t>provided</w:t>
      </w:r>
      <w:r>
        <w:rPr>
          <w:rFonts w:ascii="Times New Roman" w:hAnsi="Times New Roman"/>
          <w:sz w:val="20"/>
        </w:rPr>
        <w:t xml:space="preserve"> that in the case of any transfer or distribution pursuant to this clause (b), (A) such transfer shall not involve a disposition for value, (B) each donee, distributee or transferee shall sign and deliver a lock-up agreement substantially in the form of this agreement and (C) no public disclosure or filing shall be made voluntarily during the Restricted Period, and to the extent a filing under Section 16(a) of the Exchange Act is required during the Restricted Period as a result of transfers made pursuant to this clause (b), it shall clearly indicate that the filing relates to the circumstances described in this clause (b), including that the securities remain subject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the undersigned is a corporation, partnership, limited liability company, trust or other business entity, (i) transfers or distributions of shares of Common Stock or any security convertible into shares of Common Stock to current or former general or limited partners, managers or members, stockholders, other equityholders or direct or indirect affiliates (within the meaning of Rule 405 under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undersigned, or to the estates of any of the foregoing or (ii) transfers or distributions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w:t>
      </w:r>
      <w:r>
        <w:rPr>
          <w:rFonts w:ascii="Times New Roman" w:hAnsi="Times New Roman"/>
          <w:i/>
          <w:sz w:val="20"/>
        </w:rPr>
        <w:t>provided</w:t>
      </w:r>
      <w:r>
        <w:rPr>
          <w:rFonts w:ascii="Times New Roman" w:hAnsi="Times New Roman"/>
          <w:sz w:val="20"/>
        </w:rPr>
        <w:t xml:space="preserve"> that, in the case of any transfer or distribution pursuant to this clause (c), (A) each transferee, donee or distributee shall sign and deliver a lock-up agreement substantially in the form of this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(d) facilitating the establishment or amendment of a trading plan on behalf of a stockholder,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or amendment of such plan during the Restricted Period, such announcement or filing shall include a statement to the effect that no transfer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(e) the transfer of shares of Common Stock or any other securities to the Company to satisfy any tax, including estimated tax, remittance, or other payment obligations of the undersigned arising in connection with a vesting event of the Companys securities, upon the settlement of restricted stock units or the payment due for the exercise of options (including a transfer to the Company for the net or cashless exercise of options) or other rights to purchase securities of the Company, in all such cases pursuant to equity awards granted under a stock incentive plan or other equity award plan of the Company described in the Prospectus; </w:t>
      </w:r>
      <w:r>
        <w:rPr>
          <w:rFonts w:ascii="Times New Roman" w:hAnsi="Times New Roman"/>
          <w:i/>
          <w:sz w:val="20"/>
        </w:rPr>
        <w:t>provided</w:t>
      </w:r>
      <w:r>
        <w:rPr>
          <w:rFonts w:ascii="Times New Roman" w:hAnsi="Times New Roman"/>
          <w:sz w:val="20"/>
        </w:rPr>
        <w:t xml:space="preserve">, that any remaining shares of Common Stock or other securities received upon such vesting, settlement or exercise shall be subject to the terms of this agreement; and </w:t>
      </w:r>
      <w:r>
        <w:rPr>
          <w:rFonts w:ascii="Times New Roman" w:hAnsi="Times New Roman"/>
          <w:i/>
          <w:sz w:val="20"/>
        </w:rPr>
        <w:t xml:space="preserve">provided </w:t>
      </w:r>
      <w:r>
        <w:rPr>
          <w:rFonts w:ascii="Times New Roman" w:hAnsi="Times New Roman"/>
          <w:sz w:val="20"/>
        </w:rPr>
        <w:t xml:space="preserve">further, that no public disclosure or filing shall be made voluntarily during the Restricted Period and, to the extent a filing under Section 16(a) of the Exchange Act is required during the Restricted Period as a result of transfers made pursuant to this clause (e), it shall clearly indicate that the filing relates to the circumstances described in this clause (e), including that the securities remain subject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transfer of shares of Common Stock or any other securities that occurs by operation of law pursuant to a qualified domestic order or other court order in connection with a divorce settlement, </w:t>
      </w:r>
      <w:r>
        <w:rPr>
          <w:rFonts w:ascii="Times New Roman" w:hAnsi="Times New Roman"/>
          <w:i/>
          <w:sz w:val="20"/>
        </w:rPr>
        <w:t>provided</w:t>
      </w:r>
      <w:r>
        <w:rPr>
          <w:rFonts w:ascii="Times New Roman" w:hAnsi="Times New Roman"/>
          <w:sz w:val="20"/>
        </w:rPr>
        <w:t xml:space="preserve"> that (i) the transferee shall sign and deliver a lock- up agreement substantially in the form of this agreement, (ii) no public disclosure or filing shall be voluntarily made during the Restricted Period and (iii) any filing required under Section 16(a) of the Exchange Act during the Restricted Period shall clearly indicate in the footnotes thereto that the filing relates to the circumstances described in this clause (f);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transfers to the Company (A) from an employee of the Company upon death, disability or termination of employment, in each case, of such employee or (B) pursuant to any contractual arrangement described in the Prospectus or in an exhibit filed with the registration statement related to the Public Offering and disclosed to the Representatives that provides for the repurchase of shares of Common Stock in connection with the termination of the undersigneds employment with or service to the Company; </w:t>
      </w:r>
      <w:r>
        <w:rPr>
          <w:rFonts w:ascii="Times New Roman" w:hAnsi="Times New Roman"/>
          <w:i/>
          <w:sz w:val="20"/>
        </w:rPr>
        <w:t>provided</w:t>
      </w:r>
      <w:r>
        <w:rPr>
          <w:rFonts w:ascii="Times New Roman" w:hAnsi="Times New Roman"/>
          <w:sz w:val="20"/>
        </w:rPr>
        <w:t xml:space="preserve"> that in the case of clause (B), no public disclosure or filing under Section 16(a) of the Exchange Act shall be required or shall be voluntarily made during the Restricted Period within the first 75 days after the date of the Prospectus, and after such 75th day, to the extent a filing under Section 16(a) of the Exchange Act is required during the Restricted Period as a result of transfers made pursuant to this clause (g), it shall clearly indicate that the filing relates to the circumstances described in this clause (g) and no public disclosure or filing shall be voluntarily made; </w:t>
      </w:r>
    </w:p>
    <w:p>
      <w:pPr>
        <w:pStyle w:val="TextBody"/>
        <w:bidi w:val="0"/>
        <w:spacing w:before="240" w:after="0"/>
        <w:jc w:val="left"/>
        <w:rPr>
          <w:rFonts w:ascii="Times New Roman" w:hAnsi="Times New Roman"/>
          <w:sz w:val="20"/>
        </w:rPr>
      </w:pPr>
      <w:r>
        <w:rPr>
          <w:rFonts w:ascii="Times New Roman" w:hAnsi="Times New Roman"/>
          <w:sz w:val="20"/>
        </w:rPr>
        <w:t xml:space="preserve">(h) the conversion of shares of the Companys convertible preferred stock into shares of Common Stock as described in the Prospectus, </w:t>
      </w:r>
      <w:r>
        <w:rPr>
          <w:rFonts w:ascii="Times New Roman" w:hAnsi="Times New Roman"/>
          <w:i/>
          <w:sz w:val="20"/>
        </w:rPr>
        <w:t>provided</w:t>
      </w:r>
      <w:r>
        <w:rPr>
          <w:rFonts w:ascii="Times New Roman" w:hAnsi="Times New Roman"/>
          <w:sz w:val="20"/>
        </w:rPr>
        <w:t xml:space="preserve"> that, in each case such shares shall continue to be subject to the restrictions on transfer set forth in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(i) the transfer of shares of Common Stock or any other securities pursuant to a bona fide third- party tender offer, merger, consolidation or other similar transaction that is approved by the Board of Directors of the Company, made to all holders of Common Stock involving a change of control (as defined below), </w:t>
      </w:r>
      <w:r>
        <w:rPr>
          <w:rFonts w:ascii="Times New Roman" w:hAnsi="Times New Roman"/>
          <w:i/>
          <w:sz w:val="20"/>
        </w:rPr>
        <w:t>provided</w:t>
      </w:r>
      <w:r>
        <w:rPr>
          <w:rFonts w:ascii="Times New Roman" w:hAnsi="Times New Roman"/>
          <w:sz w:val="20"/>
        </w:rPr>
        <w:t xml:space="preserve"> that, in the event that the tender offer, merger, consolidation or other such transaction is not completed, the Common Stock owned by the undersigned shall remain subject to the restrictions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number of outstanding voting securities of the Company (or the surviving entity) and 50% of the voting control of the outstanding voting securities of the Company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Morgan Stanley and Goldman Sachs on behalf of the Underwriters, it will not, and will not publicly disclose an intention to,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restrictions shall be equally applicable to any issuer-directed Shares the undersigned may purchase in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(i) Morgan Stanley and Goldman Sachs agree that, at least three business days before the effective date of any release or waiver of the foregoing restrictions in connection with a transfer of shares of Common Stock, Morgan Stanley and Goldman Sachs will notify the Company of the impending release or waiver, and (ii) the Company will agree or has agreed in the Underwriting Agreement to announce the impending release or waiver by press release through a major news service at least two business days before the effective date of the release or waiver. Any release or waiver granted by Morgan Stanley and Goldman Sachs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automatically terminate and the undersigned will be released from all obligations hereunder upon the earliest to occur, if any, of (a) the Company, on the one hand, or the Representatives, on the other hand, advising the other in writing that it has determined not to proceed with the Public Offering prior to the execution of the Underwriting Agreement, (b) the date the registration statement on Form S-1 is withdrawn prior to the execution of the Underwriting Agreement, (c) the date the Underwriting Agreement is terminated (other than the provisions thereof that survive termination), if prior to the closing of the Public Offering, and (d) March 31, 2024, if the Underwriting Agreement has not been executed by such date, </w:t>
      </w:r>
      <w:r>
        <w:rPr>
          <w:rFonts w:ascii="Times New Roman" w:hAnsi="Times New Roman"/>
          <w:i/>
          <w:sz w:val="20"/>
        </w:rPr>
        <w:t>provided</w:t>
      </w:r>
      <w:r>
        <w:rPr>
          <w:rFonts w:ascii="Times New Roman" w:hAnsi="Times New Roman"/>
          <w:sz w:val="20"/>
        </w:rPr>
        <w:t xml:space="preserve"> that the term of this agreement may be extended 90 calendar days at the Companys sole discretion.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4760" w:type="dxa"/>
        <w:jc w:val="righ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Name of Securityholder </w:t>
            </w:r>
            <w:r>
              <w:rPr>
                <w:rFonts w:ascii="Times New Roman" w:hAnsi="Times New Roman"/>
                <w:i/>
                <w:sz w:val="20"/>
              </w:rPr>
              <w:t>(Print exact name</w:t>
            </w:r>
            <w:r>
              <w:rPr>
                <w:rFonts w:ascii="Times New Roman" w:hAnsi="Times New Roman"/>
                <w:sz w:val="20"/>
              </w:rPr>
              <w:t>)</w:t>
            </w:r>
          </w:p>
        </w:tc>
      </w:tr>
      <w:tr>
        <w:trPr>
          <w:trHeight w:val="240" w:hRule="atLeast"/>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bidi w:val="0"/>
              <w:spacing w:before="0" w:after="283"/>
              <w:jc w:val="left"/>
              <w:rPr/>
            </w:pPr>
            <w:r>
              <w:rPr/>
              <w:t>By:_______________________________________</w:t>
            </w:r>
          </w:p>
        </w:tc>
      </w:tr>
      <w:tr>
        <w:trPr/>
        <w:tc>
          <w:tcPr>
            <w:tcW w:w="4760"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rHeight w:val="240" w:hRule="atLeast"/>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bidi w:val="0"/>
              <w:spacing w:before="0" w:after="283"/>
              <w:jc w:val="left"/>
              <w:rPr/>
            </w:pPr>
            <w:r>
              <w:rPr/>
              <w:t>If not signing in an individual capacity:</w:t>
            </w:r>
          </w:p>
        </w:tc>
      </w:tr>
      <w:tr>
        <w:trPr>
          <w:trHeight w:val="240" w:hRule="atLeast"/>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pBdr>
                <w:bottom w:val="single" w:sz="2" w:space="1" w:color="000000"/>
              </w:pBdr>
              <w:bidi w:val="0"/>
              <w:spacing w:before="0" w:after="20"/>
              <w:jc w:val="left"/>
              <w:rPr/>
            </w:pPr>
            <w:r>
              <w:rPr/>
              <w:t> </w:t>
            </w:r>
          </w:p>
        </w:tc>
      </w:tr>
      <w:tr>
        <w:trPr/>
        <w:tc>
          <w:tcPr>
            <w:tcW w:w="4760" w:type="dxa"/>
            <w:tcBorders/>
          </w:tcPr>
          <w:p>
            <w:pPr>
              <w:pStyle w:val="TableContents"/>
              <w:bidi w:val="0"/>
              <w:spacing w:before="0" w:after="283"/>
              <w:jc w:val="left"/>
              <w:rPr/>
            </w:pPr>
            <w:r>
              <w:rPr/>
              <w:t xml:space="preserve">Name of Authorized Signatory </w:t>
            </w:r>
            <w:r>
              <w:rPr>
                <w:i/>
              </w:rPr>
              <w:t>(Print</w:t>
            </w:r>
            <w:r>
              <w:rPr/>
              <w:t>)</w:t>
            </w:r>
          </w:p>
        </w:tc>
      </w:tr>
      <w:tr>
        <w:trPr>
          <w:trHeight w:val="240" w:hRule="atLeast"/>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pBdr>
                <w:bottom w:val="single" w:sz="2" w:space="1" w:color="000000"/>
              </w:pBdr>
              <w:bidi w:val="0"/>
              <w:spacing w:before="0" w:after="20"/>
              <w:jc w:val="left"/>
              <w:rPr/>
            </w:pPr>
            <w:r>
              <w:rPr/>
              <w:t> </w:t>
            </w:r>
          </w:p>
        </w:tc>
      </w:tr>
      <w:tr>
        <w:trPr/>
        <w:tc>
          <w:tcPr>
            <w:tcW w:w="4760" w:type="dxa"/>
            <w:tcBorders/>
          </w:tcPr>
          <w:p>
            <w:pPr>
              <w:pStyle w:val="TableContents"/>
              <w:bidi w:val="0"/>
              <w:spacing w:before="0" w:after="283"/>
              <w:jc w:val="left"/>
              <w:rPr/>
            </w:pPr>
            <w:r>
              <w:rPr/>
              <w:t xml:space="preserve">Title of Authorized Signatory </w:t>
            </w:r>
            <w:r>
              <w:rPr>
                <w:i/>
              </w:rPr>
              <w:t>(Print</w:t>
            </w:r>
            <w:r>
              <w:rPr/>
              <w:t>)</w:t>
            </w:r>
          </w:p>
        </w:tc>
      </w:tr>
      <w:tr>
        <w:trPr>
          <w:trHeight w:val="240" w:hRule="atLeast"/>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tcPr>
          <w:p>
            <w:pPr>
              <w:pStyle w:val="TableContents"/>
              <w:bidi w:val="0"/>
              <w:spacing w:before="0" w:after="283"/>
              <w:jc w:val="left"/>
              <w:rPr>
                <w:i/>
              </w:rPr>
            </w:pPr>
            <w:r>
              <w:rPr>
                <w:i/>
              </w:rPr>
              <w:t>(indicate capacity of person signing if signing as custodian, trustee, or on behalf of an entity)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WAIVER OF LOCK-UP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[Name and Address of </w:t>
      </w:r>
    </w:p>
    <w:p>
      <w:pPr>
        <w:pStyle w:val="TextBody"/>
        <w:bidi w:val="0"/>
        <w:spacing w:before="0" w:after="0"/>
        <w:jc w:val="left"/>
        <w:rPr>
          <w:rFonts w:ascii="Times New Roman" w:hAnsi="Times New Roman"/>
          <w:sz w:val="20"/>
        </w:rPr>
      </w:pPr>
      <w:r>
        <w:rPr>
          <w:rFonts w:ascii="Times New Roman" w:hAnsi="Times New Roman"/>
          <w:sz w:val="20"/>
        </w:rPr>
        <w:t xml:space="preserve">Officer or Director </w:t>
      </w:r>
    </w:p>
    <w:p>
      <w:pPr>
        <w:pStyle w:val="TextBody"/>
        <w:bidi w:val="0"/>
        <w:spacing w:before="0" w:after="0"/>
        <w:jc w:val="left"/>
        <w:rPr>
          <w:rFonts w:ascii="Times New Roman" w:hAnsi="Times New Roman"/>
          <w:sz w:val="20"/>
        </w:rPr>
      </w:pPr>
      <w:r>
        <w:rPr>
          <w:rFonts w:ascii="Times New Roman" w:hAnsi="Times New Roman"/>
          <w:sz w:val="20"/>
        </w:rPr>
        <w:t xml:space="preserve">Requesting Waiver] </w:t>
      </w:r>
    </w:p>
    <w:p>
      <w:pPr>
        <w:pStyle w:val="TextBody"/>
        <w:bidi w:val="0"/>
        <w:spacing w:before="120" w:after="0"/>
        <w:jc w:val="left"/>
        <w:rPr>
          <w:rFonts w:ascii="Times New Roman" w:hAnsi="Times New Roman"/>
          <w:sz w:val="20"/>
        </w:rPr>
      </w:pPr>
      <w:r>
        <w:rPr>
          <w:rFonts w:ascii="Times New Roman" w:hAnsi="Times New Roman"/>
          <w:sz w:val="20"/>
        </w:rPr>
        <w:t xml:space="preserve">Dear Mr./Ms. [Name]: </w:t>
      </w:r>
    </w:p>
    <w:p>
      <w:pPr>
        <w:pStyle w:val="TextBody"/>
        <w:bidi w:val="0"/>
        <w:spacing w:before="120" w:after="0"/>
        <w:jc w:val="left"/>
        <w:rPr>
          <w:rFonts w:ascii="Times New Roman" w:hAnsi="Times New Roman"/>
          <w:sz w:val="20"/>
        </w:rPr>
      </w:pPr>
      <w:r>
        <w:rPr>
          <w:rFonts w:ascii="Times New Roman" w:hAnsi="Times New Roman"/>
          <w:sz w:val="20"/>
        </w:rPr>
        <w:t>This letter is being delivered to you in connection with the offering by CG Oncology, Inc. (the </w:t>
      </w:r>
      <w:r>
        <w:rPr>
          <w:rFonts w:ascii="Times New Roman" w:hAnsi="Times New Roman"/>
          <w:b/>
          <w:sz w:val="20"/>
        </w:rPr>
        <w:t>Company</w:t>
      </w:r>
      <w:r>
        <w:rPr>
          <w:rFonts w:ascii="Times New Roman" w:hAnsi="Times New Roman"/>
          <w:sz w:val="20"/>
        </w:rPr>
        <w:t>) of [] shares of common stock, $0.0001 par value per share (the </w:t>
      </w:r>
      <w:r>
        <w:rPr>
          <w:rFonts w:ascii="Times New Roman" w:hAnsi="Times New Roman"/>
          <w:b/>
          <w:sz w:val="20"/>
        </w:rPr>
        <w:t>Common Stock</w:t>
      </w:r>
      <w:r>
        <w:rPr>
          <w:rFonts w:ascii="Times New Roman" w:hAnsi="Times New Roman"/>
          <w:sz w:val="20"/>
        </w:rPr>
        <w:t>), of the Company and the lock-up agreement dated ____, 2023 (the </w:t>
      </w:r>
      <w:r>
        <w:rPr>
          <w:rFonts w:ascii="Times New Roman" w:hAnsi="Times New Roman"/>
          <w:b/>
          <w:sz w:val="20"/>
        </w:rPr>
        <w:t>Lock-up Agreement</w:t>
      </w:r>
      <w:r>
        <w:rPr>
          <w:rFonts w:ascii="Times New Roman" w:hAnsi="Times New Roman"/>
          <w:sz w:val="20"/>
        </w:rPr>
        <w:t>), executed by you in connection with such offering, and your request for a [waiver] [release] dated ____, 20__, with respect to ____ shares of Common Stock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and Goldman Sachs &amp; Co. LLC hereby agree to [waive] [release] the transfer restrictions set forth in the Lock-up Agreement, but only with respect to the Shares, effective _____, 20__;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[waived] [released] hereby, the Lock-up Agreement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75"/>
        <w:gridCol w:w="73"/>
        <w:gridCol w:w="3534"/>
      </w:tblGrid>
      <w:tr>
        <w:trPr/>
        <w:tc>
          <w:tcPr>
            <w:tcW w:w="47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Goldman Sachs &amp; Co. LLC Acting severally on behalf of themselves and the several Underwriters named in Schedule I hereto</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pBdr>
                <w:bottom w:val="single" w:sz="2" w:space="1" w:color="000000"/>
              </w:pBdr>
              <w:bidi w:val="0"/>
              <w:spacing w:before="0" w:after="20"/>
              <w:jc w:val="left"/>
              <w:rPr/>
            </w:pPr>
            <w:r>
              <w:rPr/>
              <w:t> </w:t>
            </w:r>
          </w:p>
        </w:tc>
      </w:tr>
      <w:tr>
        <w:trPr/>
        <w:tc>
          <w:tcPr>
            <w:tcW w:w="475"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r>
              <w:rPr/>
              <w:t>Name:</w:t>
            </w:r>
          </w:p>
        </w:tc>
      </w:tr>
      <w:tr>
        <w:trPr/>
        <w:tc>
          <w:tcPr>
            <w:tcW w:w="475"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pBdr>
                <w:bottom w:val="single" w:sz="2" w:space="1" w:color="000000"/>
              </w:pBdr>
              <w:bidi w:val="0"/>
              <w:spacing w:before="0" w:after="20"/>
              <w:jc w:val="left"/>
              <w:rPr/>
            </w:pPr>
            <w:r>
              <w:rPr/>
              <w:t> </w:t>
            </w:r>
          </w:p>
        </w:tc>
      </w:tr>
      <w:tr>
        <w:trPr/>
        <w:tc>
          <w:tcPr>
            <w:tcW w:w="475"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r>
              <w:rPr/>
              <w:t>Name:</w:t>
            </w:r>
          </w:p>
        </w:tc>
      </w:tr>
      <w:tr>
        <w:trPr/>
        <w:tc>
          <w:tcPr>
            <w:tcW w:w="475"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cc: CG Oncology,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PRESS RELEASE </w:t>
      </w:r>
    </w:p>
    <w:p>
      <w:pPr>
        <w:pStyle w:val="TextBody"/>
        <w:bidi w:val="0"/>
        <w:spacing w:before="240" w:after="0"/>
        <w:jc w:val="left"/>
        <w:rPr>
          <w:rFonts w:ascii="Times New Roman" w:hAnsi="Times New Roman"/>
          <w:sz w:val="20"/>
        </w:rPr>
      </w:pPr>
      <w:r>
        <w:rPr>
          <w:rFonts w:ascii="Times New Roman" w:hAnsi="Times New Roman"/>
          <w:sz w:val="20"/>
        </w:rPr>
        <w:t xml:space="preserve">CG Oncology, Inc. </w:t>
      </w:r>
    </w:p>
    <w:p>
      <w:pPr>
        <w:pStyle w:val="TextBody"/>
        <w:bidi w:val="0"/>
        <w:spacing w:before="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CG Oncology, Inc. (the </w:t>
      </w:r>
      <w:r>
        <w:rPr>
          <w:rFonts w:ascii="Times New Roman" w:hAnsi="Times New Roman"/>
          <w:b/>
          <w:sz w:val="20"/>
        </w:rPr>
        <w:t>Company</w:t>
      </w:r>
      <w:r>
        <w:rPr>
          <w:rFonts w:ascii="Times New Roman" w:hAnsi="Times New Roman"/>
          <w:sz w:val="20"/>
        </w:rPr>
        <w:t xml:space="preserve">) announced today that Morgan Stanley &amp; Co. LLC and Goldman Sachs &amp; Co. LLC, the lead book-running managers in the Companys recent public sale of [] shares of common stock are [waiving][releasing] a lock-up restriction with respect to ____ shares of the Companys common stock held by [certain officers or directors] [an officer or director] of the Company. The [waiver][release] will take effect on ____, 20__ , and the shares may be sold on or after such date. </w:t>
      </w:r>
    </w:p>
    <w:p>
      <w:pPr>
        <w:pStyle w:val="TextBody"/>
        <w:bidi w:val="0"/>
        <w:spacing w:before="360" w:after="0"/>
        <w:jc w:val="left"/>
        <w:rPr>
          <w:rFonts w:ascii="Times New Roman" w:hAnsi="Times New Roman"/>
          <w:b/>
          <w:sz w:val="20"/>
        </w:rPr>
      </w:pPr>
      <w:r>
        <w:rPr>
          <w:rFonts w:ascii="Times New Roman" w:hAnsi="Times New Roman"/>
          <w:b/>
          <w:sz w:val="20"/>
        </w:rPr>
        <w:t xml:space="preserve">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p>
    <w:p>
      <w:pPr>
        <w:pStyle w:val="TextBody"/>
        <w:bidi w:val="0"/>
        <w:spacing w:before="0" w:after="0"/>
        <w:jc w:val="right"/>
        <w:rPr>
          <w:rFonts w:ascii="Times New Roman" w:hAnsi="Times New Roman"/>
          <w:b/>
          <w:sz w:val="20"/>
        </w:rPr>
      </w:pPr>
      <w:bookmarkStart w:id="40" w:name="d551455dex31.htm"/>
      <w:bookmarkStart w:id="41" w:name="ksd551455dex31"/>
      <w:bookmarkEnd w:id="40"/>
      <w:bookmarkEnd w:id="41"/>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Sections 242 and 245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CG Oncology, Inc.,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CG Oncology, Inc. and that this corporation was originally incorporated pursuant to the General Corporation Law on November 30, 2017 under the name Cold Genesys, Inc.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That the Board of Directors of this corporation (the </w:t>
      </w:r>
      <w:r>
        <w:rPr>
          <w:rFonts w:ascii="Times New Roman" w:hAnsi="Times New Roman"/>
          <w:sz w:val="20"/>
          <w:u w:val="single"/>
        </w:rPr>
        <w:t>Board of Directors</w:t>
      </w:r>
      <w:r>
        <w:rPr>
          <w:rFonts w:ascii="Times New Roman" w:hAnsi="Times New Roman"/>
          <w:sz w:val="20"/>
        </w:rPr>
        <w:t xml:space="preserve">)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w:t>
      </w:r>
      <w:r>
        <w:rPr>
          <w:rFonts w:ascii="Times New Roman" w:hAnsi="Times New Roman"/>
          <w:b/>
          <w:sz w:val="20"/>
        </w:rPr>
        <w:t xml:space="preserve">CG Oncology, Inc. </w:t>
      </w:r>
      <w:r>
        <w:rPr>
          <w:rFonts w:ascii="Times New Roman" w:hAnsi="Times New Roman"/>
          <w:sz w:val="20"/>
        </w:rPr>
        <w:t>(the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this Corporation in the State of Delaware is 3500 South DuPont Highway, in the City of Dover, County of Kent, 19901. The name of its registered agent at such address is Incorporating Services, Ltd.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General Corporation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Classes of Stock</w:t>
      </w:r>
      <w:r>
        <w:rPr>
          <w:rFonts w:ascii="Times New Roman" w:hAnsi="Times New Roman"/>
          <w:sz w:val="20"/>
        </w:rPr>
        <w:t>. This Corporation is authorized to issue two classes of stock to be designated, respectively, Common Stock and Preferred Stock. The total number of shares which this Corporation is authorized to issue is 831,458,674 shares. 493,530,000 shares shall be Common Stock, par value $0.0001 per share (the </w:t>
      </w:r>
      <w:r>
        <w:rPr>
          <w:rFonts w:ascii="Times New Roman" w:hAnsi="Times New Roman"/>
          <w:sz w:val="20"/>
          <w:u w:val="single"/>
        </w:rPr>
        <w:t>Common Stock</w:t>
      </w:r>
      <w:r>
        <w:rPr>
          <w:rFonts w:ascii="Times New Roman" w:hAnsi="Times New Roman"/>
          <w:sz w:val="20"/>
        </w:rPr>
        <w:t>) and 337,928,674 shares shall be Preferred Stock, par value $0.0001 per share (the </w:t>
      </w:r>
      <w:r>
        <w:rPr>
          <w:rFonts w:ascii="Times New Roman" w:hAnsi="Times New Roman"/>
          <w:sz w:val="20"/>
          <w:u w:val="single"/>
        </w:rPr>
        <w:t>Preferred Stock</w:t>
      </w:r>
      <w:r>
        <w:rPr>
          <w:rFonts w:ascii="Times New Roman" w:hAnsi="Times New Roman"/>
          <w:sz w:val="20"/>
        </w:rPr>
        <w:t>). Of the Preferred Stock, 81,587,937 shares shall be designated Series F Preferred Stock (the </w:t>
      </w:r>
      <w:r>
        <w:rPr>
          <w:rFonts w:ascii="Times New Roman" w:hAnsi="Times New Roman"/>
          <w:sz w:val="20"/>
          <w:u w:val="single"/>
        </w:rPr>
        <w:t>Series F Preferred Stock</w:t>
      </w:r>
      <w:r>
        <w:rPr>
          <w:rFonts w:ascii="Times New Roman" w:hAnsi="Times New Roman"/>
          <w:sz w:val="20"/>
        </w:rPr>
        <w:t>), 112,422,700 shares shall be designated Series E Preferred Stock (the </w:t>
      </w:r>
      <w:r>
        <w:rPr>
          <w:rFonts w:ascii="Times New Roman" w:hAnsi="Times New Roman"/>
          <w:sz w:val="20"/>
          <w:u w:val="single"/>
        </w:rPr>
        <w:t>Series E Preferred Stock</w:t>
      </w:r>
      <w:r>
        <w:rPr>
          <w:rFonts w:ascii="Times New Roman" w:hAnsi="Times New Roman"/>
          <w:sz w:val="20"/>
        </w:rPr>
        <w:t>), 53,271,754 shares shall be designated Series D Preferred Stock (the </w:t>
      </w:r>
      <w:r>
        <w:rPr>
          <w:rFonts w:ascii="Times New Roman" w:hAnsi="Times New Roman"/>
          <w:sz w:val="20"/>
          <w:u w:val="single"/>
        </w:rPr>
        <w:t>Series D Preferred Stock</w:t>
      </w:r>
      <w:r>
        <w:rPr>
          <w:rFonts w:ascii="Times New Roman" w:hAnsi="Times New Roman"/>
          <w:sz w:val="20"/>
        </w:rPr>
        <w:t>), 73,598,283 shares shall be designated Series C Preferred Stock (the </w:t>
      </w:r>
      <w:r>
        <w:rPr>
          <w:rFonts w:ascii="Times New Roman" w:hAnsi="Times New Roman"/>
          <w:sz w:val="20"/>
          <w:u w:val="single"/>
        </w:rPr>
        <w:t>Series C Preferred Stock</w:t>
      </w:r>
      <w:r>
        <w:rPr>
          <w:rFonts w:ascii="Times New Roman" w:hAnsi="Times New Roman"/>
          <w:sz w:val="20"/>
        </w:rPr>
        <w:t>), 11,973,000 shares shall be designated Series B Preferred Stock (the </w:t>
      </w:r>
      <w:r>
        <w:rPr>
          <w:rFonts w:ascii="Times New Roman" w:hAnsi="Times New Roman"/>
          <w:sz w:val="20"/>
          <w:u w:val="single"/>
        </w:rPr>
        <w:t>Series B Preferred Stock</w:t>
      </w:r>
      <w:r>
        <w:rPr>
          <w:rFonts w:ascii="Times New Roman" w:hAnsi="Times New Roman"/>
          <w:sz w:val="20"/>
        </w:rPr>
        <w:t>) and 5,075,000 shares shall be designated Series A-1 Preferred Stock (the </w:t>
      </w:r>
      <w:r>
        <w:rPr>
          <w:rFonts w:ascii="Times New Roman" w:hAnsi="Times New Roman"/>
          <w:sz w:val="20"/>
          <w:u w:val="single"/>
        </w:rPr>
        <w:t>Series A-1 Preferred Stock</w:t>
      </w:r>
      <w:r>
        <w:rPr>
          <w:rFonts w:ascii="Times New Roman" w:hAnsi="Times New Roman"/>
          <w:sz w:val="20"/>
        </w:rPr>
        <w:t>). The Series A-1 Preferred Stock, the Series B Preferred Stock, the Series C Preferred Stock, the Series D Preferred Stock, the Series E Preferred Stock and the Series F Preferred Stock shall be collectively referred to herein as the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Preferences and Restrictions of Preferred Stock</w:t>
      </w:r>
      <w:r>
        <w:rPr>
          <w:rFonts w:ascii="Times New Roman" w:hAnsi="Times New Roman"/>
          <w:sz w:val="20"/>
        </w:rPr>
        <w:t xml:space="preserve">. The rights, preferences, privileges, and restrictions granted to and imposed on the Preferred Stock are as set forth below in this Article IV.B.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Holders of Series F Preferred Stock shall be entitled to receive, prior and in preference to any other class or series of capital stock of this corporation, cumulative cash dividends, when, as and if declared by the Board of Directors, out of any funds that are legally available therefor, at the rate of eight percent (8%) of the Series F Initial Purchase Price (as defined below) per annum on each outstanding share of Series F Preferred Stock (as adjusted for any stock dividends, combinations, splits, recapitalizations and the like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issuance and distribution of dividends pursuant to subsection 1(a) above, holders of Series E Preferred Stock shall be entitled to receive, prior and in preference to any other class or series of capital stock of this corporation, cumulative cash dividends, when, as and if declared by the Board of Directors, out of any funds that are legally available therefor, at the rate of eight percent (8%) of the Series E Initial Purchase Price (as defined below) per annum on each outstanding share of Series E Preferred Stock (as adjusted for any stock dividends, combinations, splits, recapitalizations and the like with respect to such shares). </w:t>
      </w:r>
    </w:p>
    <w:p>
      <w:pPr>
        <w:pStyle w:val="TextBody"/>
        <w:bidi w:val="0"/>
        <w:spacing w:before="240" w:after="0"/>
        <w:jc w:val="left"/>
        <w:rPr>
          <w:rFonts w:ascii="Times New Roman" w:hAnsi="Times New Roman"/>
          <w:sz w:val="20"/>
        </w:rPr>
      </w:pPr>
      <w:r>
        <w:rPr>
          <w:rFonts w:ascii="Times New Roman" w:hAnsi="Times New Roman"/>
          <w:sz w:val="20"/>
        </w:rPr>
        <w:t>(c) Following the issuance and distribution of dividends pursuant to subsections 1(a) and 1(b) above, holders of Series D Preferred Stock and Series C Preferred Stock (together, the </w:t>
      </w:r>
      <w:r>
        <w:rPr>
          <w:rFonts w:ascii="Times New Roman" w:hAnsi="Times New Roman"/>
          <w:sz w:val="20"/>
          <w:u w:val="single"/>
        </w:rPr>
        <w:t>Senior Preferred Stock</w:t>
      </w:r>
      <w:r>
        <w:rPr>
          <w:rFonts w:ascii="Times New Roman" w:hAnsi="Times New Roman"/>
          <w:sz w:val="20"/>
        </w:rPr>
        <w:t xml:space="preserve">) shall be entitled to receive, on a pari passu basis and prior and in preference to the holders of Series B Preferred Stock, Series A-1 Preferred Stock and Common Stock, cumulative cash dividends, when, as and if declared by the Board of Directors, out of any funds that are legally available therefor, at the rate of (i) with respect to the Series D Preferred Stock, eight percent (8%) of the Series D Initial Purchase Price (as defined below) per annum on each outstanding share of Series D Preferred Stock (as adjusted for any stock dividends, combinations, splits, recapitalizations and the like with respect to such shares) and (ii) with respect to the Series C Preferred Stock, eight percent (8%) of the Series C Initial Purchase Price (as defined below) per annum on each outstanding share of Series C Preferred Stock (as adjusted for any stock dividends, combinations, splits, recapitalizations and the like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Following the issuance and distribution of dividends pursuant to subsections 1(a), 1(b) and 1(c) above, holders of Series B Preferred Stock and Series A-1 Preferred Stock shall be entitled to receive, on a pari passu basis and prior and in preference to the holders of Common Stock, noncumulative cash dividends, when, as and if declared by the Board of Directors, out of any funds that are legally available therefor, at the rate of (i) with respect to the Series B Preferred Stock, eight percent (8%) of the Series B Initial Purchase Price (as defined below) per annum on each outstanding share of Series B Preferred Stock (as adjusted for any stock dividends, combinations, splits, recapitalizations and the like with respect to such shares) and (ii) with respect to the Series A-1 Preferred Stock, eight percent (8%) of the Series A-1 Initial Purchase Price (as defined below) per annum on each outstanding share of Series A-1 Preferred Stock (as adjusted for any stock dividends, combinations, splits, recapitalizations and the like with respect to such shares). </w:t>
      </w:r>
    </w:p>
    <w:p>
      <w:pPr>
        <w:pStyle w:val="TextBody"/>
        <w:bidi w:val="0"/>
        <w:spacing w:before="240" w:after="0"/>
        <w:jc w:val="left"/>
        <w:rPr>
          <w:rFonts w:ascii="Times New Roman" w:hAnsi="Times New Roman"/>
          <w:sz w:val="20"/>
        </w:rPr>
      </w:pPr>
      <w:r>
        <w:rPr>
          <w:rFonts w:ascii="Times New Roman" w:hAnsi="Times New Roman"/>
          <w:sz w:val="20"/>
        </w:rPr>
        <w:t>As used herein, the </w:t>
      </w:r>
      <w:r>
        <w:rPr>
          <w:rFonts w:ascii="Times New Roman" w:hAnsi="Times New Roman"/>
          <w:sz w:val="20"/>
          <w:u w:val="single"/>
        </w:rPr>
        <w:t>Series F Initial Purchase Price</w:t>
      </w:r>
      <w:r>
        <w:rPr>
          <w:rFonts w:ascii="Times New Roman" w:hAnsi="Times New Roman"/>
          <w:sz w:val="20"/>
        </w:rPr>
        <w:t> shall be $1.2872 per share of Series F Preferred Stock (as adjusted for any stock dividends, combinations, splits, recapitalizations and the like, as described herein). As used herein, the </w:t>
      </w:r>
      <w:r>
        <w:rPr>
          <w:rFonts w:ascii="Times New Roman" w:hAnsi="Times New Roman"/>
          <w:sz w:val="20"/>
          <w:u w:val="single"/>
        </w:rPr>
        <w:t>Series E Initial Purchase Price</w:t>
      </w:r>
      <w:r>
        <w:rPr>
          <w:rFonts w:ascii="Times New Roman" w:hAnsi="Times New Roman"/>
          <w:sz w:val="20"/>
        </w:rPr>
        <w:t> shall be $1.0674 per share of Series E Preferred Stock (as adjusted for any stock dividends, combinations, splits, recapitalizations and the like, as described herein). As used herein, the </w:t>
      </w:r>
      <w:r>
        <w:rPr>
          <w:rFonts w:ascii="Times New Roman" w:hAnsi="Times New Roman"/>
          <w:sz w:val="20"/>
          <w:u w:val="single"/>
        </w:rPr>
        <w:t>Series D Initial Purchase Price</w:t>
      </w:r>
      <w:r>
        <w:rPr>
          <w:rFonts w:ascii="Times New Roman" w:hAnsi="Times New Roman"/>
          <w:sz w:val="20"/>
        </w:rPr>
        <w:t> shall be $0.8879 per share of Series D Preferred Stock (as adjusted for any stock dividends, combinations, splits, recapitalizations and the like, as described herein). As used herein, the </w:t>
      </w:r>
      <w:r>
        <w:rPr>
          <w:rFonts w:ascii="Times New Roman" w:hAnsi="Times New Roman"/>
          <w:sz w:val="20"/>
          <w:u w:val="single"/>
        </w:rPr>
        <w:t>Series C Initial Purchase Price</w:t>
      </w:r>
      <w:r>
        <w:rPr>
          <w:rFonts w:ascii="Times New Roman" w:hAnsi="Times New Roman"/>
          <w:sz w:val="20"/>
        </w:rPr>
        <w:t> shall be $0.29892 per share of Series C Preferred Stock (as adjusted for any stock dividends, combinations, splits, recapitalizations and the like, as described herein). As used herein, the </w:t>
      </w:r>
      <w:r>
        <w:rPr>
          <w:rFonts w:ascii="Times New Roman" w:hAnsi="Times New Roman"/>
          <w:sz w:val="20"/>
          <w:u w:val="single"/>
        </w:rPr>
        <w:t>Series B Initial Purchase Price</w:t>
      </w:r>
      <w:r>
        <w:rPr>
          <w:rFonts w:ascii="Times New Roman" w:hAnsi="Times New Roman"/>
          <w:sz w:val="20"/>
        </w:rPr>
        <w:t> shall be $0.83523 per share of Series B Preferred Stock (as adjusted for any stock dividends, combinations, splits, recapitalizations and the like, as described herein). As used herein, the </w:t>
      </w:r>
      <w:r>
        <w:rPr>
          <w:rFonts w:ascii="Times New Roman" w:hAnsi="Times New Roman"/>
          <w:sz w:val="20"/>
          <w:u w:val="single"/>
        </w:rPr>
        <w:t>Series A-1 Initial Purchase Price</w:t>
      </w:r>
      <w:r>
        <w:rPr>
          <w:rFonts w:ascii="Times New Roman" w:hAnsi="Times New Roman"/>
          <w:sz w:val="20"/>
        </w:rPr>
        <w:t xml:space="preserve"> shall be $0.70339 per share of Series A-1 Preferred Stock (as adjusted for any stock dividends, combinations, splits, recapitalizations and the like, as described herein). For the avoidance of doubt, fully-diluted, as-converted and as-exercised basis means all issued and outstanding Common Stock, all outstanding options under employee stock option plans or similar plans, all shares of outstanding Preferred Stock or convertible securities or instruments on an as-converted basis, and all outstanding warrants, options or similar rights to purchase the capital stock of the Corporation on an as-exercised basis. </w:t>
      </w:r>
    </w:p>
    <w:p>
      <w:pPr>
        <w:pStyle w:val="TextBody"/>
        <w:bidi w:val="0"/>
        <w:spacing w:before="240" w:after="0"/>
        <w:jc w:val="left"/>
        <w:rPr>
          <w:rFonts w:ascii="Times New Roman" w:hAnsi="Times New Roman"/>
          <w:sz w:val="20"/>
        </w:rPr>
      </w:pPr>
      <w:r>
        <w:rPr>
          <w:rFonts w:ascii="Times New Roman" w:hAnsi="Times New Roman"/>
          <w:sz w:val="20"/>
        </w:rPr>
        <w:t xml:space="preserve">(e)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After payment of the full amount of any dividends pursuant to Articles IV.B.1(a), IV.B.1(b), IV.B.1(c) and IV.B.1(d), any additional dividends shall be distributed among all holders of Common Stock and all holders of Preferred Stock in proportion to the number of shares of Common Stock which would be held by each such holder if all such shares of Preferred Stock were converted to Common Stock at the then-effective applicable conversion rate. </w:t>
      </w:r>
    </w:p>
    <w:p>
      <w:pPr>
        <w:pStyle w:val="TextBody"/>
        <w:bidi w:val="0"/>
        <w:spacing w:before="240" w:after="0"/>
        <w:jc w:val="left"/>
        <w:rPr>
          <w:rFonts w:ascii="Times New Roman" w:hAnsi="Times New Roman"/>
          <w:sz w:val="20"/>
        </w:rPr>
      </w:pPr>
      <w:r>
        <w:rPr>
          <w:rFonts w:ascii="Times New Roman" w:hAnsi="Times New Roman"/>
          <w:sz w:val="20"/>
        </w:rPr>
        <w:t>(g) Distributions can be made without regard to any preferential rights amount or preferential dividends arrears amount with respect to distributions made by this Corporation in connection with (i) repurchases of Common Stock issued to or held by employees, officers, directors 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 (iii) repurchases of Common Stock or Preferred Stock in connection with the settlement of disputes with any stockholder, or (iv) any other repurchase or redemption of Common Stock or Preferred Stock that are approved by the holders of at least 75% of the then outstanding shares of Preferred Stock (voting together as a single class and not as separate series, and on an as-converted to Common Stock basis) (the </w:t>
      </w:r>
      <w:r>
        <w:rPr>
          <w:rFonts w:ascii="Times New Roman" w:hAnsi="Times New Roman"/>
          <w:sz w:val="20"/>
          <w:u w:val="single"/>
        </w:rPr>
        <w:t>Requisite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any liquidation, dissolution or winding up of this Corporation, whether voluntary or involuntary, and subject to Article IV.B.2(f), before any distribution or payment shall be made to the holders of Common Stock: </w:t>
      </w:r>
    </w:p>
    <w:p>
      <w:pPr>
        <w:pStyle w:val="TextBody"/>
        <w:bidi w:val="0"/>
        <w:spacing w:before="120" w:after="0"/>
        <w:jc w:val="left"/>
        <w:rPr>
          <w:rFonts w:ascii="Times New Roman" w:hAnsi="Times New Roman"/>
          <w:sz w:val="20"/>
        </w:rPr>
      </w:pPr>
      <w:r>
        <w:rPr>
          <w:rFonts w:ascii="Times New Roman" w:hAnsi="Times New Roman"/>
          <w:sz w:val="20"/>
        </w:rPr>
        <w:t>(i) The holders of Series F Preferred Stock shall be entitled to be paid out of the assets of this Corporation, prior and in preference to any distribution of the proceeds of such liquidation, dissolution or winding up to the holders of Series E Preferred Stock, Senior Preferred Stock, Series B Preferred Stock, Series A-1 Preferred Stock or Common Stock by reason of their ownership thereof, an amount per share of Series F Preferred Stock equal to the Series F Initial Purchase Price, plus all declared but unpaid dividends on the Series F Preferred Stock, for each share of Series F Preferred Stock then held (the </w:t>
      </w:r>
      <w:r>
        <w:rPr>
          <w:rFonts w:ascii="Times New Roman" w:hAnsi="Times New Roman"/>
          <w:sz w:val="20"/>
          <w:u w:val="single"/>
        </w:rPr>
        <w:t>Series F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Following the distribution pursuant to Article IV.B.2(a)(i) above, the holders of Series E Preferred Stock shall be entitled to be paid out of the assets of this Corporation, prior and in preference to any distribution of the proceeds of such liquidation, dissolution or winding up to the holders of Senior Preferred Stock, Series B Preferred Stock, Series A-1 Preferred Stock or Common Stock by reason of their ownership thereof, an amount per share of Series E Preferred Stock equal to the Series E Initial Purchase Price, plus all declared but unpaid dividends on the Series E Preferred Stock, for each share of Series E Preferred Stock then held (the </w:t>
      </w:r>
      <w:r>
        <w:rPr>
          <w:rFonts w:ascii="Times New Roman" w:hAnsi="Times New Roman"/>
          <w:sz w:val="20"/>
          <w:u w:val="single"/>
        </w:rPr>
        <w:t>Series E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Following the distributions pursuant to Articles IV.B.2(a)(i) and Article IV.B.2(a)(ii) above, the holders of each series of Senior Preferred Stock shall be entitled to be paid out of the assets of this Corporation, on a pari passu basis and prior and in preference to any distribution of the proceeds of such liquidation, dissolution or winding up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holders of Series B Preferred Stock, Series A-1 Preferred Stock or Common Stock by reason of their ownership thereof, (i) with respect to the Series D Preferred Stock, an amount per share of Series D Preferred Stock equal to the Series D Initial Purchase Price, plus all declared but unpaid dividends on the Series D Preferred Stock, for each share of Series D Preferred Stock then held (the </w:t>
      </w:r>
      <w:r>
        <w:rPr>
          <w:rFonts w:ascii="Times New Roman" w:hAnsi="Times New Roman"/>
          <w:sz w:val="20"/>
          <w:u w:val="single"/>
        </w:rPr>
        <w:t>Series D Preference</w:t>
      </w:r>
      <w:r>
        <w:rPr>
          <w:rFonts w:ascii="Times New Roman" w:hAnsi="Times New Roman"/>
          <w:sz w:val="20"/>
        </w:rPr>
        <w:t>) and (ii) with respect to the Series C Preferred Stock, an amount per share of Series C Preferred Stock equal to the Series C Initial Purchase Price, plus all declared but unpaid dividends on the Series C Preferred Stock, for each share of Series C Preferred Stock then held (the </w:t>
      </w:r>
      <w:r>
        <w:rPr>
          <w:rFonts w:ascii="Times New Roman" w:hAnsi="Times New Roman"/>
          <w:sz w:val="20"/>
          <w:u w:val="single"/>
        </w:rPr>
        <w:t>Series C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Following the distributions pursuant to Article IV.B.2(a)(i),Article IV.B.2(a)(ii) and Article IV.B.2(a)(iii) above,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(the </w:t>
      </w:r>
      <w:r>
        <w:rPr>
          <w:rFonts w:ascii="Times New Roman" w:hAnsi="Times New Roman"/>
          <w:sz w:val="20"/>
          <w:u w:val="single"/>
        </w:rPr>
        <w:t>Series B Preference</w:t>
      </w:r>
      <w:r>
        <w:rPr>
          <w:rFonts w:ascii="Times New Roman" w:hAnsi="Times New Roman"/>
          <w:sz w:val="20"/>
        </w:rPr>
        <w:t>);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 (the </w:t>
      </w:r>
      <w:r>
        <w:rPr>
          <w:rFonts w:ascii="Times New Roman" w:hAnsi="Times New Roman"/>
          <w:sz w:val="20"/>
          <w:u w:val="single"/>
        </w:rPr>
        <w:t>Series A-1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(v) The Series A-1 Preference, Series B Preference, Series C Preference, Series D Preference, Series E Preference and Series F Preference are hereinafter collectively referred to as the </w:t>
      </w:r>
      <w:r>
        <w:rPr>
          <w:rFonts w:ascii="Times New Roman" w:hAnsi="Times New Roman"/>
          <w:sz w:val="20"/>
          <w:u w:val="single"/>
        </w:rPr>
        <w:t>Liquidation Preferences</w:t>
      </w:r>
      <w:r>
        <w:rPr>
          <w:rFonts w:ascii="Times New Roman" w:hAnsi="Times New Roman"/>
          <w:sz w:val="20"/>
        </w:rPr>
        <w:t xml:space="preserve">. Notwithstanding the foregoing provisions in Article IV.B.2(a)(i), Article IV.B.2(a)(ii), Article IV.B.2(a)(iii) and Article IV.B.2(a)(iv) above, if, upon any such liquidation, dissolution or winding up, the assets of this Corporation shall be insufficient to make payment in full of the Liquidation Preferences, then such assets shall be distributed in the following order of priority: (a) to the holders of Series F Preferred Stock in preference and ratably in proportion to the full amounts to which they would otherwise be respectively entitled pursuant to Article IV.B.2(a)(i), (b) any remaining assets then to the holders of Series E Preferred Stock in preference and ratably in proportion to the full amounts to which they would otherwise be respectively entitled pursuant to Article IV.B.2(a)(ii), (c) any remaining assets then to the holders of each series of Senior Preferred Stock in preference and ratably in proportion to the full amounts to which they would otherwise be respectively entitled pursuant to Article IV.B.2(a)(iii), and (d) any remaining assets then to the holders of Series B Preferred Stock and Series A-1 Preferred Stock ratably in proportion to the full amounts to which they would otherwise be respectively entitled pursuant to Article IV.B.2(a)(iv). </w:t>
      </w:r>
    </w:p>
    <w:p>
      <w:pPr>
        <w:pStyle w:val="TextBody"/>
        <w:bidi w:val="0"/>
        <w:spacing w:before="240" w:after="0"/>
        <w:jc w:val="left"/>
        <w:rPr>
          <w:rFonts w:ascii="Times New Roman" w:hAnsi="Times New Roman"/>
          <w:sz w:val="20"/>
        </w:rPr>
      </w:pPr>
      <w:r>
        <w:rPr>
          <w:rFonts w:ascii="Times New Roman" w:hAnsi="Times New Roman"/>
          <w:sz w:val="20"/>
        </w:rPr>
        <w:t xml:space="preserve">(b) After the payment of the full Liquidation Preferences as set forth in Article IV.B.2(a), the remaining assets of this Corporation legally available for distribution, if any, shall be distributed ratably to the holders of the Common Stock, Series F Preferred Stock (on an as-converted to Common Stock basis),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under Article IV.B.2(a) and this Article IV.B.2(b) exceeds the sum of (i) three (3) times the Series A-1 Initial Purchase Price plus (ii) declared but unpaid dividends thereon, such holder of Series A-1 Preferred Stock shall cease participating in such distribution as to such Series A-1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 and the balance shall be distributed ratably to the holders of Common Stock, Series F Preferred Stock (on an as-converted to Common Stock basis), Series E Preferred Stock (on an as-converted to Common Stock basis) and Senior Preferred Stock (on an as-converted to Common Stock basis). The aggregate amount that a holder of a share of Preferred Stock is entitled to receive under Articles IV.B.2(a) and IV.B.2(b) is hereinafter referred to as the </w:t>
      </w:r>
      <w:r>
        <w:rPr>
          <w:rFonts w:ascii="Times New Roman" w:hAnsi="Times New Roman"/>
          <w:sz w:val="20"/>
          <w:u w:val="single"/>
        </w:rPr>
        <w:t>Liquidation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Any Acquisition or Asset Transfer (each as defined below) shall be deemed a liquidation under this Article IV.B.2;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Corporation and, as applicable, its stockholders shall not have the power to effect such an Acquisition unless the agreement or plan of merger, or consolidation for such transaction provides that the consideration payable to the stockholders of this Corporation shall be allocated among the holders of capital stock of this Corporation in accordance with Articles IV.B.2(a) and IV.B.2(b). </w:t>
      </w:r>
    </w:p>
    <w:p>
      <w:pPr>
        <w:pStyle w:val="TextBody"/>
        <w:bidi w:val="0"/>
        <w:spacing w:before="240" w:after="0"/>
        <w:jc w:val="left"/>
        <w:rPr>
          <w:rFonts w:ascii="Times New Roman" w:hAnsi="Times New Roman"/>
          <w:sz w:val="20"/>
        </w:rPr>
      </w:pPr>
      <w:r>
        <w:rPr>
          <w:rFonts w:ascii="Times New Roman" w:hAnsi="Times New Roman"/>
          <w:sz w:val="20"/>
        </w:rPr>
        <w:t>(ii) In the event of an Asset Transfer, if this Corporation does not effect a dissolution of this Corporation within 90 days after such Asset Transfer, then (A) this Corporation shall send a written notice to each holder of shares of Preferred Stock no later than the 90th day after such Asset Transfer, advising such holders of their right (and the requirements to be met to secure such right) pursuant to the terms of the following clause (B) to require the redemption of such shares of Preferred Stock, and (B) if the Requisite Holders so request in a written instrument delivered to this Corporation not later than 120 days after such Asset Transfer, this Corporation shall use the consideration received by this Corporation for such Asset Transfer, net of any retained liabilities associated with the assets sold or technology licensed, as determined in good faith by the Board of Directors of this Corporation and approved by the Requisite Holders, together with any other assets of this Corporation available for distribution to its stockholders, all to the extent permitted by the General Corporation Law governing distributions to stockholders (the </w:t>
      </w:r>
      <w:r>
        <w:rPr>
          <w:rFonts w:ascii="Times New Roman" w:hAnsi="Times New Roman"/>
          <w:sz w:val="20"/>
          <w:u w:val="single"/>
        </w:rPr>
        <w:t>Available Proceeds</w:t>
      </w:r>
      <w:r>
        <w:rPr>
          <w:rFonts w:ascii="Times New Roman" w:hAnsi="Times New Roman"/>
          <w:sz w:val="20"/>
        </w:rPr>
        <w:t xml:space="preserve">), on the 150th day after such Asset Transfer, to redeem all outstanding shares of Preferred Stock at a price per share equal to the applicable Liquidation Amounts. Notwithstanding the foregoing, in the event of a redemption pursuant to the preceding sentence, if the Available Proceeds are not sufficient to redeem all outstanding shares of Preferred Stock in accordance with the Liquidation Preferences and priorities of payment set forth in Articles IV.B.2(a) and IV.B.2(b), this Corporation shall ratably redeem each holders shares of Preferred Stock in accordance with such Liquidation Preferences and priorities of payment to the fullest extent of such Available Proceeds, and shall redeem the remaining shares as soon as it may lawfully do so under the General Corporation Law governing distributions to stockholders. The provisions of Article IV.B.3 shall apply, with such necessary changes in the details thereof as are necessitated by the context, to the redemption of the Preferred Stock pursuant to this Article IV.B.2(c).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consideration received by this Corporation or the stockholders, as the case may be, in connection with an Acquisition or Asset Transfer is other than cash, its value will be deemed its fair market value as determined in good faith by the Board of Directors of this Corporation and approved by the Requisite Holders. Any securities shall be valued as follows received as consideration in connection with such Acquisition or Asset Transfer shall be valued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value of securities not subject to investment letter or other similar restrictions on free marketability (other than restrictions arising solely by virtue of a stockholders status as an affiliate or former affiliate) shall be: </w:t>
      </w:r>
    </w:p>
    <w:p>
      <w:pPr>
        <w:pStyle w:val="TextBody"/>
        <w:bidi w:val="0"/>
        <w:spacing w:before="120" w:after="0"/>
        <w:jc w:val="left"/>
        <w:rPr>
          <w:rFonts w:ascii="Times New Roman" w:hAnsi="Times New Roman"/>
          <w:sz w:val="20"/>
        </w:rPr>
      </w:pPr>
      <w:r>
        <w:rPr>
          <w:rFonts w:ascii="Times New Roman" w:hAnsi="Times New Roman"/>
          <w:sz w:val="20"/>
        </w:rPr>
        <w:t xml:space="preserve">(A) if traded on a securities exchange or through the NASDAQ Global Select Market, the NASDAQ Global Market or the NASDAQ Capital Market, the value shall be deemed to be the average of the closing prices of the securities on such exchange or system over the thirty (30) day period (or portion thereof) ending three (3) days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if actively traded over-the-counter, the value shall be deemed to be the average of the closing bid or sale prices (whichever is applicable) over the thirty (30) day period (or portion thereof) ending three (3) days prior to the closing; and </w:t>
      </w:r>
    </w:p>
    <w:p>
      <w:pPr>
        <w:pStyle w:val="TextBody"/>
        <w:bidi w:val="0"/>
        <w:spacing w:before="240" w:after="0"/>
        <w:jc w:val="left"/>
        <w:rPr>
          <w:rFonts w:ascii="Times New Roman" w:hAnsi="Times New Roman"/>
          <w:sz w:val="20"/>
        </w:rPr>
      </w:pPr>
      <w:r>
        <w:rPr>
          <w:rFonts w:ascii="Times New Roman" w:hAnsi="Times New Roman"/>
          <w:sz w:val="20"/>
        </w:rPr>
        <w:t xml:space="preserve">(C) if there is no active public market, the value shall be the fair market value thereof, as determined by the Board of Directors of this Corporation. The Requisite Holders shall each have the right to challenge any determination by the Board of Directors of fair market value pursuant to this Article IV.B.2(d)(i)(C), in which case the determination of fair market value shall be made by an independent appraiser selected jointly by the Board of Directors and the challenging parties, the cost of such appraisal to be borne equally by this Corporation and the challenging parties. </w:t>
      </w:r>
    </w:p>
    <w:p>
      <w:pPr>
        <w:pStyle w:val="TextBody"/>
        <w:bidi w:val="0"/>
        <w:spacing w:before="240" w:after="0"/>
        <w:jc w:val="left"/>
        <w:rPr>
          <w:rFonts w:ascii="Times New Roman" w:hAnsi="Times New Roman"/>
          <w:sz w:val="20"/>
        </w:rPr>
      </w:pPr>
      <w:r>
        <w:rPr>
          <w:rFonts w:ascii="Times New Roman" w:hAnsi="Times New Roman"/>
          <w:sz w:val="20"/>
        </w:rPr>
        <w:t xml:space="preserve">(ii) The method of valuation of securities subject to investment letter or other restrictions on free marketability (other than restrictions arising solely by virtue of a stockholders status as an affiliate or former affiliate) shall be adjusted to make an appropriate discount from the value determined as above in Article IV.B.2(d)(i) to reflect the approximate fair market value thereof, as determined in good faith by the Board of Directors, or by a liquidator if one is appointed. The Requisite Holders, voting together as a single class, shall have the right to challenge any determination by the Board of Directors of fair market value pursuant to this Article IV.B.2(d)(ii), in which case the determination of fair market value shall be made by an independent appraiser selected jointly by the Board of Directors and the challenging parties, the cost of such appraisal to be borne equally by the Corporation and the challenging parties.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of a liquidation in connection with an Acquisition under Article IV.B.2(c), then the assets of this Corporation available for distribution shall be deemed to be the aggregate consideration to be paid to all stockholders participating in such Acquisition. </w:t>
      </w:r>
    </w:p>
    <w:p>
      <w:pPr>
        <w:pStyle w:val="TextBody"/>
        <w:bidi w:val="0"/>
        <w:spacing w:before="240" w:after="0"/>
        <w:jc w:val="left"/>
        <w:rPr>
          <w:rFonts w:ascii="Times New Roman" w:hAnsi="Times New Roman"/>
          <w:sz w:val="20"/>
        </w:rPr>
      </w:pPr>
      <w:r>
        <w:rPr>
          <w:rFonts w:ascii="Times New Roman" w:hAnsi="Times New Roman"/>
          <w:sz w:val="20"/>
        </w:rPr>
        <w:t>(e) In the event of an Acquisition or Asset Transfer that is deemed a liquidation in accordance with Article IV.B.2(c), if any portion of the consideration payable to the stockholders of this Corporation is placed into escrow and/or is payable to the stockholders of this Corporation subject to contingencies, the definitive agreement(s) relating to such Acquisition or Asset Transfer shall provide that: (i) the portion of such consideration that is not placed in escrow and not subject to any contingencies (the </w:t>
      </w:r>
      <w:r>
        <w:rPr>
          <w:rFonts w:ascii="Times New Roman" w:hAnsi="Times New Roman"/>
          <w:sz w:val="20"/>
          <w:u w:val="single"/>
        </w:rPr>
        <w:t>Initial Consideration</w:t>
      </w:r>
      <w:r>
        <w:rPr>
          <w:rFonts w:ascii="Times New Roman" w:hAnsi="Times New Roman"/>
          <w:sz w:val="20"/>
        </w:rPr>
        <w:t xml:space="preserve">) shall be allocated among the holders of capital stock of this Corporation in accordance with Articles IV.B.2(a) and IV.B.2(b) as if the Initial Consideration were the only consideration payable in connection with such Acquisition or Asset Transfer; and (ii) any additional consideration which becomes payable to the stockholders of this Corporation upon release from escrow or satisfaction of contingencies shall be allocated among the holders of capital stock of this Corporation in accordance with Articles IV.B.2(a) and IV.B.2(b) after taking into account the previous payment of the Initial Consideration as part of the same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Notwithstanding the foregoing provisions of this Article IV.B.2, upon any liquidation, dissolution, winding up, Acquisition or Asset Transfer (each, a </w:t>
      </w:r>
      <w:r>
        <w:rPr>
          <w:rFonts w:ascii="Times New Roman" w:hAnsi="Times New Roman"/>
          <w:sz w:val="20"/>
          <w:u w:val="single"/>
        </w:rPr>
        <w:t>Liquidation Event</w:t>
      </w:r>
      <w:r>
        <w:rPr>
          <w:rFonts w:ascii="Times New Roman" w:hAnsi="Times New Roman"/>
          <w:sz w:val="20"/>
        </w:rPr>
        <w:t xml:space="preserve">), each holder of shares of Series A-1 Preferred Stock or Series B Preferred Stock shall be entitled to receive, for each share of such series of Preferred Stock then held, out of the proceeds available for distribution, the greater of (i) the amount of cash, securities or other property to which such holder would be entitled to receive with respect to such shares in a Liquidation Event pursuant to Articles IV.B.2(a), IV.B.2(b) and IV.B.2(c) (without giving effect to this Article IV.B.2(f)) or (ii) the amount of cash, securities or other property to which such holder would be entitled to receive in a Liquidation Event with respect to such shares if such shares had been converted to Common Stock immediately prior to such Liquidation Event, giving effect to this Article IV.B.2(f) with respect to all shares of Preferred Stock simultaneously; </w:t>
      </w:r>
      <w:r>
        <w:rPr>
          <w:rFonts w:ascii="Times New Roman" w:hAnsi="Times New Roman"/>
          <w:sz w:val="20"/>
          <w:u w:val="single"/>
        </w:rPr>
        <w:t>provided</w:t>
      </w:r>
      <w:r>
        <w:rPr>
          <w:rFonts w:ascii="Times New Roman" w:hAnsi="Times New Roman"/>
          <w:sz w:val="20"/>
        </w:rPr>
        <w:t xml:space="preserve"> that, so long as any shares of Series F Preferred Stock are outstanding, the Company shall not, without the approval of the holders of a majority of the then outstanding shares of Series F Preferred Stock, voting as a separate series (the </w:t>
      </w:r>
      <w:r>
        <w:rPr>
          <w:rFonts w:ascii="Times New Roman" w:hAnsi="Times New Roman"/>
          <w:sz w:val="20"/>
          <w:u w:val="single"/>
        </w:rPr>
        <w:t>Series F Majority</w:t>
      </w:r>
      <w:r>
        <w:rPr>
          <w:rFonts w:ascii="Times New Roman" w:hAnsi="Times New Roman"/>
          <w:sz w:val="20"/>
        </w:rPr>
        <w:t xml:space="preserve">), enter into any Liquidation Event where the proceeds per share of Series F Preferred Stock the holders of Series F Preferred Stock are entitled to receive pursuant to this Article IV.B.2 are less than two (2) times the Series F Initial Purchase Price; and </w:t>
      </w:r>
      <w:r>
        <w:rPr>
          <w:rFonts w:ascii="Times New Roman" w:hAnsi="Times New Roman"/>
          <w:sz w:val="20"/>
          <w:u w:val="single"/>
        </w:rPr>
        <w:t>provided further</w:t>
      </w:r>
      <w:r>
        <w:rPr>
          <w:rFonts w:ascii="Times New Roman" w:hAnsi="Times New Roman"/>
          <w:sz w:val="20"/>
        </w:rPr>
        <w:t>, that, so long as any shares of Series E Preferred Stock are outstanding, the Company shall not, without the approval of the holders of a majority of the then outstanding shares of Series E Preferred Stock, voting as a separate series (the </w:t>
      </w:r>
      <w:r>
        <w:rPr>
          <w:rFonts w:ascii="Times New Roman" w:hAnsi="Times New Roman"/>
          <w:sz w:val="20"/>
          <w:u w:val="single"/>
        </w:rPr>
        <w:t>Series E Majority</w:t>
      </w:r>
      <w:r>
        <w:rPr>
          <w:rFonts w:ascii="Times New Roman" w:hAnsi="Times New Roman"/>
          <w:sz w:val="20"/>
        </w:rPr>
        <w:t xml:space="preserve">), enter into any Liquidation Event where the proceeds per share of Series E Preferred Stock the holders of Series E Preferred Stock are entitled to receive pursuant to this Article IV.B.2 are less than two and a half (2.5) times the Series E Initial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any time following the fifth anniversary date of July 28, 2023 (the </w:t>
      </w:r>
      <w:r>
        <w:rPr>
          <w:rFonts w:ascii="Times New Roman" w:hAnsi="Times New Roman"/>
          <w:sz w:val="20"/>
          <w:u w:val="single"/>
        </w:rPr>
        <w:t>Series F Original Issue Date</w:t>
      </w:r>
      <w:r>
        <w:rPr>
          <w:rFonts w:ascii="Times New Roman" w:hAnsi="Times New Roman"/>
          <w:sz w:val="20"/>
        </w:rPr>
        <w:t>), if requested in writing by holders of a majority of the then-outstanding shares of Series A-1 Preferred Stock, this Corporation shall, to the extent not prohibited by Delaware law governing distributions to stockholders, redeem all of the outstanding Series A-1 Preferred Stock sixty (60) days following the date of such written request (the </w:t>
      </w:r>
      <w:r>
        <w:rPr>
          <w:rFonts w:ascii="Times New Roman" w:hAnsi="Times New Roman"/>
          <w:sz w:val="20"/>
          <w:u w:val="single"/>
        </w:rPr>
        <w:t>Series A-1 Redemption Date</w:t>
      </w:r>
      <w:r>
        <w:rPr>
          <w:rFonts w:ascii="Times New Roman" w:hAnsi="Times New Roman"/>
          <w:sz w:val="20"/>
        </w:rPr>
        <w:t>). This Corporation shall effect such redemptions on the Series A-1 Redemption Date by paying in cash in exchange for the shares of Series A-1 Preferred Stock to be redeemed an amount equal to: the Series A-1 Initial Purchase Price per share of Series A-1 Preferred Stock (as adjusted for any stock dividends, combinations, splits, recapitalizations and the like with respect to such shares), plus any and all declared but unpaid dividends with respect to such shares of Series A-1 Preferred Stock (collectively, the </w:t>
      </w:r>
      <w:r>
        <w:rPr>
          <w:rFonts w:ascii="Times New Roman" w:hAnsi="Times New Roman"/>
          <w:sz w:val="20"/>
          <w:u w:val="single"/>
        </w:rPr>
        <w:t>Series A-1 Redemption Price</w:t>
      </w:r>
      <w:r>
        <w:rPr>
          <w:rFonts w:ascii="Times New Roman" w:hAnsi="Times New Roman"/>
          <w:sz w:val="20"/>
        </w:rPr>
        <w:t>). The number of shares redeemable pursuant to this Article IV.B.3(a) shall be limited to (y) the number that may be redeemed with the then-maximum amount of funds to the extent not prohibited by Delaware law governing distributions to stockholders (the </w:t>
      </w:r>
      <w:r>
        <w:rPr>
          <w:rFonts w:ascii="Times New Roman" w:hAnsi="Times New Roman"/>
          <w:sz w:val="20"/>
          <w:u w:val="single"/>
        </w:rPr>
        <w:t>Legally Available Funds</w:t>
      </w:r>
      <w:r>
        <w:rPr>
          <w:rFonts w:ascii="Times New Roman" w:hAnsi="Times New Roman"/>
          <w:sz w:val="20"/>
        </w:rPr>
        <w:t xml:space="preserve">); and (z) any further restrictions pursuant to Article IV.B.3(g).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At any time following the fifth anniversary date of the Series F Original Issue Date, if requested in writing by holders of a majority of the then-outstanding shares of Series B Preferred Stock, this Corporation shall, to the extent not prohibited by Delaware law governing distributions to stockholders, redeem all of the outstanding Series B Preferred Stock sixty (60) days following the date of such written request (the </w:t>
      </w:r>
      <w:r>
        <w:rPr>
          <w:rFonts w:ascii="Times New Roman" w:hAnsi="Times New Roman"/>
          <w:sz w:val="20"/>
          <w:u w:val="single"/>
        </w:rPr>
        <w:t>Series B Redemption Date</w:t>
      </w:r>
      <w:r>
        <w:rPr>
          <w:rFonts w:ascii="Times New Roman" w:hAnsi="Times New Roman"/>
          <w:sz w:val="20"/>
        </w:rPr>
        <w:t>). This Corporation shall effect such redemptions on the Series B Redemption Date by paying in cash in exchange for the shares of Series B Preferred Stock to be redeemed an amount equal to the Series B Initial Purchase Price per share of Series B Preferred Stock (as adjusted for any stock dividends, combinations, splits, recapitalizations and the like with respect to such shares), plus any and all declared but unpaid dividends with respect to such shares of Series B Preferred Stock (collectively, the </w:t>
      </w:r>
      <w:r>
        <w:rPr>
          <w:rFonts w:ascii="Times New Roman" w:hAnsi="Times New Roman"/>
          <w:sz w:val="20"/>
          <w:u w:val="single"/>
        </w:rPr>
        <w:t>Series B Redemption Price</w:t>
      </w:r>
      <w:r>
        <w:rPr>
          <w:rFonts w:ascii="Times New Roman" w:hAnsi="Times New Roman"/>
          <w:sz w:val="20"/>
        </w:rPr>
        <w:t xml:space="preserve">). The number of shares redeemable pursuant to this Article IV.B.3(b) shall be limited to (x) the number that may be redeemed with the Legally Available Funds; and (y) any further restrictions pursuant to Article IV.B.3(g). </w:t>
      </w:r>
    </w:p>
    <w:p>
      <w:pPr>
        <w:pStyle w:val="TextBody"/>
        <w:bidi w:val="0"/>
        <w:spacing w:before="240" w:after="0"/>
        <w:jc w:val="left"/>
        <w:rPr>
          <w:rFonts w:ascii="Times New Roman" w:hAnsi="Times New Roman"/>
          <w:sz w:val="20"/>
        </w:rPr>
      </w:pPr>
      <w:r>
        <w:rPr>
          <w:rFonts w:ascii="Times New Roman" w:hAnsi="Times New Roman"/>
          <w:sz w:val="20"/>
        </w:rPr>
        <w:t>(c) At any time following the fifth anniversary date of the Series F Original Issue Date, if requested in writing by holders of at least 66.67% of the then-outstanding shares of Series C Preferred Stock, this Corporation shall, to the extent not prohibited by Delaware law governing distributions to stockholders, redeem all of the outstanding Series C Preferred Stock sixty (60) days following the date of such written request (the </w:t>
      </w:r>
      <w:r>
        <w:rPr>
          <w:rFonts w:ascii="Times New Roman" w:hAnsi="Times New Roman"/>
          <w:sz w:val="20"/>
          <w:u w:val="single"/>
        </w:rPr>
        <w:t>Series C Redemption Date</w:t>
      </w:r>
      <w:r>
        <w:rPr>
          <w:rFonts w:ascii="Times New Roman" w:hAnsi="Times New Roman"/>
          <w:sz w:val="20"/>
        </w:rPr>
        <w:t>). This Corporation shall effect such redemptions on the Series C Redemption Date by paying in cash in exchange for the shares of Series C Preferred Stock to be redeemed (other than those holders of Series C Preferred Stock that affirmatively choose to not participate in such redemption) an amount equal to: the Series C Initial Purchase Price per share of Series C Preferred Stock (as adjusted for any stock dividends, combinations, splits, recapitalizations and the like with respect to such shares), plus any and all declared but unpaid dividends with respect to such shares of Series C Preferred Stock (collectively, the </w:t>
      </w:r>
      <w:r>
        <w:rPr>
          <w:rFonts w:ascii="Times New Roman" w:hAnsi="Times New Roman"/>
          <w:sz w:val="20"/>
          <w:u w:val="single"/>
        </w:rPr>
        <w:t>Series C Redemption Price</w:t>
      </w:r>
      <w:r>
        <w:rPr>
          <w:rFonts w:ascii="Times New Roman" w:hAnsi="Times New Roman"/>
          <w:sz w:val="20"/>
        </w:rPr>
        <w:t xml:space="preserve">). The number of shares redeemable pursuant to this Article IV.B.3(c) shall be limited to (y) the number that may be redeemed with the Legally Available Funds; and (z) any further restrictions pursuant to Article IV.B.3(g). </w:t>
      </w:r>
    </w:p>
    <w:p>
      <w:pPr>
        <w:pStyle w:val="TextBody"/>
        <w:bidi w:val="0"/>
        <w:spacing w:before="240" w:after="0"/>
        <w:jc w:val="left"/>
        <w:rPr>
          <w:rFonts w:ascii="Times New Roman" w:hAnsi="Times New Roman"/>
          <w:sz w:val="20"/>
        </w:rPr>
      </w:pPr>
      <w:r>
        <w:rPr>
          <w:rFonts w:ascii="Times New Roman" w:hAnsi="Times New Roman"/>
          <w:sz w:val="20"/>
        </w:rPr>
        <w:t>(d) At any time following the fifth anniversary date of the Series F Original Issue Date, if requested in writing by holders of a majority of the then-outstanding shares of Series D Preferred Stock, this Corporation shall, to the extent not prohibited by Delaware law governing distributions to stockholders, redeem all of the outstanding Series D Preferred Stock sixty (60) days following the date of such written request (the </w:t>
      </w:r>
      <w:r>
        <w:rPr>
          <w:rFonts w:ascii="Times New Roman" w:hAnsi="Times New Roman"/>
          <w:sz w:val="20"/>
          <w:u w:val="single"/>
        </w:rPr>
        <w:t>Series D Redemption Date</w:t>
      </w:r>
      <w:r>
        <w:rPr>
          <w:rFonts w:ascii="Times New Roman" w:hAnsi="Times New Roman"/>
          <w:sz w:val="20"/>
        </w:rPr>
        <w:t>). This Corporation shall effect such redemptions on the Series D Redemption Date by paying in cash in exchange for the shares of Series D Preferred Stock to be redeemed (other than those holders of Series D Preferred Stock that affirmatively choose to not participate in such redemption) an amount equal to: the Series D Initial Purchase Price per share of Series D Preferred Stock (as adjusted for any stock dividends, combinations, splits, recapitalizations and the like with respect to such shares), plus any and all declared but unpaid dividends with respect to such shares of Series D Preferred Stock (collectively, the </w:t>
      </w:r>
      <w:r>
        <w:rPr>
          <w:rFonts w:ascii="Times New Roman" w:hAnsi="Times New Roman"/>
          <w:sz w:val="20"/>
          <w:u w:val="single"/>
        </w:rPr>
        <w:t>Series D Redemption Price</w:t>
      </w:r>
      <w:r>
        <w:rPr>
          <w:rFonts w:ascii="Times New Roman" w:hAnsi="Times New Roman"/>
          <w:sz w:val="20"/>
        </w:rPr>
        <w:t xml:space="preserve">). The number of shares redeemable pursuant to this Article IV.B.3(d) shall be limited to (y) the number that may be redeemed with the Legally Available Funds; and (z) any further restrictions pursuant to Article IV.B.3(g).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At any time following the fifth anniversary date of the Series F Original Issue Date, if requested in writing by the Series E Majority, this Corporation shall, to the extent not prohibited by Delaware law governing distributions to stockholders, redeem all of the outstanding Series E Preferred Stock (other than the Series E Preferred Stock held by holders that affirmatively choose to not participate in such redemption) sixty (60) days following the date of such written request (the </w:t>
      </w:r>
      <w:r>
        <w:rPr>
          <w:rFonts w:ascii="Times New Roman" w:hAnsi="Times New Roman"/>
          <w:sz w:val="20"/>
          <w:u w:val="single"/>
        </w:rPr>
        <w:t>Series E Redemption Date</w:t>
      </w:r>
      <w:r>
        <w:rPr>
          <w:rFonts w:ascii="Times New Roman" w:hAnsi="Times New Roman"/>
          <w:sz w:val="20"/>
        </w:rPr>
        <w:t>). This Corporation shall effect such redemptions on the Series E Redemption Date by paying in cash in exchange for the shares of Series E Preferred Stock to be redeemed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(collectively, the </w:t>
      </w:r>
      <w:r>
        <w:rPr>
          <w:rFonts w:ascii="Times New Roman" w:hAnsi="Times New Roman"/>
          <w:sz w:val="20"/>
          <w:u w:val="single"/>
        </w:rPr>
        <w:t>Series E Redemption Price</w:t>
      </w:r>
      <w:r>
        <w:rPr>
          <w:rFonts w:ascii="Times New Roman" w:hAnsi="Times New Roman"/>
          <w:sz w:val="20"/>
        </w:rPr>
        <w:t xml:space="preserve">). The number of shares redeemable pursuant to this Article IV.B.3(e) shall be limited to (y) the number that may be redeemed with the Legally Available Funds; and (z) any further restrictions pursuant to Article IV.B.3(g). </w:t>
      </w:r>
    </w:p>
    <w:p>
      <w:pPr>
        <w:pStyle w:val="TextBody"/>
        <w:bidi w:val="0"/>
        <w:spacing w:before="240" w:after="0"/>
        <w:jc w:val="left"/>
        <w:rPr>
          <w:rFonts w:ascii="Times New Roman" w:hAnsi="Times New Roman"/>
          <w:sz w:val="20"/>
        </w:rPr>
      </w:pPr>
      <w:r>
        <w:rPr>
          <w:rFonts w:ascii="Times New Roman" w:hAnsi="Times New Roman"/>
          <w:sz w:val="20"/>
        </w:rPr>
        <w:t>(f) At any time following the fifth anniversary date of the Series F Original Issue Date, if requested in writing by the Series F Majority, this Corporation shall, to the extent not prohibited by Delaware law governing distributions to stockholders, redeem all of the outstanding Series F Preferred Stock (other than the Series F Preferred Stock held by holders that affirmatively choose to not participate in such redemption) sixty (60) days following the date of such written request (the </w:t>
      </w:r>
      <w:r>
        <w:rPr>
          <w:rFonts w:ascii="Times New Roman" w:hAnsi="Times New Roman"/>
          <w:sz w:val="20"/>
          <w:u w:val="single"/>
        </w:rPr>
        <w:t>Series F Redemption Date</w:t>
      </w:r>
      <w:r>
        <w:rPr>
          <w:rFonts w:ascii="Times New Roman" w:hAnsi="Times New Roman"/>
          <w:sz w:val="20"/>
        </w:rPr>
        <w:t>). This Corporation shall effect such redemptions on the Series F Redemption Date by paying in cash in exchange for the shares of Series F Preferred Stock to be redeemed an amount equal to: the Series F Initial Purchase Price per share (as adjusted for any stock dividends, combinations, splits, recapitalizations and the like with respect to such shares), plus any and all declared but unpaid dividends with respect to such shares of Series F Preferred Stock (collectively, the </w:t>
      </w:r>
      <w:r>
        <w:rPr>
          <w:rFonts w:ascii="Times New Roman" w:hAnsi="Times New Roman"/>
          <w:sz w:val="20"/>
          <w:u w:val="single"/>
        </w:rPr>
        <w:t>Series F Redemption Price</w:t>
      </w:r>
      <w:r>
        <w:rPr>
          <w:rFonts w:ascii="Times New Roman" w:hAnsi="Times New Roman"/>
          <w:sz w:val="20"/>
        </w:rPr>
        <w:t>). The number of shares redeemable pursuant to this Article IV.B.3(f) shall be limited to (y) the number that may be redeemed with the Legally Available Funds; and (z) any further restrictions pursuant to Article IV.B.3(g). The Series A-1 Redemption Price, the Series B Redemption Price, the Series C Redemption Price, the Series D Redemption Price, the Series E Redemption Price and the Series F Redemption Price shall be referred to hereinafter as a </w:t>
      </w:r>
      <w:r>
        <w:rPr>
          <w:rFonts w:ascii="Times New Roman" w:hAnsi="Times New Roman"/>
          <w:sz w:val="20"/>
          <w:u w:val="single"/>
        </w:rPr>
        <w:t>Redemption Price</w:t>
      </w:r>
      <w:r>
        <w:rPr>
          <w:rFonts w:ascii="Times New Roman" w:hAnsi="Times New Roman"/>
          <w:sz w:val="20"/>
        </w:rPr>
        <w:t xml:space="preserve"> for their applicable shares of Preferred Stock. </w:t>
      </w:r>
    </w:p>
    <w:p>
      <w:pPr>
        <w:pStyle w:val="TextBody"/>
        <w:bidi w:val="0"/>
        <w:spacing w:before="240" w:after="0"/>
        <w:jc w:val="left"/>
        <w:rPr>
          <w:rFonts w:ascii="Times New Roman" w:hAnsi="Times New Roman"/>
          <w:sz w:val="20"/>
        </w:rPr>
      </w:pPr>
      <w:r>
        <w:rPr>
          <w:rFonts w:ascii="Times New Roman" w:hAnsi="Times New Roman"/>
          <w:sz w:val="20"/>
        </w:rPr>
        <w:t>(g) Should the Legally Available Funds be an amount less than the amount necessary to effect a redemption as requested pursuant to Article IV.B.3(a), Article IV.B.3(b), Article IV.B.3(c), Article IV.B.3(d), Article IV.B.3(e), Article IV.B.3(f), or any of the foregoing (should more than one redemption be requested simultaneously, pursuant to Article IV.B.3(h)), up to two separate redemptions (each, a </w:t>
      </w:r>
      <w:r>
        <w:rPr>
          <w:rFonts w:ascii="Times New Roman" w:hAnsi="Times New Roman"/>
          <w:sz w:val="20"/>
          <w:u w:val="single"/>
        </w:rPr>
        <w:t>Senior Redemption</w:t>
      </w:r>
      <w:r>
        <w:rPr>
          <w:rFonts w:ascii="Times New Roman" w:hAnsi="Times New Roman"/>
          <w:sz w:val="20"/>
        </w:rPr>
        <w:t>) shall be effected in accordance with this Article IV.B.3(g) prior to a single, partial redemption (a </w:t>
      </w:r>
      <w:r>
        <w:rPr>
          <w:rFonts w:ascii="Times New Roman" w:hAnsi="Times New Roman"/>
          <w:sz w:val="20"/>
          <w:u w:val="single"/>
        </w:rPr>
        <w:t>Partial Redemption</w:t>
      </w:r>
      <w:r>
        <w:rPr>
          <w:rFonts w:ascii="Times New Roman" w:hAnsi="Times New Roman"/>
          <w:sz w:val="20"/>
        </w:rPr>
        <w:t xml:space="preserve">). First, a Senior Redemption shall be paid by this Corporation to redeem shares from the holders of the Series F Preferred Stock ratably in proportion to the aggregate Redemption Price that would be payable to each holder of the Series F Preferred Stock. After the full Redemption Price of the Series F Preferred Stock has been paid, a second Senior Redemption shall be paid to the holders of the Series E Preferred Stock ratably in proportion to the aggregate Redemption Price that would be payable to each holder of the Series E Preferred Stock. After the full Redemption Price of the Series F Preferred Stock and Series E Preferred Stock to be redeemed has been paid, a Partial Redemption shall be paid by this Corporation, such that each Eligible Redeemer (as defined below) shall be able to redeem only its Redeemable Shares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Subject to Article IV.B.3(g), an </w:t>
      </w:r>
      <w:r>
        <w:rPr>
          <w:rFonts w:ascii="Times New Roman" w:hAnsi="Times New Roman"/>
          <w:sz w:val="20"/>
          <w:u w:val="single"/>
        </w:rPr>
        <w:t>Eligible Redeemer</w:t>
      </w:r>
      <w:r>
        <w:rPr>
          <w:rFonts w:ascii="Times New Roman" w:hAnsi="Times New Roman"/>
          <w:sz w:val="20"/>
        </w:rPr>
        <w:t xml:space="preserve"> shall be any holder of shares of Preferred Stock from whom this Corporation has received a request for redemption under this Article IV.B.3. Notwithstanding anything to the contrary in this Article IV.B.3, however, in the event any holder of shares of Preferred Stock, regardless of the Series A-1 Redemption Date, the Series B Redemption Date, the Series C Redemption Date, the Series D Redemption Date, the Series E Redemption Date or the Series F Redemption Date, receives a Redemption Notice (as defined in Article IV.B.3(h)), which states that this Corporation shall effect a Partial Redemption in accordance with this Article IV.B.3(g), such holder may become an Eligible Redeemer, only if this Corporation receives written notice that such holder of shares of Preferred Stock also requests redemption of its shares of Preferred Stock such that its request is deemed a Simultaneous Redemption under Article IV.B.3(h).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Redeemable Shares</w:t>
      </w:r>
      <w:r>
        <w:rPr>
          <w:rFonts w:ascii="Times New Roman" w:hAnsi="Times New Roman"/>
          <w:sz w:val="20"/>
        </w:rPr>
        <w:t> shall be a certain amount of shares of Preferred Stock that is less than the total number of shares of Series A-1 Preferred Stock, Series B Preferred Stock, Series C Preferred Stock and Series D Preferred Stock requested to be redeemed by an Eligible Redeemer in accordance with Article IV.3(g) (the </w:t>
      </w:r>
      <w:r>
        <w:rPr>
          <w:rFonts w:ascii="Times New Roman" w:hAnsi="Times New Roman"/>
          <w:sz w:val="20"/>
          <w:u w:val="single"/>
        </w:rPr>
        <w:t>Total Requested Shares</w:t>
      </w:r>
      <w:r>
        <w:rPr>
          <w:rFonts w:ascii="Times New Roman" w:hAnsi="Times New Roman"/>
          <w:sz w:val="20"/>
        </w:rPr>
        <w:t>). The Redeemable Shares for each Eligible Redeemer shall be determined in good faith by this Corporation by first multiplying the Legally Available Funds by a fraction: the numerator of which is the Total Requested Shares held by such Eligible Redeemer on an as-converted to Common Stock basis, and the denominator of which is the sum of all Total Requested Shares of all Eligible Redeemers under the Redemption Notice, on an as-converted to Common Stock basis (such figure shall be referred to herein as the </w:t>
      </w:r>
      <w:r>
        <w:rPr>
          <w:rFonts w:ascii="Times New Roman" w:hAnsi="Times New Roman"/>
          <w:sz w:val="20"/>
          <w:u w:val="single"/>
        </w:rPr>
        <w:t>Maximum Payout Proportion</w:t>
      </w:r>
      <w:r>
        <w:rPr>
          <w:rFonts w:ascii="Times New Roman" w:hAnsi="Times New Roman"/>
          <w:sz w:val="20"/>
        </w:rPr>
        <w:t xml:space="preserve">). The Redeemable Shares shall be those shares of Series A-1 Preferred Stock, Series B Preferred Stock, Series C Preferred Stock and Series D Preferred Stock out of the Total Requested Shares that may be redeemed without exceeding the Maximum Payout Proportion. Redeemable Shares may only be a whole number of shares, and may consist of shares of multiple series of Preferred Stock, should the Total Requested Shares comprise more than one series of Preferred Stock. </w:t>
      </w:r>
    </w:p>
    <w:p>
      <w:pPr>
        <w:pStyle w:val="TextBody"/>
        <w:bidi w:val="0"/>
        <w:spacing w:before="240" w:after="0"/>
        <w:jc w:val="left"/>
        <w:rPr>
          <w:rFonts w:ascii="Times New Roman" w:hAnsi="Times New Roman"/>
          <w:sz w:val="20"/>
        </w:rPr>
      </w:pPr>
      <w:r>
        <w:rPr>
          <w:rFonts w:ascii="Times New Roman" w:hAnsi="Times New Roman"/>
          <w:sz w:val="20"/>
        </w:rPr>
        <w:t>(h) Within ten (10) calendar days of receiving a redemption request contemplated by Article IV.B.3(a), Article IV.B.3(b), Article IV.B.3(c), Article IV.B.3(d), Article IV.B.3(e) or Article IV.B.3(f), this Corporation shall send a notice (a </w:t>
      </w:r>
      <w:r>
        <w:rPr>
          <w:rFonts w:ascii="Times New Roman" w:hAnsi="Times New Roman"/>
          <w:sz w:val="20"/>
          <w:u w:val="single"/>
        </w:rPr>
        <w:t>Redemption Notice</w:t>
      </w:r>
      <w:r>
        <w:rPr>
          <w:rFonts w:ascii="Times New Roman" w:hAnsi="Times New Roman"/>
          <w:sz w:val="20"/>
        </w:rPr>
        <w:t>) to all holders of shares of Preferred Stock setting forth: (i) which series (or sub-series, as applicable) of Preferred Stock requested a redemption and the number of shares of subject to such redemption; (ii) the then-current Redemption Price for such series (or sub-series, as applicable) of Preferred Stock to be redeemed; (iii) the place at which the applicable holders may obtain payment of such Redemption Price upon surrender of their share certificates; and (iv) what provisions of Article IV.B.3(g), if any, apply. Any additional requests for redemption, pursuant to any provision of Article IV.B.3, received by this Corporation within ten (10) calendar days of the date of a Redemption Notice shall be grouped together as a single request, such that all such requests shall be deemed to have been made simultaneously with the redemption request that triggered the original Redemption Notice (a </w:t>
      </w:r>
      <w:r>
        <w:rPr>
          <w:rFonts w:ascii="Times New Roman" w:hAnsi="Times New Roman"/>
          <w:sz w:val="20"/>
          <w:u w:val="single"/>
        </w:rPr>
        <w:t>Simultaneous Redemption</w:t>
      </w:r>
      <w:r>
        <w:rPr>
          <w:rFonts w:ascii="Times New Roman" w:hAnsi="Times New Roman"/>
          <w:sz w:val="20"/>
        </w:rPr>
        <w:t xml:space="preserve">), and the original Redemption Notice shall be promptly amended and restated and sent to all holders of shares of Preferred Stock in order to notify them of such Simultaneous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there has been a failure for any reason in payment of the Series F Redemption Price on the Series F Redemption Date, notwithstanding anything herein to the contrary, the Series F Redemption Price shall be automatically increased at the rate of 8% of the Series F Initial Purchase Price per annum on each outstanding share of Series F Preferred Stock, compounding from the Series F Redemption Date until the date that the Series F Redemption Price is paid in full. If there has been a failure for any reason in payment of the Series E Redemption Price on the Series E Redemption Date, notwithstanding anything herein to the contrary, the Series E Redemption Price shall be automatically increased at the rate of 8% of the Series E Initial Purchase Price per annum on each outstanding share of Series E Preferred Stock, compounding from the Series E Redemption Date until the date that the Series E Redemption Price is paid in full. If there has been a failure for any reason in payment of the Series D Redemption Price on the Series D Redemption Date, notwithstanding anything herein to the contrary, the Series D Redemption Price shall be automatically increased at the rate of 8% of the Series D Initial Purchase Price per annum on each outstanding share of Series D Preferred Stock, compounding from the Series D Redemption Date until the date that the Series D Redemption Price is paid in full. If there has been a failure for any reason in payment of the Series C Redemption Price on the Series C Redemption Date, notwithstanding anything herein to the contrary, the Series C Redemption Price shall be automatically increased at the rate of 8% of the Series C Initial Purchase Price per annum on each outstanding share of Series C Preferred Stock, compounding from the Series C Redemption Date until the date that the Series C Redemption Price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(j) On or prior to the Series A-1 Redemption Date, the Series B Redemption Date, the Series C Redemption Date, the Series D Redemption Date, the Series E Redemption Date or the Series F Redemption Date, as the case may be, this Corporation shall deposit the appropriate Redemption Price of all shares of Preferred Stock to be redeemed with a bank or trust company having aggregate capital and surplus in excess of $100,000,000, as a trust fund, with irrevocable instructions and authority to the bank or trust company to pay, on and after the Series A-1 Redemption Date, Series B Redemption Date, Series C Redemption Date, Series D Redemption Date, Series E Redemption Date or the Series F Redemption Date, as the case may be, such Redemption Price of the shares to their respective holders upon the surrender of their share certificates (or, if such holder alleges that such certificate or certificates have been lost, stolen or destroyed, a lost certificate affidavit and agreement reasonably acceptable to this Corporation to indemnify this Corporation against any claim that may be made against this Corporation on account of the alleged loss, theft or destruction of such certificate). Any funds deposited by this Corporation pursuant to this Article IV.B.3(j) for the redemption of shares of Preferred Stock thereafter converted into shares of Common Stock pursuant to Article IV.B.4 hereof shall be returned to this Corporation forthwith upon such conversion. The balance of any funds deposited by this Corporation pursuant to this Article IV.B.3(j) remaining unclaimed at the expiration of one (1) year following the date this Corporation first deposited the funds shall be returned to this Corporation promptly upon its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provisions of Article IV.B.3(g), on or after the Series A-1 Redemption Date, Series B Redemption Date, Series C Redemption Date, Series D Redemption Date, Series E Redemption Date or Series F Redemption Date, as the case may be, each holder of shares of Preferred Stock to be redeemed shall surrender such holders certificates representing such shares to this Corporation in the manner and at the place designated in the Redemption Notice, and thereupon the appropriate Redemption Price of such shares shall be payable to the order of the person whose name appears on such certificate or certificates as the owner thereof and each surrendered certificate shall be canceled. In the event less than all the shares of Preferred Stock represented by such certificates are redeemed, a new certificate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representing the unredeemed shares of Preferred Stock. From and after the Series A-1 Redemption Date, Series B Redemption Date, Series C Redemption Date, Series D Redemption Date, Series E Redemption Date or Series F Redemption Date, as the case may be, unless there shall have been a failure in payment for any reason of the appropriate Redemption Price or this Corporation is unable to pay such Redemption Price due to not having sufficient Legally Available Funds, all rights of the holder of such shares as holder of Preferred Stock (except the right to receive the Redemption Price upon surrender of their certificates), shall cease and terminate with respect to such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shares of Preferred Stock are not redeemed for the Redemption Price in accordance with this Article IV.B.3 (including Article IV.B.3(i)), such shares of Preferred Stock shall remain outstanding and shall be entitled to all of the rights and preferences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The holders of the Preferred Stock shall have conversion rights as follows (the </w:t>
      </w:r>
      <w:r>
        <w:rPr>
          <w:rFonts w:ascii="Times New Roman" w:hAnsi="Times New Roman"/>
          <w:sz w:val="20"/>
          <w:u w:val="single"/>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Conversion</w:t>
      </w:r>
      <w:r>
        <w:rPr>
          <w:rFonts w:ascii="Times New Roman" w:hAnsi="Times New Roman"/>
          <w:sz w:val="20"/>
        </w:rPr>
        <w:t>. Subject to and in compliance with the provisions of this Article IV.B.4, any shares of Preferred Stock may, at the option of the holder, be converted at any time into fully paid and nonassessable shares of Common Stock. The number of shares of Common Stock to which a holder of Series F Preferred Stock, Series E Preferred Stock, Series D Preferred Stock, Series C Preferred Stock, Series B Preferred Stock or Series A-1 Preferred Stock shall be entitled upon conversion shall be the product obtained by multiplying the Series F Conversion Rate, Series E Conversion Rate, Series D Conversion Rate, Series C Conversion Rate, Series B Conversion Rate or Series A-1 Conversion Rate (each as defined in and determined as provided in Article IV.B.4(c) and collectively, as applicable, the </w:t>
      </w:r>
      <w:r>
        <w:rPr>
          <w:rFonts w:ascii="Times New Roman" w:hAnsi="Times New Roman"/>
          <w:sz w:val="20"/>
          <w:u w:val="single"/>
        </w:rPr>
        <w:t>Conversion Rate</w:t>
      </w:r>
      <w:r>
        <w:rPr>
          <w:rFonts w:ascii="Times New Roman" w:hAnsi="Times New Roman"/>
          <w:sz w:val="20"/>
        </w:rPr>
        <w:t xml:space="preserve">), as applicable, then in effect, by the number of shares of Series F Preferred Stock, Series E Preferred Stock, Series D Preferred Stock, Series C Preferred Stock, Series B Preferred Stock or Series A-1 Preferred Stock being converted.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Preferred Stock who desires to convert shares into shares of Common Stock pursuant to this Article IV.B.4(a) shall surrender the certificate or certificates representing the shares being converted (or, if such holder alleges that such certificate or certificates have been lost, stolen or destroyed, a lost certificate affidavit and agreement reasonably acceptable to this Corporation to indemnify this Corporation against any claim that may be made against this Corporation on account of the alleged loss, theft or destruction of such certificate), duly endorsed, at the office of this Corporation or any transfer agent for such shares and shall give written notice to this Corporation at such office that such holder elects to convert such shares. Such notice shall state the number of shares of Preferred Stock being converted and, optionally, the preferred form of payment of declared and unpaid dividends. Thereupon, this Corporation shall promptly issue and deliver at such office to such holder a certificate or certificates for the number of shares of Common Stock to which such holder is entitled and shall promptly pay in cash, or, at this Corporations option (unless otherwise indicated prior to conversion by the notice of conversion provided by such holder), in shares of Common Stock (at the Common Stocks fair market value determined in good faith by the Board of Directors as of the date of such conversion), any declared and unpaid dividends on the shares of Preferred Stock being converted.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purposes as the record holder of such shares of Common Stock on such date. The Requisite Holders shall have the right to challenge any determination by the Board of Directors of fair market value pursuant to this Article IV.B.4(a), in which case the determination of fair market value shall be made by an independent appraiser selected jointly by the Board of Directors and the challenging parties, the cost of such appraisal to be borne equally by the Corporation and the challenging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share of Preferred Stock shall automatically be converted into shares of Common Stock, based on the then-effective applicable Conversion Rate: (x) upon the closing of the sale of shares of Common Stock to the public at a price of at least $1.33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this Corporation (1) which results in at least $100,000,000 of gross proceeds to the Corporation and (2) in which the pre-money valuation of the Corporation immediately prior to such public offering is at least $700,000,000 (a </w:t>
      </w:r>
      <w:r>
        <w:rPr>
          <w:rFonts w:ascii="Times New Roman" w:hAnsi="Times New Roman"/>
          <w:sz w:val="20"/>
          <w:u w:val="single"/>
        </w:rPr>
        <w:t>QIPO</w:t>
      </w:r>
      <w:r>
        <w:rPr>
          <w:rFonts w:ascii="Times New Roman" w:hAnsi="Times New Roman"/>
          <w:sz w:val="20"/>
        </w:rPr>
        <w:t xml:space="preserve">) or (y) upon the written consent of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(ii) Upon the occurrence of an event giving rise to the conversion specified by Article IV.B.4(b)(i), the outstanding shares of Preferred Stock shall be converted automatically into shares of Common Stock without any further action by the holders of such shares and whether or not the certificates representing such shares are surrendered to this Corporation or its transfer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Corporation shall not be obligated to issue certificates evidencing the shares of Common Stock issuable upon such conversion unless the certificates evidencing such shares of Preferred Stock are either delivered to this Corporation or its transfer agent as provided below, or the holder notifies this Corporation or its transfer agent that such certificates have been lost, stolen or destroyed and executes an agreement reasonably satisfactory to this Corporation to indemnify this Corporation from any loss incurred by it in connection with such certificates. Upon the occurrence of such automatic conversion of any shares of Preferred Stock, this Corporation shall provide a notice of the automatic conversion to the holders of Preferred Stock, and the holders of such shares shall surrender the certificates representing such shares at the office of this Corporation or any transfer agent for such shares. Thereupon, there shall be issued and delivered to such holders promptly at such office and in the holders names as shown on such surrendered certificate or certificates, a certificate or certificates for the number of shares of Common Stock into which the shares of Preferred Stock were convertible on the date on which such automatic conversion occurred, and any declared and unpaid dividends shall be paid in accordance with the provisions of Article IV.B.4(a).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Rate</w:t>
      </w:r>
      <w:r>
        <w:rPr>
          <w:rFonts w:ascii="Times New Roman" w:hAnsi="Times New Roman"/>
          <w:sz w:val="20"/>
        </w:rPr>
        <w:t>. The conversion rate in effect at any time for conversion of each share of Series F Preferred Stock (the </w:t>
      </w:r>
      <w:r>
        <w:rPr>
          <w:rFonts w:ascii="Times New Roman" w:hAnsi="Times New Roman"/>
          <w:sz w:val="20"/>
          <w:u w:val="single"/>
        </w:rPr>
        <w:t>Series F Conversion Rate</w:t>
      </w:r>
      <w:r>
        <w:rPr>
          <w:rFonts w:ascii="Times New Roman" w:hAnsi="Times New Roman"/>
          <w:sz w:val="20"/>
        </w:rPr>
        <w:t>) shall be the quotient obtained by dividing the Series F Initial Purchase Price by the Series F Conversion Price (as defined in and calculated as provided in Article IV.B.4(d)). The conversion rate in effect at any time for conversion of each share of Series E Preferred Stock (the </w:t>
      </w:r>
      <w:r>
        <w:rPr>
          <w:rFonts w:ascii="Times New Roman" w:hAnsi="Times New Roman"/>
          <w:sz w:val="20"/>
          <w:u w:val="single"/>
        </w:rPr>
        <w:t>Series E Conversion Rate</w:t>
      </w:r>
      <w:r>
        <w:rPr>
          <w:rFonts w:ascii="Times New Roman" w:hAnsi="Times New Roman"/>
          <w:sz w:val="20"/>
        </w:rPr>
        <w:t xml:space="preserve">) shall be the quotient obtained by dividing the Series E Initial Purchase Price by the Series 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Conversion Price (as defined in and calculated as provided in Article IV.B.4(d)). The conversion rate in effect at any time for conversion of each share of Series D Preferred Stock (the </w:t>
      </w:r>
      <w:r>
        <w:rPr>
          <w:rFonts w:ascii="Times New Roman" w:hAnsi="Times New Roman"/>
          <w:sz w:val="20"/>
          <w:u w:val="single"/>
        </w:rPr>
        <w:t>Series D Conversion Rate</w:t>
      </w:r>
      <w:r>
        <w:rPr>
          <w:rFonts w:ascii="Times New Roman" w:hAnsi="Times New Roman"/>
          <w:sz w:val="20"/>
        </w:rPr>
        <w:t>) shall be the quotient obtained by dividing the Series D Initial Purchase Price by the Series D Conversion Price (as defined in and calculated as provided in Article IV.B.4(d)). The conversion rate in effect at any time for conversion of each share of Series C Preferred Stock (the </w:t>
      </w:r>
      <w:r>
        <w:rPr>
          <w:rFonts w:ascii="Times New Roman" w:hAnsi="Times New Roman"/>
          <w:sz w:val="20"/>
          <w:u w:val="single"/>
        </w:rPr>
        <w:t>Series C Conversion Rate</w:t>
      </w:r>
      <w:r>
        <w:rPr>
          <w:rFonts w:ascii="Times New Roman" w:hAnsi="Times New Roman"/>
          <w:sz w:val="20"/>
        </w:rPr>
        <w:t>) shall be the quotient obtained by dividing the Series C Initial Purchase Price by the Series C Conversion Price (as defined in and calculated as provided in Article IV.B.4(d)). The conversion rate in effect at any time for conversion of each share of Series B Preferred Stock (the </w:t>
      </w:r>
      <w:r>
        <w:rPr>
          <w:rFonts w:ascii="Times New Roman" w:hAnsi="Times New Roman"/>
          <w:sz w:val="20"/>
          <w:u w:val="single"/>
        </w:rPr>
        <w:t>Series B Conversion Rate</w:t>
      </w:r>
      <w:r>
        <w:rPr>
          <w:rFonts w:ascii="Times New Roman" w:hAnsi="Times New Roman"/>
          <w:sz w:val="20"/>
        </w:rPr>
        <w:t>) shall be the quotient obtained by dividing the Series B Initial Purchase Price by the Series B Conversion Price (as defined in and calculated as provided in Article IV.B.4(d)). The conversion rate in effect at any time for conversion of each share of Series A-1 Preferred Stock (the </w:t>
      </w:r>
      <w:r>
        <w:rPr>
          <w:rFonts w:ascii="Times New Roman" w:hAnsi="Times New Roman"/>
          <w:sz w:val="20"/>
          <w:u w:val="single"/>
        </w:rPr>
        <w:t>Series A-1 Conversion Rate</w:t>
      </w:r>
      <w:r>
        <w:rPr>
          <w:rFonts w:ascii="Times New Roman" w:hAnsi="Times New Roman"/>
          <w:sz w:val="20"/>
        </w:rPr>
        <w:t xml:space="preserve">) shall be the quotient obtained by dividing the Series A-1 Initial Purchase Price by the Series A-1 Conversion Price (as defined in and calculated as provided in Article IV.B.4(d)).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Price</w:t>
      </w:r>
      <w:r>
        <w:rPr>
          <w:rFonts w:ascii="Times New Roman" w:hAnsi="Times New Roman"/>
          <w:sz w:val="20"/>
        </w:rPr>
        <w:t>. The conversion price for the Series F Preferred Stock (the </w:t>
      </w:r>
      <w:r>
        <w:rPr>
          <w:rFonts w:ascii="Times New Roman" w:hAnsi="Times New Roman"/>
          <w:sz w:val="20"/>
          <w:u w:val="single"/>
        </w:rPr>
        <w:t>Series F Conversion Price</w:t>
      </w:r>
      <w:r>
        <w:rPr>
          <w:rFonts w:ascii="Times New Roman" w:hAnsi="Times New Roman"/>
          <w:sz w:val="20"/>
        </w:rPr>
        <w:t>) as of the date upon which this Restated Certificate of Incorporation is accepted for filing by the Secretary of State of the State of Delaware (the </w:t>
      </w:r>
      <w:r>
        <w:rPr>
          <w:rFonts w:ascii="Times New Roman" w:hAnsi="Times New Roman"/>
          <w:sz w:val="20"/>
          <w:u w:val="single"/>
        </w:rPr>
        <w:t>Filing Date</w:t>
      </w:r>
      <w:r>
        <w:rPr>
          <w:rFonts w:ascii="Times New Roman" w:hAnsi="Times New Roman"/>
          <w:sz w:val="20"/>
        </w:rPr>
        <w:t>) shall initially be the Series F Initial Purchase Price, the conversion price for the Series E Preferred Stock (the </w:t>
      </w:r>
      <w:r>
        <w:rPr>
          <w:rFonts w:ascii="Times New Roman" w:hAnsi="Times New Roman"/>
          <w:sz w:val="20"/>
          <w:u w:val="single"/>
        </w:rPr>
        <w:t>Series E Conversion Price</w:t>
      </w:r>
      <w:r>
        <w:rPr>
          <w:rFonts w:ascii="Times New Roman" w:hAnsi="Times New Roman"/>
          <w:sz w:val="20"/>
        </w:rPr>
        <w:t>) as of the Filing Date shall initially be the Series E Initial Purchase Price, the conversion price for the Series D Preferred Stock (the </w:t>
      </w:r>
      <w:r>
        <w:rPr>
          <w:rFonts w:ascii="Times New Roman" w:hAnsi="Times New Roman"/>
          <w:sz w:val="20"/>
          <w:u w:val="single"/>
        </w:rPr>
        <w:t>Series D Conversion Price</w:t>
      </w:r>
      <w:r>
        <w:rPr>
          <w:rFonts w:ascii="Times New Roman" w:hAnsi="Times New Roman"/>
          <w:sz w:val="20"/>
        </w:rPr>
        <w:t>) as of the Filing Date shall initially be the Series D Initial Purchase Price, the conversion price for the Series C Preferred Stock (the </w:t>
      </w:r>
      <w:r>
        <w:rPr>
          <w:rFonts w:ascii="Times New Roman" w:hAnsi="Times New Roman"/>
          <w:sz w:val="20"/>
          <w:u w:val="single"/>
        </w:rPr>
        <w:t>Series C Conversion Price</w:t>
      </w:r>
      <w:r>
        <w:rPr>
          <w:rFonts w:ascii="Times New Roman" w:hAnsi="Times New Roman"/>
          <w:sz w:val="20"/>
        </w:rPr>
        <w:t>) as of the Filing Date shall initially be the Series C Initial Purchase Price, the conversion price for the Series B Preferred Stock (the </w:t>
      </w:r>
      <w:r>
        <w:rPr>
          <w:rFonts w:ascii="Times New Roman" w:hAnsi="Times New Roman"/>
          <w:sz w:val="20"/>
          <w:u w:val="single"/>
        </w:rPr>
        <w:t>Series B Conversion Price</w:t>
      </w:r>
      <w:r>
        <w:rPr>
          <w:rFonts w:ascii="Times New Roman" w:hAnsi="Times New Roman"/>
          <w:sz w:val="20"/>
        </w:rPr>
        <w:t>) as of the Filing Date shall initially be the Series C Initial Purchase Price and the conversion price for the Series A-1 Preferred Stock (the </w:t>
      </w:r>
      <w:r>
        <w:rPr>
          <w:rFonts w:ascii="Times New Roman" w:hAnsi="Times New Roman"/>
          <w:sz w:val="20"/>
          <w:u w:val="single"/>
        </w:rPr>
        <w:t>Series A-1 Conversion Price</w:t>
      </w:r>
      <w:r>
        <w:rPr>
          <w:rFonts w:ascii="Times New Roman" w:hAnsi="Times New Roman"/>
          <w:sz w:val="20"/>
        </w:rPr>
        <w:t>) as of the Filing Date shall initially be the Series C Initial Purchase Price. The Series A-1 Conversion Price, the Series B Conversion Price, the Series C Conversion Price, the Series D Conversion Price, the Series E Conversion Price and the Series F Conversion Price shall be adjusted from time to time in accordance with this Article IV.B.4, and all references herein shall mean the Series F Conversion Price, Series E Conversion Price, Series D Conversion Price, Series C Conversion Price, Series B Conversion Price and Series A-1 Conversion Price as so adjusted (sometimes referred to hereinafter as the </w:t>
      </w:r>
      <w:r>
        <w:rPr>
          <w:rFonts w:ascii="Times New Roman" w:hAnsi="Times New Roman"/>
          <w:sz w:val="20"/>
          <w:u w:val="single"/>
        </w:rPr>
        <w:t>Conversion Price</w:t>
      </w:r>
      <w:r>
        <w:rPr>
          <w:rFonts w:ascii="Times New Roman" w:hAnsi="Times New Roman"/>
          <w:sz w:val="20"/>
        </w:rPr>
        <w:t xml:space="preserve"> of the applicable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Stock Splits and Combinations</w:t>
      </w:r>
      <w:r>
        <w:rPr>
          <w:rFonts w:ascii="Times New Roman" w:hAnsi="Times New Roman"/>
          <w:sz w:val="20"/>
        </w:rPr>
        <w:t xml:space="preserve">. If this Corporation shall, on or after the Filing Date, effect a subdivision of the outstanding Common Stock without a corresponding subdivision of the Series A-1 Preferred Stock, Series B Preferred Stock, Series C Preferred Stock, Series D Preferred Stock, Series E Preferred Stock or Series F Preferred Stock, then the applicable Conversion Price in effect for such series of Preferred Stock immediately before such respective subdivision shall be proportionately decreased. Conversely, if this Corporation shall at any time or from time to time after the Filing Date combine the outstanding shares of Common Stock into a lower number of shares without a corresponding combination of the Series A-1 Preferred Stock, Series B Preferred Stock, Series C Preferred Stock, Series D Preferred Stock, Series E Preferred Stock or Series F Preferred Stock, then the applicable Conversion Price in effect for such series of Preferred Stock immediately before such combination shall be proportionately increased. Any adjustment under this Article IV.B.4(e) shall become effective at the close of business on the date such subdivision or combination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 for Common Stock Dividends and Distributions</w:t>
      </w:r>
      <w:r>
        <w:rPr>
          <w:rFonts w:ascii="Times New Roman" w:hAnsi="Times New Roman"/>
          <w:sz w:val="20"/>
        </w:rPr>
        <w:t xml:space="preserve">. If this Corporation at any time or from time to time after the Filing Date makes, or fixes a record date for the determination of holders of Common Stock entitled to receive, a dividend or other distribution payable in shares of Common Stock, in each such event the applicable Conversion Price then in effect for shares of Preferred Stock shall be decreased as of the time of such issuance or, in the event such record date is fixed, as of the close of business on such record date, by multiplying the Conversion Price for such share of Preferred Stock then in effect by a fraction: (i) the numerator of which is the total number of shares of Common Stock issued and outstanding immediately prior to the time of such issuance or the close of business on such record date; and (ii) the denominator of which is the sum of (x) the total number of shares of Common Stock issued and outstanding immediately prior to the time of such issuance or the close of business on such record date, and (y) the number of shares of Common Stock issuable in payment of such dividend or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record date is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Article IV.B.4(f) to reflect the actual payment of such dividend or distribution;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adjustment shall be made if the holders of Preferred Stock simultaneously receive a dividend or other distribution of shares of Common Stock in a number equal to the number of shares of Common Stock as they would have received if all outstanding shares of such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for Other Dividends and Distributions</w:t>
      </w:r>
      <w:r>
        <w:rPr>
          <w:rFonts w:ascii="Times New Roman" w:hAnsi="Times New Roman"/>
          <w:sz w:val="20"/>
        </w:rPr>
        <w:t xml:space="preserve">. If this Corporation at any time or from time to time after the Filing Date makes or issues, or fixes a record date for the determination of holders of Common Stock entitled to receive, a dividend or other distribution payable in securities of this Corporation (other than a distribution of shares of Common Stock in respect of outstanding shares of Common Stock) or in other property and the provisions of Article IV.B.1 do not apply to such dividend or distribution, then and in each such event the holders of shares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Adjustment for Reclassification, Exchange and Substitution</w:t>
      </w:r>
      <w:r>
        <w:rPr>
          <w:rFonts w:ascii="Times New Roman" w:hAnsi="Times New Roman"/>
          <w:sz w:val="20"/>
        </w:rPr>
        <w:t xml:space="preserve">. If at any time or from time to time after the Filing Date the Common Stock issuable upon the conversion of any share of Preferred Stock is changed into the same or a different number of shares of any class or classes of stock, whether by recapitalization, reclassification or otherwise (other than an Acquisition or Asset Transfer, each as defined below, or a subdivision or combination of shares, stock dividend or reorganization, merger, consolidation or sale of assets provided for elsewhere in this Article IV.B.4), then in each such event, provision shall be made so that the holders of shares of Preferred Stock shall thereafter be entitled to receive, upon the conversion of such Preferred Stock, that number of shares of stock or other securities or property of this Corporation upon such recapitalization, reclassification or other change to which a holder of that number of shares of Common Stock deliverable upon conversion of such share of Preferred Stock would have been entitled as a result of such recapitalization, reclassification or other change, all subject to further adjustment as provided herein or with respect to such other securities or property by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Reorganizations, Mergers or Consolidations</w:t>
      </w:r>
      <w:r>
        <w:rPr>
          <w:rFonts w:ascii="Times New Roman" w:hAnsi="Times New Roman"/>
          <w:sz w:val="20"/>
        </w:rPr>
        <w:t xml:space="preserve">. If at any time or from time to time after the Filing Date there is a capital reorganization of the Common Stock or a merger or consolidation of this Corporation with or into another corporation or another entity or person (other than an Acquisition or Asset Transfer that is deemed a liquidation, or a subdivision or combination of shares, stock dividend or reorganization, merger, consolidation or sale of assets provided for elsewhere in this Article IV.B.4), then as a part of such capital reorganization, provision shall be made so that the holders of shares of Preferred Stock shall thereafter be entitled to receive, upon the conversion of such shares of Preferred Stock, that number of shares of stock or other securities or property of this Corporation to which a holder of that number of shares of Common Stock deliverable upon conversion of such Preferred Stock would have been entitled as a result of such capital reorganization, merger or consolidation. In any such case, appropriate adjustment shall be made in the application of the provisions of this Article IV.B.4 with respect to the rights of the holders of Preferred Stock after the capital reorganization such that the provisions of this Article IV.B.4 (including adjustment of the applicable Conversion Price for such Preferred Stock then in effect and the number of shares issuable upon conversion of such Preferred Stock) shall be applicable after that event and be as nearly equivalent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Sale of Shares Below Conversion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Anti-Dilution Adjustment</w:t>
      </w:r>
      <w:r>
        <w:rPr>
          <w:rFonts w:ascii="Times New Roman" w:hAnsi="Times New Roman"/>
          <w:sz w:val="20"/>
        </w:rPr>
        <w:t xml:space="preserve">. If at any time or from time to time after the Filing Date, this Corporation issues or sells, or is deemed by the express provisions of this Article IV.B.4(j) to have issued or sold, Additional Shares of Common Stock (as defined below), other than as a dividend or other distribution on any class of stock as provided in Article IV.B.4(f) above, and other than a subdivision or combination of shares of Common Stock as provided in Article IV.B.4(e) above, for an Effective Price (as defined below) less than the then-effective applicable Conversion Price in effect immediately prior to such issuance or at no Effective Price, then, and in each such case, such then-existing applicable Conversion Price shall be reduced, as of the opening of business on the date of such issue or sale, to a price (calculated to the nearest one-hundredth of a cent) determined in accordance with the following formula: </w:t>
      </w:r>
    </w:p>
    <w:p>
      <w:pPr>
        <w:pStyle w:val="TextBody"/>
        <w:bidi w:val="0"/>
        <w:spacing w:before="240" w:after="0"/>
        <w:jc w:val="center"/>
        <w:rPr>
          <w:rFonts w:ascii="Times New Roman" w:hAnsi="Times New Roman"/>
          <w:sz w:val="20"/>
        </w:rPr>
      </w:pPr>
      <w:r>
        <w:rPr>
          <w:rFonts w:ascii="Times New Roman" w:hAnsi="Times New Roman"/>
          <w:sz w:val="20"/>
        </w:rPr>
        <w:t xml:space="preserve">CP2 = CP1*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i. CP2 shall mean the applicable Conversion Price in effect immediately after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ii. CP1 shall mean the applicable Conversion Price in effect immediately prior to such issuance or deemed issuance of Additional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shall mean the number of shares of Common Stock outstanding immediately prior to such issuance or deemed issuance of Additional Shares of Common Stock on a fully-diluted, as-converted and as-exercised basis; </w:t>
      </w:r>
    </w:p>
    <w:p>
      <w:pPr>
        <w:pStyle w:val="TextBody"/>
        <w:bidi w:val="0"/>
        <w:spacing w:before="240" w:after="0"/>
        <w:jc w:val="left"/>
        <w:rPr>
          <w:rFonts w:ascii="Times New Roman" w:hAnsi="Times New Roman"/>
          <w:sz w:val="20"/>
        </w:rPr>
      </w:pPr>
      <w:r>
        <w:rPr>
          <w:rFonts w:ascii="Times New Roman" w:hAnsi="Times New Roman"/>
          <w:sz w:val="20"/>
        </w:rPr>
        <w:t xml:space="preserve">iv. B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 </w:t>
      </w:r>
    </w:p>
    <w:p>
      <w:pPr>
        <w:pStyle w:val="TextBody"/>
        <w:bidi w:val="0"/>
        <w:spacing w:before="240" w:after="0"/>
        <w:jc w:val="left"/>
        <w:rPr>
          <w:rFonts w:ascii="Times New Roman" w:hAnsi="Times New Roman"/>
          <w:sz w:val="20"/>
        </w:rPr>
      </w:pPr>
      <w:r>
        <w:rPr>
          <w:rFonts w:ascii="Times New Roman" w:hAnsi="Times New Roman"/>
          <w:sz w:val="20"/>
        </w:rPr>
        <w:t xml:space="preserve">v. C shall mean the number of such Additional Shares of Common Stock issued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(B) For the purpose of making any adjustment required under this Article IV.B.4(j), the consideration received by this Corporation for any issue or sale of Additional Shares of Common Stock shall: (i) to the extent it consists of cash, be computed at the net amount of cash received by this Corporation after deduction of any underwriting or similar commissions, compensation or concessions paid or allowed by this Corporation in connection with such issue or sale but without deduction of any expenses payable by this Corporation; and (ii) to the extent it consists of property other than cash, be computed at the fair value of that property as determined in good faith by the Board of Directors. In the event that Additional Shares of Common Stock are issued or sold together with other stock or securities or other assets of this Corporation for a consideration which covers both, the consideration received by this Corporation for any issue or sale of securities shall be computed as the portion of the consideration so received that may be reasonably determined in good faith by the Board of Directors to be allocatable to such Additional Shares of Common Stock. In each event, the Requisite Holders, voting together as a single class, shall have the right to challenge any determination by the Board of Directors, in which case the determination shall be made by an independent appraiser selected jointly by the Board of Directors and the challenging parties, the cost of such appraisal to be borne equally by the Corporation and the challenging parties. </w:t>
      </w:r>
    </w:p>
    <w:p>
      <w:pPr>
        <w:pStyle w:val="TextBody"/>
        <w:bidi w:val="0"/>
        <w:spacing w:before="240" w:after="0"/>
        <w:jc w:val="left"/>
        <w:rPr>
          <w:rFonts w:ascii="Times New Roman" w:hAnsi="Times New Roman"/>
          <w:sz w:val="20"/>
        </w:rPr>
      </w:pPr>
      <w:r>
        <w:rPr>
          <w:rFonts w:ascii="Times New Roman" w:hAnsi="Times New Roman"/>
          <w:sz w:val="20"/>
        </w:rPr>
        <w:t>(C) For the purpose of the adjustments required under this Article IV.B.4(j), if this Corporation issues or sells: (i) stock or other securities convertible into, Additional Shares of Common Stock (such convertible stock or securities being herein referred to as </w:t>
      </w:r>
      <w:r>
        <w:rPr>
          <w:rFonts w:ascii="Times New Roman" w:hAnsi="Times New Roman"/>
          <w:sz w:val="20"/>
          <w:u w:val="single"/>
        </w:rPr>
        <w:t>Convertible Securities</w:t>
      </w:r>
      <w:r>
        <w:rPr>
          <w:rFonts w:ascii="Times New Roman" w:hAnsi="Times New Roman"/>
          <w:sz w:val="20"/>
        </w:rPr>
        <w:t xml:space="preserve">); or (ii) rights or options for the purchase of Additional Shares of Common Stock or Convertible Securities, this Corporation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this Corporation for the issuance of such rights or options or Convertible Securities, plus, in the case of such rights or options, the minimum amounts of consideration, if any, payable to this Corporation upon the exercise of such rights or options, plus, in the case of Convertible Securities, the minimum amounts of consideration, if any, payable to this Corporation (other than by cancellation of liabilities or obligations evidenced by such Convertible Securities) upon the conversion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in the case of Convertible Securities the minimum amounts of such consideration cannot be ascertained but are a function of anti-dilution or similar protective clauses, this Corporation shall be deemed to have received the minimum amounts of consideration without reference to such clauses; and,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 if the minimum amount of consideration payable to this Corporation upon the exercise or conversion of rights, options or Convertible Securities is reduced over time or based on the occurrence or non-occurrence of specified events other than by reason of anti-dilution adjustments, the Effective Price shall be recalculated using the figure to which such minimum amount of consideration is reduced; and (ii) if the minimum amount of consideration payable to this Corporation upon the exercise or conversion of such rights, options or Convertible Securities is subsequently increased, the Effective Price shall be again recalculated using the increased minimum amount of consideration payable to this Corporation upon the exercise or conversion of such rights, options or Convertible Securities. No further adjustment of such Conversion Price as adjusted upon the issuance of such rights, options or Convertible Securities, shall be made as a result of the actual issuance of Additional Shares of Common Stock on the exercise of any such rights or options or the conversion of any such Convertible Securities. If any such rights or options or the conversion privilege represented by any such Convertible Securities shall expire without having been exercised, the applicable Conversion Price for each share of Preferred Stock, as adjusted upon the issuance of such rights, options or Convertible Securities shall be readjusted to the applicable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this Corporation upon such exercise, plus the consideration, if any, actually received by this Corporation for the granting of all such rights or options, whether or not exercised, plus the consideration received for issuing or selling the Convertible Securities actually converted, plus the consideration, if any, actually received by this Corporation (other than by cancellation of liabilities or obligations evidenced by such Convertible Securities) on the conversion of such Convertible Securities; provided, however, that such readjustment shall not apply to prior conversions of Preferred Stock. Notwithstanding the foregoing, no readjustment pursuant to this clause (C) shall have the effect of increasing the Conversion Price for a share of Preferred Stock to an amount that exceeds the lower of (i) the applicable Conversion Price for such series in effect immediately prior to the original adjustment made as a result of the issuance of such Convertible Securities or options or rights, or (ii) the Conversion Price for such series that would have resulted from any issuances of Additional Shares of Common Stock (other than deemed issuances of Additional Shares of Common Stock as a result of the issuance of such Convertible Securities) between the original adjustment date and such readjustment date. </w:t>
      </w:r>
    </w:p>
    <w:p>
      <w:pPr>
        <w:pStyle w:val="TextBody"/>
        <w:bidi w:val="0"/>
        <w:spacing w:before="240" w:after="0"/>
        <w:jc w:val="left"/>
        <w:rPr>
          <w:rFonts w:ascii="Times New Roman" w:hAnsi="Times New Roman"/>
          <w:sz w:val="20"/>
        </w:rPr>
      </w:pPr>
      <w:r>
        <w:rPr>
          <w:rFonts w:ascii="Times New Roman" w:hAnsi="Times New Roman"/>
          <w:sz w:val="20"/>
        </w:rPr>
        <w:t>(D) As used herein, </w:t>
      </w:r>
      <w:r>
        <w:rPr>
          <w:rFonts w:ascii="Times New Roman" w:hAnsi="Times New Roman"/>
          <w:sz w:val="20"/>
          <w:u w:val="single"/>
        </w:rPr>
        <w:t>Additional Shares of Common Stock</w:t>
      </w:r>
      <w:r>
        <w:rPr>
          <w:rFonts w:ascii="Times New Roman" w:hAnsi="Times New Roman"/>
          <w:sz w:val="20"/>
        </w:rPr>
        <w:t xml:space="preserve"> shall mean all shares of Common Stock issued by this Corporation or deemed to be issued pursuant to this Article IV.B.4(j), other than: (i) any shares of Common Stock issued upon any conversion of shares of Series F Preferred Stock, Series E Preferred Stock, Series D Preferred Stock, Series C Preferred Stock, Series B Preferred Stock or Series A-1 Preferred Stock; (ii) any shares of Common Stock issued as a dividend or distribution on shares of Series F Preferred Stock, Series E Preferred Stock, Series D Preferred Stock, Series C Preferred Stock, Series B Preferred Stock or Series A-1 Preferred Stock, or upon a stock split, stock dividend or any other subdivision of the number of shares of Common Stock; (iii) any shares of Common Stock (or options or rights to purchase shares of Common Stock) issued on or after the Filing Date to employees, officers or directors of, or consultants or advisors to, this Corporation pursuant to current stock purchase plans or current stock option plans, or pursuant to similar plans that are approved by the Requisite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Holders pursuant to Article IV.B.6(p); and (iv) any shares of Series F Preferred Stock issued pursuant to that certain Series F Preferred Stock Purchase Agreement, by and between the Corporation and certain other investors thereto, dated on or about the Filing Date (the </w:t>
      </w:r>
      <w:r>
        <w:rPr>
          <w:rFonts w:ascii="Times New Roman" w:hAnsi="Times New Roman"/>
          <w:sz w:val="20"/>
          <w:u w:val="single"/>
        </w:rPr>
        <w:t>Series F Stock Purchase Agreement</w:t>
      </w:r>
      <w:r>
        <w:rPr>
          <w:rFonts w:ascii="Times New Roman" w:hAnsi="Times New Roman"/>
          <w:sz w:val="20"/>
        </w:rPr>
        <w:t>). The </w:t>
      </w:r>
      <w:r>
        <w:rPr>
          <w:rFonts w:ascii="Times New Roman" w:hAnsi="Times New Roman"/>
          <w:sz w:val="20"/>
          <w:u w:val="single"/>
        </w:rPr>
        <w:t>Effective Price</w:t>
      </w:r>
      <w:r>
        <w:rPr>
          <w:rFonts w:ascii="Times New Roman" w:hAnsi="Times New Roman"/>
          <w:sz w:val="20"/>
        </w:rPr>
        <w:t xml:space="preserve"> of Additional Shares of Common Stock shall mean the quotient determined by dividing the aggregate consideration received, or deemed to have been received by this Corporation for such issue under this Article IV.B.4(j), for such Additional Shares of Common Stock, by the total number of Additional Shares of Common Stock issued or sold, or deemed to have been issued or sold by this Corporation under this Article IV.B.4(j).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Certificate of Adjustment</w:t>
      </w:r>
      <w:r>
        <w:rPr>
          <w:rFonts w:ascii="Times New Roman" w:hAnsi="Times New Roman"/>
          <w:sz w:val="20"/>
        </w:rPr>
        <w:t xml:space="preserve">. Upon the request of any holder of shares of Preferred Stock, and in each case of an adjustment or readjustment of the Conversion Price for any share of Preferred Stock pursuant to this Article IV.B.4, this Corporation, at its expense, shall compute such adjustment or readjustment in accordance with the provisions hereof and prepare a certificate showing such adjustment or readjustment and shall mail such certificate, by first-class mail, postage prepaid, to each registered holder of such share of the applicable Preferred Stock at the holders address as shown in this Corporations books. The certificate shall set forth such adjustment or readjustment, showing in detail the facts upon which such adjustment or readjustment is based.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Notices of Record Date</w:t>
      </w:r>
      <w:r>
        <w:rPr>
          <w:rFonts w:ascii="Times New Roman" w:hAnsi="Times New Roman"/>
          <w:sz w:val="20"/>
        </w:rPr>
        <w:t xml:space="preserve">. Upon: (i) any taking by this Corporation of a record of the holders of any class of securities for the purpose of determining the holders thereof who are entitled to receive any dividend or other distribution; or (ii) any Acquisition or other capital reorganization of this Corporation, any reclassification or recapitalization of the capital stock of this Corporation, any merger or consolidation of this Corporation with or into any other corporation, any Asset Transfer, or any voluntary or involuntary dissolution, liquidation or winding up of this Corporation, this Corporation shall mail a notice to each holder of Preferred Stock, at least fifteen (15) business days prior to, and specifying the earliest of: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any shares of Preferred Stock. All 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this Corporation shall, in lieu of issuing any fractional share, pay cash in an amount equal to the product of such fraction multiplied by the fair market value of a share of Common Stock, as determined in good faith by the Board of Directors, on the date of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the Preferred Stock, such number of shares of Common Stock as shall from time to time be sufficient to effect the conversion of all then-outstanding shares of Preferred Stock. If at any time the number of authorized but unissued shares of Common Stock shall not be sufficient to effect the conversion of all then-outstanding shares of Preferred Stock, the Corporation will take such corporate action as is, in the opinion of its counsel, necessary to increase its authorized but unissued shares of Common Stock to such number of shares as shall be sufficient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Notices</w:t>
      </w:r>
      <w:r>
        <w:rPr>
          <w:rFonts w:ascii="Times New Roman" w:hAnsi="Times New Roman"/>
          <w:sz w:val="20"/>
        </w:rPr>
        <w:t xml:space="preserve">. Any notice required by the provisions of this Article IV.B.4 shall be in writing and shall be deemed effectively given: (i) upon personal delivery to the party to be notified; (ii) when sent by electronic mail or confirmed facsimile, if sent during normal business hours of the recipient or, if not, then on the next business day; (iii) five (5)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this Corporation.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Payment of Taxes</w:t>
      </w:r>
      <w:r>
        <w:rPr>
          <w:rFonts w:ascii="Times New Roman" w:hAnsi="Times New Roman"/>
          <w:sz w:val="20"/>
        </w:rPr>
        <w:t xml:space="preserve">. This Corporation will pay all taxes (other than taxes based upon income) and other governmental charges that may be imposed with respect to the issue or delivery of shares of Common Stock upon conversion of shares of Preferred Stock, excluding any tax or other charge imposed in connection with any transfer involved in the issue and delivery of shares of Common Stock in a name other than that in which such shares of Preferred Stock so converted were registered.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Impairment</w:t>
      </w:r>
      <w:r>
        <w:rPr>
          <w:rFonts w:ascii="Times New Roman" w:hAnsi="Times New Roman"/>
          <w:sz w:val="20"/>
        </w:rPr>
        <w:t xml:space="preserve">. This Corporation will not, without the appropriate vote of the stockholders under the General Corporation Law or Section 6 of this Article IV(B),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of this Section 4 and in the taking of all such action as may be necessary or appropriate in order to protect the Conversion Rights of the holders of the Preferred Stock against impairment.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Waiver of Adjustment to Conversion Price</w:t>
      </w:r>
      <w:r>
        <w:rPr>
          <w:rFonts w:ascii="Times New Roman" w:hAnsi="Times New Roman"/>
          <w:sz w:val="20"/>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at least a majority of the outstanding shares of such series of Preferred Stock (each voting as a separate class);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amendment to the Series C Conversion Price shall require the consent or vote of the holders of at least 66.67% of the then outstanding shares of Series C Preferred Stock, voting as a separate class. Any such waiver shall bind all future holders of shares of such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Rights</w:t>
      </w:r>
      <w:r>
        <w:rPr>
          <w:rFonts w:ascii="Times New Roman" w:hAnsi="Times New Roman"/>
          <w:sz w:val="20"/>
        </w:rPr>
        <w:t xml:space="preserve">. Except as otherwise provided herein or as required by law, shares of Preferred Stock shall be voted together with the shares of the Common Stock of the Corporation and not as a separate class, at any annual or special meeting of stockholders of this Corporation, and may act by written consent in the same manner as the Common Stock. In the event of any such vote or action by written consent, each holder of shares of Preferred Stock shall be entitled to that number of votes equal to the whole number of shares of Common Stock into which such holders aggregate number of shares of Preferred Stock are convertible (pursuant to Article IV.B.4 hereof) as of the close of business on the record date fixed for such vote or the effective date of such written consent. Any fractional shares shall be disregarded for purposes of such voting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size of the Board of Directors shall be nine (9) persons. </w:t>
      </w:r>
    </w:p>
    <w:p>
      <w:pPr>
        <w:pStyle w:val="TextBody"/>
        <w:bidi w:val="0"/>
        <w:spacing w:before="240" w:after="0"/>
        <w:jc w:val="left"/>
        <w:rPr>
          <w:rFonts w:ascii="Times New Roman" w:hAnsi="Times New Roman"/>
          <w:sz w:val="20"/>
        </w:rPr>
      </w:pPr>
      <w:r>
        <w:rPr>
          <w:rFonts w:ascii="Times New Roman" w:hAnsi="Times New Roman"/>
          <w:sz w:val="20"/>
        </w:rPr>
        <w:t>(ii) So long as any shares of Series A-1 Preferred Stock are outstanding, the holders of Series A-1 Preferred Stock, voting as a separate class, shall be entitled to elect one (1) member of the Board of Directors (the </w:t>
      </w:r>
      <w:r>
        <w:rPr>
          <w:rFonts w:ascii="Times New Roman" w:hAnsi="Times New Roman"/>
          <w:sz w:val="20"/>
          <w:u w:val="single"/>
        </w:rPr>
        <w:t>Series A-1 Director</w:t>
      </w:r>
      <w:r>
        <w:rPr>
          <w:rFonts w:ascii="Times New Roman" w:hAnsi="Times New Roman"/>
          <w:sz w:val="20"/>
        </w:rPr>
        <w:t>) at each meeting or pursuant to each consent of this Corporations stockholders for the election of directors. So long as holders of outstanding Series B Preferred Stock hold at least nine percent (9%) of the outstanding shares of Common Stock on a fully diluted and as-converted basis, holders of outstanding Series B Preferred Stock shall be entitled to elect one (1) member of the Board of Directors (the </w:t>
      </w:r>
      <w:r>
        <w:rPr>
          <w:rFonts w:ascii="Times New Roman" w:hAnsi="Times New Roman"/>
          <w:sz w:val="20"/>
          <w:u w:val="single"/>
        </w:rPr>
        <w:t>Series B Director</w:t>
      </w:r>
      <w:r>
        <w:rPr>
          <w:rFonts w:ascii="Times New Roman" w:hAnsi="Times New Roman"/>
          <w:sz w:val="20"/>
        </w:rPr>
        <w:t>) at each meeting or pursuant to each consent of this Corporations stockholders for the election of directors. So long as any shares of Series C Preferred Stock remain outstanding, the holders of Series C Preferred Stock, voting as a separate class, shall be entitled to elect two (2) members of the Board of Directors (each, a </w:t>
      </w:r>
      <w:r>
        <w:rPr>
          <w:rFonts w:ascii="Times New Roman" w:hAnsi="Times New Roman"/>
          <w:sz w:val="20"/>
          <w:u w:val="single"/>
        </w:rPr>
        <w:t>Series C Director</w:t>
      </w:r>
      <w:r>
        <w:rPr>
          <w:rFonts w:ascii="Times New Roman" w:hAnsi="Times New Roman"/>
          <w:sz w:val="20"/>
        </w:rPr>
        <w:t> and together, the </w:t>
      </w:r>
      <w:r>
        <w:rPr>
          <w:rFonts w:ascii="Times New Roman" w:hAnsi="Times New Roman"/>
          <w:sz w:val="20"/>
          <w:u w:val="single"/>
        </w:rPr>
        <w:t>Series C Directors</w:t>
      </w:r>
      <w:r>
        <w:rPr>
          <w:rFonts w:ascii="Times New Roman" w:hAnsi="Times New Roman"/>
          <w:sz w:val="20"/>
        </w:rPr>
        <w:t>) at each meeting or pursuant to each consent of this Corporations stockholders for the election of directors. So long as at least twenty percent (20%) of the shares of Series D Preferred Stock originally issued on March 26, 2020 are outstanding, the holders of Series D Preferred Stock, voting as a separate class, shall be entitled to elect one (1) member of the Board of Directors (the </w:t>
      </w:r>
      <w:r>
        <w:rPr>
          <w:rFonts w:ascii="Times New Roman" w:hAnsi="Times New Roman"/>
          <w:sz w:val="20"/>
          <w:u w:val="single"/>
        </w:rPr>
        <w:t>Series D Director</w:t>
      </w:r>
      <w:r>
        <w:rPr>
          <w:rFonts w:ascii="Times New Roman" w:hAnsi="Times New Roman"/>
          <w:sz w:val="20"/>
        </w:rPr>
        <w:t>) at each meeting or pursuant to each consent of this Corporations stockholders for the election of directors. So long as at least twenty percent (20%) of shares of Series E Preferred Stock originally issued on September 30, 2022 are outstanding, the holders of Series E Preferred Stock, voting as a separate class, shall be entitled to elect two (2) members of the Board of Directors (the </w:t>
      </w:r>
      <w:r>
        <w:rPr>
          <w:rFonts w:ascii="Times New Roman" w:hAnsi="Times New Roman"/>
          <w:sz w:val="20"/>
          <w:u w:val="single"/>
        </w:rPr>
        <w:t>Series E Directors</w:t>
      </w:r>
      <w:r>
        <w:rPr>
          <w:rFonts w:ascii="Times New Roman" w:hAnsi="Times New Roman"/>
          <w:sz w:val="20"/>
        </w:rPr>
        <w:t>) at each meeting or pursuant to each consent of this Corporations stockholders for the election of directors. The Series A-1 Director, the Series B Director, the Series C Directors, the Series D Director and the Series E Directors are together referred to as the </w:t>
      </w:r>
      <w:r>
        <w:rPr>
          <w:rFonts w:ascii="Times New Roman" w:hAnsi="Times New Roman"/>
          <w:sz w:val="20"/>
          <w:u w:val="single"/>
        </w:rPr>
        <w:t>Preferred Directors</w:t>
      </w:r>
      <w:r>
        <w:rPr>
          <w:rFonts w:ascii="Times New Roman" w:hAnsi="Times New Roman"/>
          <w:sz w:val="20"/>
        </w:rPr>
        <w:t xml:space="preserve">. The holders of Common Stock, voting as a separate class, shall be entitled to elect one (1) member of the Board of Directors at each meeting or pursuant to each consent of this Corporations stockholders for the election of directors. The holders of a majority in voting power of the Preferred Stock and the Common Stock, voting as a single class on an as-converted to Common Stock basis, shall be entitled to elect the remaining members of the Board of Directors at each meeting or pursuant to each consent of this Corporations stockholders for the election of directors. Any directors elected as provided in this Article IV.B.5(b)(ii) may be removed, and any vacancy or vacancies caused by the resignation, death or removal of such directors may be filled, by, and only by, the affirmative vote of the holders of the shares of the class or series of capital stock entitled to elect such director or directors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extent that Section 2115 of the California General Corporation Law makes Section 708 subdivisions (a), (b) and (c) of the California General Corporation Law applicable to the Corporation, the Corporations stockholders shall have the right to cumulate their votes in connection with the election of directors as provided by Section 708 subdivisions (a), (b) and (c) of the California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Preferred Stock Protective Provisions</w:t>
      </w:r>
      <w:r>
        <w:rPr>
          <w:rFonts w:ascii="Times New Roman" w:hAnsi="Times New Roman"/>
          <w:sz w:val="20"/>
        </w:rPr>
        <w:t xml:space="preserve">. So long as any shares of Preferred Stock are outstanding, this Corporation shall not (by amendment, merger, consolidation or otherwise) without first obtaining the approval (by vote or written consent, as provided by law) of the Requisite Holders: </w:t>
      </w:r>
    </w:p>
    <w:p>
      <w:pPr>
        <w:pStyle w:val="TextBody"/>
        <w:bidi w:val="0"/>
        <w:spacing w:before="120" w:after="0"/>
        <w:jc w:val="left"/>
        <w:rPr>
          <w:rFonts w:ascii="Times New Roman" w:hAnsi="Times New Roman"/>
          <w:sz w:val="20"/>
        </w:rPr>
      </w:pPr>
      <w:r>
        <w:rPr>
          <w:rFonts w:ascii="Times New Roman" w:hAnsi="Times New Roman"/>
          <w:sz w:val="20"/>
        </w:rPr>
        <w:t xml:space="preserve">(a) alter or change, whether by merger, consolidation, conversion or otherwise, the rights, preferences or privileges of the shares of Preferred Stock so as to affect adversely such shares; </w:t>
      </w:r>
    </w:p>
    <w:p>
      <w:pPr>
        <w:pStyle w:val="TextBody"/>
        <w:bidi w:val="0"/>
        <w:spacing w:before="240" w:after="0"/>
        <w:jc w:val="left"/>
        <w:rPr>
          <w:rFonts w:ascii="Times New Roman" w:hAnsi="Times New Roman"/>
          <w:sz w:val="20"/>
        </w:rPr>
      </w:pPr>
      <w:r>
        <w:rPr>
          <w:rFonts w:ascii="Times New Roman" w:hAnsi="Times New Roman"/>
          <w:sz w:val="20"/>
        </w:rPr>
        <w:t xml:space="preserve">(b) increase or decrease the aggregate number of authorized shares of any class or series of the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amend or waive any provision of this Certificate of Incorporation or the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authorize or issue, or obligate itself to issue, whether by merger, consolidation, conversion or otherwise, any equity security, including any other security convertible into or exercisable for any equity security, other than any shares of Common Stock (or options or rights to purchase shares of Common Stock) issued on or after the Filing Date to employees, officers or directors of, or consultants or advisors to, this Corporation pursuant to current stock purchase plans or current stock option plans, or pursuant to similar plans that are approved by the Requisite Holders pursuant to Article IV.B.6(p);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incur aggregate indebtedness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(f) effect any reclassification or recapitalization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(g) effect a Liquidation Event; </w:t>
      </w:r>
    </w:p>
    <w:p>
      <w:pPr>
        <w:pStyle w:val="TextBody"/>
        <w:bidi w:val="0"/>
        <w:spacing w:before="240" w:after="0"/>
        <w:jc w:val="left"/>
        <w:rPr>
          <w:rFonts w:ascii="Times New Roman" w:hAnsi="Times New Roman"/>
          <w:sz w:val="20"/>
        </w:rPr>
      </w:pPr>
      <w:r>
        <w:rPr>
          <w:rFonts w:ascii="Times New Roman" w:hAnsi="Times New Roman"/>
          <w:sz w:val="20"/>
        </w:rPr>
        <w:t>(h) effect any consolidation, conversion or merger of this Corporation with or into any other corporation or other entity or person, share transfer or any other corporate reorganization, in which the stockholders of this Corporation immediately prior to such consolidation, conversion, merger or reorganization, own less than 50% of this Corporations voting power immediately after such consolidation, conversion, merger or reorganization (excluding any merger effected exclusively for the purpose of changing the domicile of the Corporation and any transaction or series of related transactions the sole purpose of which is to create a holding company that is owned in substantially the same proportions by the persons who held the Corporations securities immediately prior to such transaction or series of related transactions) (an </w:t>
      </w:r>
      <w:r>
        <w:rPr>
          <w:rFonts w:ascii="Times New Roman" w:hAnsi="Times New Roman"/>
          <w:sz w:val="20"/>
          <w:u w:val="single"/>
        </w:rPr>
        <w:t>Acquisition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effect any sale, lease, license, transfer or other disposition, in a single transaction or a series of related transactions, of all or substantially all of the assets, technology or intellectual property of this Corporation, other than non-exclusive licenses granted in the ordinary course of this Corporations business, or the sale or disposition (whether by merger or otherwise) of one or more subsidiaries of this Corporation if substantially all the assets of this Corporation and its subsidiaries taken as a whole are held by such subsidiary or subsidiaries, except where such sale, lease, transfer, exclusive license or other disposition is to a wholly owned subsidiary of this Corporation (an </w:t>
      </w:r>
      <w:r>
        <w:rPr>
          <w:rFonts w:ascii="Times New Roman" w:hAnsi="Times New Roman"/>
          <w:sz w:val="20"/>
          <w:u w:val="single"/>
        </w:rPr>
        <w:t>Asset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increase or decrease the authorized number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(k) declare or pay dividends or make other distributions on the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(l) redeem, purchase or otherwise acquire (or pay into or set aside for a sinking fund for such purpose) any share or shares of Preferred Stock or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(i) the repurchase of shares of Common Stock from employees, officers, directors, consultants or other persons performing services for this Corporation or any subsidiary pursuant to agreements under which this Corporation has the option to repurchase such shares at cost upon the occurrence of certain events, such as the termination of employment or other provision of services to the Corporation or (ii) the redemption of any share or shares of Preferred Stock in accordance with Article IV.B.3; </w:t>
      </w:r>
    </w:p>
    <w:p>
      <w:pPr>
        <w:pStyle w:val="TextBody"/>
        <w:bidi w:val="0"/>
        <w:spacing w:before="240" w:after="0"/>
        <w:jc w:val="left"/>
        <w:rPr>
          <w:rFonts w:ascii="Times New Roman" w:hAnsi="Times New Roman"/>
          <w:sz w:val="20"/>
        </w:rPr>
      </w:pPr>
      <w:r>
        <w:rPr>
          <w:rFonts w:ascii="Times New Roman" w:hAnsi="Times New Roman"/>
          <w:sz w:val="20"/>
        </w:rPr>
        <w:t xml:space="preserve">(m) do any act or thing which would result in taxation of the holders of shares of the Preferred Stock under Section 305 of the Internal Revenue Code of 1986, as amended (or any comparable provision of the Internal Revenue Code as hereafter from time to time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incur any indebtedness in excess of US$100,000 individually, or in the event of indebtedness individually less than US$100,000, in excess of US$250,000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(o) consummate a public offering pursuant to a registration statement under the Act or otherwise become subject to the periodic reporting requirements of Section 13 or 15(d)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(p) adopt or amend, or increase or decrease the aggregate number of shares of Common Stock reserved for issuance pursuant to, any stock option plans or restricted stock purchase plans; </w:t>
      </w:r>
    </w:p>
    <w:p>
      <w:pPr>
        <w:pStyle w:val="TextBody"/>
        <w:bidi w:val="0"/>
        <w:spacing w:before="240" w:after="0"/>
        <w:jc w:val="left"/>
        <w:rPr>
          <w:rFonts w:ascii="Times New Roman" w:hAnsi="Times New Roman"/>
          <w:sz w:val="20"/>
        </w:rPr>
      </w:pPr>
      <w:r>
        <w:rPr>
          <w:rFonts w:ascii="Times New Roman" w:hAnsi="Times New Roman"/>
          <w:sz w:val="20"/>
        </w:rPr>
        <w:t xml:space="preserve">(q) (i) materially change the principal business of this Corporation from the business in which this Corporation is engaged on the date of filing of this Restated Certificate of Incorporation, (ii) enter into a material new line of business in which this Corporation is not engaged on the date of filing of this Certificate of Incorporation, or (iii) cease any material line of business in which the Corporation is engaged on the date of filing of this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(r) form any subsidiary (except for a wholly-owned subsidiary), joint venture, partnership or similar business entity or make loans to or investments in any such entity; </w:t>
      </w:r>
    </w:p>
    <w:p>
      <w:pPr>
        <w:pStyle w:val="TextBody"/>
        <w:bidi w:val="0"/>
        <w:spacing w:before="240" w:after="0"/>
        <w:jc w:val="left"/>
        <w:rPr>
          <w:rFonts w:ascii="Times New Roman" w:hAnsi="Times New Roman"/>
          <w:sz w:val="20"/>
        </w:rPr>
      </w:pPr>
      <w:r>
        <w:rPr>
          <w:rFonts w:ascii="Times New Roman" w:hAnsi="Times New Roman"/>
          <w:sz w:val="20"/>
        </w:rPr>
        <w:t xml:space="preserve">(s) enter into any related party transactions, except as those disclosed in the Series F Stock Purchase Agreement or any schedule attached thereto; </w:t>
      </w:r>
    </w:p>
    <w:p>
      <w:pPr>
        <w:pStyle w:val="TextBody"/>
        <w:bidi w:val="0"/>
        <w:spacing w:before="240" w:after="0"/>
        <w:jc w:val="left"/>
        <w:rPr>
          <w:rFonts w:ascii="Times New Roman" w:hAnsi="Times New Roman"/>
          <w:sz w:val="20"/>
        </w:rPr>
      </w:pPr>
      <w:r>
        <w:rPr>
          <w:rFonts w:ascii="Times New Roman" w:hAnsi="Times New Roman"/>
          <w:sz w:val="20"/>
        </w:rPr>
        <w:t xml:space="preserve">(t) allow any subsidiary of the Corporation to issue shares of capital stock of such subsidiary other than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(u) acquire a material amount of assets through a merger or purchase of all or substantially all of the assets or capital stock of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(v) amend this Article IV.B.6; or </w:t>
      </w:r>
    </w:p>
    <w:p>
      <w:pPr>
        <w:pStyle w:val="TextBody"/>
        <w:bidi w:val="0"/>
        <w:spacing w:before="240" w:after="0"/>
        <w:jc w:val="left"/>
        <w:rPr>
          <w:rFonts w:ascii="Times New Roman" w:hAnsi="Times New Roman"/>
          <w:sz w:val="20"/>
        </w:rPr>
      </w:pPr>
      <w:r>
        <w:rPr>
          <w:rFonts w:ascii="Times New Roman" w:hAnsi="Times New Roman"/>
          <w:sz w:val="20"/>
        </w:rPr>
        <w:t xml:space="preserve">(w) cause any entity over which the Corporation has, directly or indirectly, a majority of the voting power to take any of the actions set forth in this Article IV.B.6.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6 and Section 7 below, the term conversion refers to the conversion of the Corporation into a different entity type pursuant to Section 266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Series E Preferred Stock Protective Provisions</w:t>
      </w:r>
      <w:r>
        <w:rPr>
          <w:rFonts w:ascii="Times New Roman" w:hAnsi="Times New Roman"/>
          <w:sz w:val="20"/>
        </w:rPr>
        <w:t xml:space="preserve">. So long as any shares of Series E Preferred Stock are outstanding, this Corporation shall not (by amendment, merger, consolidation or otherwise) without first obtaining the approval (by vote or written consent, as provided by law) of the Series E Majority: </w:t>
      </w:r>
    </w:p>
    <w:p>
      <w:pPr>
        <w:pStyle w:val="TextBody"/>
        <w:bidi w:val="0"/>
        <w:spacing w:before="120" w:after="0"/>
        <w:jc w:val="left"/>
        <w:rPr>
          <w:rFonts w:ascii="Times New Roman" w:hAnsi="Times New Roman"/>
          <w:sz w:val="20"/>
        </w:rPr>
      </w:pPr>
      <w:r>
        <w:rPr>
          <w:rFonts w:ascii="Times New Roman" w:hAnsi="Times New Roman"/>
          <w:sz w:val="20"/>
        </w:rPr>
        <w:t xml:space="preserve">(a) increase or decrease the aggregate number of authorized shares of Series 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 amend or waive the final proviso in Article IV.B.2(f) hereof with respect to the Series E Preferred Stock; or </w:t>
      </w:r>
    </w:p>
    <w:p>
      <w:pPr>
        <w:pStyle w:val="TextBody"/>
        <w:bidi w:val="0"/>
        <w:spacing w:before="240" w:after="0"/>
        <w:jc w:val="left"/>
        <w:rPr>
          <w:rFonts w:ascii="Times New Roman" w:hAnsi="Times New Roman"/>
          <w:sz w:val="20"/>
        </w:rPr>
      </w:pPr>
      <w:r>
        <w:rPr>
          <w:rFonts w:ascii="Times New Roman" w:hAnsi="Times New Roman"/>
          <w:sz w:val="20"/>
        </w:rPr>
        <w:t xml:space="preserve">(c) amend this Article IV.B.7.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Series F Preferred Stock Protective Provisions</w:t>
      </w:r>
      <w:r>
        <w:rPr>
          <w:rFonts w:ascii="Times New Roman" w:hAnsi="Times New Roman"/>
          <w:sz w:val="20"/>
        </w:rPr>
        <w:t xml:space="preserve">. So long as any shares of Series F Preferred Stock are outstanding, this Corporation shall not (by amendment, merger, consolidation or otherwise) without first obtaining the approval (by vote or written consent, as provided by law) of the Series F Majority: </w:t>
      </w:r>
    </w:p>
    <w:p>
      <w:pPr>
        <w:pStyle w:val="TextBody"/>
        <w:bidi w:val="0"/>
        <w:spacing w:before="120" w:after="0"/>
        <w:jc w:val="left"/>
        <w:rPr>
          <w:rFonts w:ascii="Times New Roman" w:hAnsi="Times New Roman"/>
          <w:sz w:val="20"/>
        </w:rPr>
      </w:pPr>
      <w:r>
        <w:rPr>
          <w:rFonts w:ascii="Times New Roman" w:hAnsi="Times New Roman"/>
          <w:sz w:val="20"/>
        </w:rPr>
        <w:t xml:space="preserve">(a) increase or decrease the aggregate number of authorized shares of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 amend or waive the second-to-final proviso in Article IV.B.2(f) hereof with respect to the Series F Preferred Stock; or </w:t>
      </w:r>
    </w:p>
    <w:p>
      <w:pPr>
        <w:pStyle w:val="TextBody"/>
        <w:bidi w:val="0"/>
        <w:spacing w:before="240" w:after="0"/>
        <w:jc w:val="left"/>
        <w:rPr>
          <w:rFonts w:ascii="Times New Roman" w:hAnsi="Times New Roman"/>
          <w:sz w:val="20"/>
        </w:rPr>
      </w:pPr>
      <w:r>
        <w:rPr>
          <w:rFonts w:ascii="Times New Roman" w:hAnsi="Times New Roman"/>
          <w:sz w:val="20"/>
        </w:rPr>
        <w:t xml:space="preserve">(c) amend this Article IV.B.8.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Status of Redeemed or Converted Stock</w:t>
      </w:r>
      <w:r>
        <w:rPr>
          <w:rFonts w:ascii="Times New Roman" w:hAnsi="Times New Roman"/>
          <w:sz w:val="20"/>
        </w:rPr>
        <w:t xml:space="preserve">. In the event any shares of the Preferred Stock shall be redeemed or converted pursuant to Article IV.B.3 or Article IV.B.4, the shares so redeemed or converted shall be cancelled and shall not be issuable by this Corporation. This Certificate of Incorporation shall be appropriately amended to effect the corresponding reduction in this Corporations authorized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Common Stock</w:t>
      </w:r>
      <w:r>
        <w:rPr>
          <w:rFonts w:ascii="Times New Roman" w:hAnsi="Times New Roman"/>
          <w:sz w:val="20"/>
        </w:rPr>
        <w:t xml:space="preserve">. The rights, preferences, privileges and restrictions granted to and imposed on the Common Stock are as set forth below in this Article IV.C.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Rights</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and as declared by the Board of Directors, out of any assets of this Corporation legally available therefor, such dividends as may be declared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Rights</w:t>
      </w:r>
      <w:r>
        <w:rPr>
          <w:rFonts w:ascii="Times New Roman" w:hAnsi="Times New Roman"/>
          <w:sz w:val="20"/>
        </w:rPr>
        <w:t xml:space="preserve">. Upon a Liquidation Event, the assets of this Corporation shall be distributed as provided in Article IV.B.2.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Neither the Corporation nor the holders of Common Stock shall have the unilateral right to call or redeem or cause to have called or redeemed any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except as otherwise required by law, holders of Common Stock, as such, shall not be entitled to vote on any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Certificate of Incorporation, in furtherance and not in limitation of the powers conferred by statute, the Board of Directors is expressly authorized to make, repeal, alter, amend and rescind any or all of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Section 5 of Article IV(B) hereof, the number of directors of this Corporation shall be determined in the manner set forth in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unless the Bylaws of this Corporation shall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 director or officer of this Corporation shall not be personally liable to this Corporation or its stockholders for monetary damages for breach of fiduciary duty as a director or officer. If the General Corporation Law is amended after approval by the stockholders of this Article IX to authorize corporate action further eliminating or limiting the personal liability of directors or officers, then the liability of a director or officer of this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IX by the stockholders of this Corporation shall not adversely affect any right or protection of a director or officer of this Corporation existing at the time of, or increase the liability of any director or officer of this Corporation with respect to any acts or omissions of such director or officer occurring prior to, such amendment,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This corporation reserves the right to amend, alter, change or repeal any provision contained in this Certificate of Incorporation, in the manner now or hereafter prescribed by statute, and, subject to the requirements of Section 6 of Article IV(B) hereof, all rights conferred upon stockholders herein are granted subject to this reservation.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This Corporation renounces, to the fullest extent permitted by law, any interest or expectancy of this Corporation in, or in being offered an opportunity to participate in, any Excluded Opportunity. An </w:t>
      </w:r>
      <w:r>
        <w:rPr>
          <w:rFonts w:ascii="Times New Roman" w:hAnsi="Times New Roman"/>
          <w:sz w:val="20"/>
          <w:u w:val="single"/>
        </w:rPr>
        <w:t>Excluded Opportunity</w:t>
      </w:r>
      <w:r>
        <w:rPr>
          <w:rFonts w:ascii="Times New Roman" w:hAnsi="Times New Roman"/>
          <w:sz w:val="20"/>
        </w:rPr>
        <w:t xml:space="preserve">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affiliate or agent of any such holder, other than someone who is an employee of this Corporation or any of its subsidiaries (collectively, the persons referred to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are </w:t>
      </w:r>
      <w:r>
        <w:rPr>
          <w:rFonts w:ascii="Times New Roman" w:hAnsi="Times New Roman"/>
          <w:sz w:val="20"/>
          <w:u w:val="single"/>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this Corporation while such Covered Person is performing services in such capacity. Any repeal or modification of this Article XII will only be prospective and will not affect the rights under this Article XII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XII.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repurchases by this Corporation of its Common Stock from employees, officers, directors, advisors, consultants or other persons performing services for this Corporation or any subsidiary pursuant to agreements under which this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 Selection</w:t>
      </w:r>
      <w:r>
        <w:rPr>
          <w:rFonts w:ascii="Times New Roman" w:hAnsi="Times New Roman"/>
          <w:sz w:val="20"/>
        </w:rPr>
        <w:t xml:space="preserve">.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XIV.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If any action the subject matter of which is within the scope of Article XIV(A)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Article XIV(A)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Savings</w:t>
      </w:r>
      <w:r>
        <w:rPr>
          <w:rFonts w:ascii="Times New Roman" w:hAnsi="Times New Roman"/>
          <w:sz w:val="20"/>
        </w:rPr>
        <w:t xml:space="preserve">. If any provision or provisions of this Article XIV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XIV (including, without limitation, each portion of any sentence of this Article XIV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Amended and Restated Certificate of Incorporation has been executed by a duly authorized officer of this corporation on this 27th day of July,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Kuan</w:t>
            </w:r>
          </w:p>
        </w:tc>
      </w:tr>
      <w:tr>
        <w:trPr/>
        <w:tc>
          <w:tcPr>
            <w:tcW w:w="4082" w:type="dxa"/>
            <w:tcBorders/>
          </w:tcPr>
          <w:p>
            <w:pPr>
              <w:pStyle w:val="TableContents"/>
              <w:bidi w:val="0"/>
              <w:spacing w:before="0" w:after="283"/>
              <w:jc w:val="left"/>
              <w:rPr/>
            </w:pPr>
            <w:r>
              <w:rPr/>
              <w:t>Arthur Kuan,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CG Oncology, Inc. (the </w:t>
      </w:r>
      <w:r>
        <w:rPr>
          <w:rFonts w:ascii="Times New Roman" w:hAnsi="Times New Roman"/>
          <w:sz w:val="20"/>
          <w:u w:val="single"/>
        </w:rPr>
        <w:t>Corporation</w:t>
      </w:r>
      <w:r>
        <w:rPr>
          <w:rFonts w:ascii="Times New Roman" w:hAnsi="Times New Roman"/>
          <w:sz w:val="20"/>
        </w:rPr>
        <w:t>), which originally filed its Certificate of Incorporation with the Secretary of State of Delaware on November 30, 2017 under the name Cold Genesys, Inc., and is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1.    That the Board of Directors of said Corporation duly adopted resolutions proposing and declaring advisable the following amendments of the Amended and Restated Certificate of Incorporation (as amended, the </w:t>
      </w:r>
      <w:r>
        <w:rPr>
          <w:rFonts w:ascii="Times New Roman" w:hAnsi="Times New Roman"/>
          <w:sz w:val="20"/>
          <w:u w:val="single"/>
        </w:rPr>
        <w:t>Certificate</w:t>
      </w:r>
      <w:r>
        <w:rPr>
          <w:rFonts w:ascii="Times New Roman" w:hAnsi="Times New Roman"/>
          <w:sz w:val="20"/>
        </w:rPr>
        <w:t xml:space="preserve">) of said Corporation. The resolutions setting forth the proposed amendments are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Article IV, Section A of the Certificate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Classes of Stock</w:t>
      </w:r>
      <w:r>
        <w:rPr>
          <w:rFonts w:ascii="Times New Roman" w:hAnsi="Times New Roman"/>
          <w:sz w:val="20"/>
        </w:rPr>
        <w:t>. This Corporation is authorized to issue two classes of stock to be designated, respectively, Common Stock and Preferred Stock. The total number of shares which this Corporation is authorized to issue is 831,458,674 shares. 493,530,000 shares shall be Common Stock, par value $0.0001 per share (the </w:t>
      </w:r>
      <w:r>
        <w:rPr>
          <w:rFonts w:ascii="Times New Roman" w:hAnsi="Times New Roman"/>
          <w:sz w:val="20"/>
          <w:u w:val="single"/>
        </w:rPr>
        <w:t>Common Stock</w:t>
      </w:r>
      <w:r>
        <w:rPr>
          <w:rFonts w:ascii="Times New Roman" w:hAnsi="Times New Roman"/>
          <w:sz w:val="20"/>
        </w:rPr>
        <w:t>) and 337,928,674 shares shall be Preferred Stock, par value $0.0001 per share (the </w:t>
      </w:r>
      <w:r>
        <w:rPr>
          <w:rFonts w:ascii="Times New Roman" w:hAnsi="Times New Roman"/>
          <w:sz w:val="20"/>
          <w:u w:val="single"/>
        </w:rPr>
        <w:t>Preferred Stock</w:t>
      </w:r>
      <w:r>
        <w:rPr>
          <w:rFonts w:ascii="Times New Roman" w:hAnsi="Times New Roman"/>
          <w:sz w:val="20"/>
        </w:rPr>
        <w:t>). Of the Preferred Stock, 81,587,937 shares shall be designated Series F Preferred Stock (the </w:t>
      </w:r>
      <w:r>
        <w:rPr>
          <w:rFonts w:ascii="Times New Roman" w:hAnsi="Times New Roman"/>
          <w:sz w:val="20"/>
          <w:u w:val="single"/>
        </w:rPr>
        <w:t>Series F Preferred Stock</w:t>
      </w:r>
      <w:r>
        <w:rPr>
          <w:rFonts w:ascii="Times New Roman" w:hAnsi="Times New Roman"/>
          <w:sz w:val="20"/>
        </w:rPr>
        <w:t>), 112,422,700 shares shall be designated Series E Preferred Stock (the </w:t>
      </w:r>
      <w:r>
        <w:rPr>
          <w:rFonts w:ascii="Times New Roman" w:hAnsi="Times New Roman"/>
          <w:sz w:val="20"/>
          <w:u w:val="single"/>
        </w:rPr>
        <w:t>Series E Preferred Stock</w:t>
      </w:r>
      <w:r>
        <w:rPr>
          <w:rFonts w:ascii="Times New Roman" w:hAnsi="Times New Roman"/>
          <w:sz w:val="20"/>
        </w:rPr>
        <w:t>), 53,271,754 shares shall be designated Series D Preferred Stock (the </w:t>
      </w:r>
      <w:r>
        <w:rPr>
          <w:rFonts w:ascii="Times New Roman" w:hAnsi="Times New Roman"/>
          <w:sz w:val="20"/>
          <w:u w:val="single"/>
        </w:rPr>
        <w:t>Series D Preferred Stock</w:t>
      </w:r>
      <w:r>
        <w:rPr>
          <w:rFonts w:ascii="Times New Roman" w:hAnsi="Times New Roman"/>
          <w:sz w:val="20"/>
        </w:rPr>
        <w:t>), 73,598,283 shares shall be designated Series C Preferred Stock (the </w:t>
      </w:r>
      <w:r>
        <w:rPr>
          <w:rFonts w:ascii="Times New Roman" w:hAnsi="Times New Roman"/>
          <w:sz w:val="20"/>
          <w:u w:val="single"/>
        </w:rPr>
        <w:t>Series C Preferred Stock</w:t>
      </w:r>
      <w:r>
        <w:rPr>
          <w:rFonts w:ascii="Times New Roman" w:hAnsi="Times New Roman"/>
          <w:sz w:val="20"/>
        </w:rPr>
        <w:t>), 11,973,000 shares shall be designated Series B Preferred Stock (the </w:t>
      </w:r>
      <w:r>
        <w:rPr>
          <w:rFonts w:ascii="Times New Roman" w:hAnsi="Times New Roman"/>
          <w:sz w:val="20"/>
          <w:u w:val="single"/>
        </w:rPr>
        <w:t>Series B Preferred Stock</w:t>
      </w:r>
      <w:r>
        <w:rPr>
          <w:rFonts w:ascii="Times New Roman" w:hAnsi="Times New Roman"/>
          <w:sz w:val="20"/>
        </w:rPr>
        <w:t>) and 5,075,000 shares shall be designated Series A-1 Preferred Stock (the </w:t>
      </w:r>
      <w:r>
        <w:rPr>
          <w:rFonts w:ascii="Times New Roman" w:hAnsi="Times New Roman"/>
          <w:sz w:val="20"/>
          <w:u w:val="single"/>
        </w:rPr>
        <w:t>Series A-1 Preferred Stock</w:t>
      </w:r>
      <w:r>
        <w:rPr>
          <w:rFonts w:ascii="Times New Roman" w:hAnsi="Times New Roman"/>
          <w:sz w:val="20"/>
        </w:rPr>
        <w:t>). The Series A-1 Preferred Stock, the Series B Preferred Stock, the Series C Preferred Stock, the Series D Preferred Stock, the Series E Preferred Stock and the Series F Preferred Stock shall be collectively referred to herein as the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Effective upon the filing of this Certificate of Amendment with the Secretary of State of the State of Delaware, a 1-for-9.535 reverse stock split for each share of Common Stock outstanding or held in treasury immediately prior to such time shall automatically and without any action on the part of the holders thereof occur (the </w:t>
      </w:r>
      <w:r>
        <w:rPr>
          <w:rFonts w:ascii="Times New Roman" w:hAnsi="Times New Roman"/>
          <w:sz w:val="20"/>
          <w:u w:val="single"/>
        </w:rPr>
        <w:t>Reverse Stock Split</w:t>
      </w:r>
      <w:r>
        <w:rPr>
          <w:rFonts w:ascii="Times New Roman" w:hAnsi="Times New Roman"/>
          <w:sz w:val="20"/>
        </w:rPr>
        <w:t xml:space="preserve">). The par value of the Common Stock shall remain $0.0001 per share. This conversion shall apply to all shares of Common Stock. No fractional shares of Common Stock shall be issued upon the Reverse Stock Split or otherwise. In lieu of any fractional shares of Common Stock to which the stockholder would otherwise be entitled upon the Reverse Stock Split, the Corporation shall pay cash equal to such fraction multiplied by the then fair market value of the Common Stock as determined by the Corporations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All certificates representing shares of Common Stock outstanding immediately prior to the filing of this Certificate of Amendment shall immediately after the filing of this Certificate of Amendment represent instead the number of shares of Common Stock as provided above. Notwithstanding the foregoing, any holder of Common Stock may (but shall not be required to) surrender his, her or its stock certificate or certificates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and upon such surrender the holder may request that the Corporation issue a certificate for the correct number of shares of Common Stock to which the holder is entitled under the provisions of this Certificate of Amendment. Shares of Common Stock that were outstanding prior to the filing of this Certificate of Amendment, and that are not outstanding after and as a result of the filing of this Certificate of Amendment, shall resume the status of authorized but unissued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2.    That thereafter, pursuant to a resolution of the Board of Directors and in lieu of a meeting of stockholders, the stockholders gave their approval of said amendment by written consent in accordance with the provisions of Section 228 of the General Corporation Law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3.    That said amendment was duly adopted in accordance with the provisions of Sections 242 and 228 of the General Corporation Law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4.    That said amendment shall be executed, filed and recorded in accordance with Section 103 of the General Corporation Law of the State of Delaware. </w:t>
      </w:r>
    </w:p>
    <w:p>
      <w:pPr>
        <w:pStyle w:val="TextBody"/>
        <w:bidi w:val="0"/>
        <w:spacing w:before="48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Certificate of Amendment has been executed by a duly authorized officer of the Corporation on this 16th day of January,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Arthur Kuan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Arthur Kuan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2" w:name="d551455dex33.htm"/>
      <w:bookmarkStart w:id="43" w:name="ksd551455dex33"/>
      <w:bookmarkEnd w:id="42"/>
      <w:bookmarkEnd w:id="43"/>
      <w:r>
        <w:rPr>
          <w:rFonts w:ascii="Times New Roman" w:hAnsi="Times New Roman"/>
          <w:b/>
          <w:sz w:val="20"/>
        </w:rPr>
        <w:t xml:space="preserve">Exhibit 3.3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240" w:after="0"/>
        <w:jc w:val="both"/>
        <w:rPr>
          <w:rFonts w:ascii="Times New Roman" w:hAnsi="Times New Roman"/>
          <w:sz w:val="20"/>
        </w:rPr>
      </w:pPr>
      <w:r>
        <w:rPr>
          <w:rFonts w:ascii="Times New Roman" w:hAnsi="Times New Roman"/>
          <w:sz w:val="20"/>
        </w:rPr>
        <w:t>CG Oncology, Inc. (the </w:t>
      </w:r>
      <w:r>
        <w:rPr>
          <w:rFonts w:ascii="Times New Roman" w:hAnsi="Times New Roman"/>
          <w:sz w:val="20"/>
          <w:u w:val="single"/>
        </w:rPr>
        <w:t>Corporation</w:t>
      </w:r>
      <w:r>
        <w:rPr>
          <w:rFonts w:ascii="Times New Roman" w:hAnsi="Times New Roman"/>
          <w:sz w:val="20"/>
        </w:rPr>
        <w:t>), a corporation organized and existing under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as follows: </w:t>
      </w:r>
    </w:p>
    <w:p>
      <w:pPr>
        <w:pStyle w:val="TextBody"/>
        <w:bidi w:val="0"/>
        <w:spacing w:before="240" w:after="0"/>
        <w:jc w:val="both"/>
        <w:rPr>
          <w:rFonts w:ascii="Times New Roman" w:hAnsi="Times New Roman"/>
          <w:sz w:val="20"/>
        </w:rPr>
      </w:pPr>
      <w:r>
        <w:rPr>
          <w:rFonts w:ascii="Times New Roman" w:hAnsi="Times New Roman"/>
          <w:sz w:val="20"/>
        </w:rPr>
        <w:t>1. The name of the Corporation is CG Oncology, Inc. The Corporation was incorporated under the name Cold Genesys, Inc. by the filing of its original Certificate of Incorporation with the Secretary of State of the State of Delaware on November 30, 2017 (as amended from time to time, the </w:t>
      </w:r>
      <w:r>
        <w:rPr>
          <w:rFonts w:ascii="Times New Roman" w:hAnsi="Times New Roman"/>
          <w:sz w:val="20"/>
          <w:u w:val="single"/>
        </w:rPr>
        <w:t>Existing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2. This Amended and Restated Certificate of Incorporation (the </w:t>
      </w:r>
      <w:r>
        <w:rPr>
          <w:rFonts w:ascii="Times New Roman" w:hAnsi="Times New Roman"/>
          <w:sz w:val="20"/>
          <w:u w:val="single"/>
        </w:rPr>
        <w:t>Amended and Restated Certificate</w:t>
      </w:r>
      <w:r>
        <w:rPr>
          <w:rFonts w:ascii="Times New Roman" w:hAnsi="Times New Roman"/>
          <w:sz w:val="20"/>
        </w:rPr>
        <w:t>), which amends and restates the Existing Certificate in its entirety, has been approved by the Board of Directors of the Corporation (the </w:t>
      </w:r>
      <w:r>
        <w:rPr>
          <w:rFonts w:ascii="Times New Roman" w:hAnsi="Times New Roman"/>
          <w:sz w:val="20"/>
          <w:u w:val="single"/>
        </w:rPr>
        <w:t>Board of Directors</w:t>
      </w:r>
      <w:r>
        <w:rPr>
          <w:rFonts w:ascii="Times New Roman" w:hAnsi="Times New Roman"/>
          <w:sz w:val="20"/>
        </w:rPr>
        <w:t xml:space="preserve">) in accordance with Sections 242 and 245 of the DGCL and has been adopted by the written consent of the stockholders of the Corporation in accordance with Section 228 of the DGCL. </w:t>
      </w:r>
    </w:p>
    <w:p>
      <w:pPr>
        <w:pStyle w:val="TextBody"/>
        <w:bidi w:val="0"/>
        <w:spacing w:before="240" w:after="0"/>
        <w:jc w:val="both"/>
        <w:rPr>
          <w:rFonts w:ascii="Times New Roman" w:hAnsi="Times New Roman"/>
          <w:sz w:val="20"/>
        </w:rPr>
      </w:pPr>
      <w:r>
        <w:rPr>
          <w:rFonts w:ascii="Times New Roman" w:hAnsi="Times New Roman"/>
          <w:sz w:val="20"/>
        </w:rPr>
        <w:t xml:space="preserve">3. The text of the Existing Certificate is hereby amended and restated by this Amended and Restated Certificate to read in its entirety as set forth in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both"/>
        <w:rPr>
          <w:rFonts w:ascii="Times New Roman" w:hAnsi="Times New Roman"/>
          <w:sz w:val="20"/>
        </w:rPr>
      </w:pPr>
      <w:r>
        <w:rPr>
          <w:rFonts w:ascii="Times New Roman" w:hAnsi="Times New Roman"/>
          <w:sz w:val="20"/>
        </w:rPr>
        <w:t xml:space="preserve">4. This Amended and Restated Certificate shall become effective on the date of filing with the Secretary of State of the State of Delaware. </w:t>
      </w:r>
    </w:p>
    <w:p>
      <w:pPr>
        <w:pStyle w:val="TextBody"/>
        <w:bidi w:val="0"/>
        <w:spacing w:before="240" w:after="0"/>
        <w:jc w:val="both"/>
        <w:rPr>
          <w:rFonts w:ascii="Times New Roman" w:hAnsi="Times New Roman"/>
          <w:sz w:val="20"/>
        </w:rPr>
      </w:pPr>
      <w:r>
        <w:rPr>
          <w:rFonts w:ascii="Times New Roman" w:hAnsi="Times New Roman"/>
          <w:sz w:val="20"/>
        </w:rPr>
        <w:t xml:space="preserve">IN WITNESS WHEREOF, CG Oncology, Inc. has caused this Amended and Restated Certificate to be signed by a duly authorized officer of the Corporation, on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1"/>
        <w:gridCol w:w="191"/>
        <w:gridCol w:w="2980"/>
      </w:tblGrid>
      <w:tr>
        <w:trPr/>
        <w:tc>
          <w:tcPr>
            <w:tcW w:w="911"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CG ONCOLOGY, INC.</w:t>
            </w:r>
          </w:p>
        </w:tc>
      </w:tr>
      <w:tr>
        <w:trPr>
          <w:trHeight w:val="240" w:hRule="atLeast"/>
        </w:trPr>
        <w:tc>
          <w:tcPr>
            <w:tcW w:w="911" w:type="dxa"/>
            <w:tcBorders/>
            <w:vAlign w:val="center"/>
          </w:tcPr>
          <w:p>
            <w:pPr>
              <w:pStyle w:val="TableContents"/>
              <w:bidi w:val="0"/>
              <w:spacing w:before="0" w:after="283"/>
              <w:jc w:val="left"/>
              <w:rPr>
                <w:sz w:val="4"/>
                <w:szCs w:val="4"/>
              </w:rPr>
            </w:pPr>
            <w:r>
              <w:rPr>
                <w:sz w:val="4"/>
                <w:szCs w:val="4"/>
              </w:rPr>
            </w:r>
          </w:p>
        </w:tc>
        <w:tc>
          <w:tcPr>
            <w:tcW w:w="3171"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91"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both"/>
              <w:rPr/>
            </w:pPr>
            <w:r>
              <w:rPr/>
              <w:t> </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Name: Arthur Kuan</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Title: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Amended and Restated Certificate of Incorporation]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both"/>
        <w:rPr>
          <w:rFonts w:ascii="Times New Roman" w:hAnsi="Times New Roman"/>
          <w:sz w:val="20"/>
        </w:rPr>
      </w:pPr>
      <w:r>
        <w:rPr>
          <w:rFonts w:ascii="Times New Roman" w:hAnsi="Times New Roman"/>
          <w:sz w:val="20"/>
        </w:rPr>
        <w:t>The name of the corporation is CG Oncology,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AND AGENT </w:t>
      </w:r>
    </w:p>
    <w:p>
      <w:pPr>
        <w:pStyle w:val="TextBody"/>
        <w:bidi w:val="0"/>
        <w:spacing w:before="240" w:after="0"/>
        <w:jc w:val="both"/>
        <w:rPr>
          <w:rFonts w:ascii="Times New Roman" w:hAnsi="Times New Roman"/>
          <w:sz w:val="20"/>
        </w:rPr>
      </w:pPr>
      <w:r>
        <w:rPr>
          <w:rFonts w:ascii="Times New Roman" w:hAnsi="Times New Roman"/>
          <w:sz w:val="20"/>
        </w:rPr>
        <w:t xml:space="preserve">The address of the Corporations registered office in the State of Delaware is 3500 South DuPont Highway, in the City of Dover, County of Kent, 19901, and the name of its registered agent at such address is Incorporating Services, Ltd.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both"/>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as it now exists or may hereafter be amended and supplemented.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both"/>
        <w:rPr>
          <w:rFonts w:ascii="Times New Roman" w:hAnsi="Times New Roman"/>
          <w:sz w:val="20"/>
        </w:rPr>
      </w:pPr>
      <w:r>
        <w:rPr>
          <w:rFonts w:ascii="Times New Roman" w:hAnsi="Times New Roman"/>
          <w:sz w:val="20"/>
        </w:rPr>
        <w:t>The Corporation is authorized to issue two classes of stock to be designated, respectively, </w:t>
      </w:r>
      <w:r>
        <w:rPr>
          <w:rFonts w:ascii="Times New Roman" w:hAnsi="Times New Roman"/>
          <w:sz w:val="20"/>
          <w:u w:val="single"/>
        </w:rPr>
        <w:t>Common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xml:space="preserve">. The total number of shares of capital stock which the Corporation shall have authority to issue is 770,000,000. The total number of shares of Common Stock that the Corporation is authorized to issue is 700,000,000, having a par value of $0.0001 per share, and the total number of shares of Preferred Stock that the Corporation is authorized to issue is 70,000,000, having a par value of $0.0001 per share. </w:t>
      </w:r>
    </w:p>
    <w:p>
      <w:pPr>
        <w:pStyle w:val="TextBody"/>
        <w:bidi w:val="0"/>
        <w:spacing w:before="240" w:after="0"/>
        <w:jc w:val="both"/>
        <w:rPr>
          <w:rFonts w:ascii="Times New Roman" w:hAnsi="Times New Roman"/>
          <w:sz w:val="20"/>
        </w:rPr>
      </w:pPr>
      <w:r>
        <w:rPr>
          <w:rFonts w:ascii="Times New Roman" w:hAnsi="Times New Roman"/>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hAnsi="Times New Roman"/>
          <w:sz w:val="20"/>
          <w:u w:val="single"/>
        </w:rPr>
        <w:t>Board of Directors</w:t>
      </w:r>
      <w:r>
        <w:rPr>
          <w:rFonts w:ascii="Times New Roman" w:hAnsi="Times New Roman"/>
          <w:sz w:val="20"/>
        </w:rPr>
        <w:t xml:space="preserve">) and outstanding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matter. Except as otherwise required by law, holders of Common Stock, as such, shall not be entitled to vote on any amendment to this Amended and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Amended and Restated Certificate (including any Certificate of Designation) or pursuant to the DGCL.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Liquidation</w:t>
      </w:r>
      <w:r>
        <w:rPr>
          <w:rFonts w:ascii="Times New Roman" w:hAnsi="Times New Roman"/>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hAnsi="Times New Roman"/>
          <w:i/>
          <w:sz w:val="20"/>
        </w:rPr>
        <w:t>pro rata</w:t>
      </w:r>
      <w:r>
        <w:rPr>
          <w:rFonts w:ascii="Times New Roman" w:hAnsi="Times New Roman"/>
          <w:sz w:val="20"/>
        </w:rPr>
        <w:t xml:space="preserve"> in accordance with the number of shares of Common Stock held by each such holder.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240" w:after="0"/>
        <w:jc w:val="both"/>
        <w:rPr>
          <w:rFonts w:ascii="Times New Roman" w:hAnsi="Times New Roman"/>
          <w:sz w:val="20"/>
        </w:rPr>
      </w:pPr>
      <w:r>
        <w:rPr>
          <w:rFonts w:ascii="Times New Roman" w:hAnsi="Times New Roman"/>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hAnsi="Times New Roman"/>
          <w:sz w:val="20"/>
          <w:u w:val="single"/>
        </w:rPr>
        <w:t>Certificate of Designation</w:t>
      </w:r>
      <w:r>
        <w:rPr>
          <w:rFonts w:ascii="Times New Roman" w:hAnsi="Times New Roman"/>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Amended and Restated Certificate (including any Certificate of Designation). Except as otherwise required by law, holders of any series of Preferred Stock shall be entitled only to such voting rights, if any, as shall expressly be granted thereto by this Amended and Restated Certificate (including any Certificate of Designation). </w:t>
      </w:r>
    </w:p>
    <w:p>
      <w:pPr>
        <w:pStyle w:val="TextBody"/>
        <w:bidi w:val="0"/>
        <w:spacing w:before="240" w:after="0"/>
        <w:jc w:val="both"/>
        <w:rPr>
          <w:rFonts w:ascii="Times New Roman" w:hAnsi="Times New Roman"/>
          <w:sz w:val="20"/>
        </w:rPr>
      </w:pPr>
      <w:r>
        <w:rPr>
          <w:rFonts w:ascii="Times New Roman" w:hAnsi="Times New Roman"/>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For the management of the business and for the conduct of the affairs of the Corporation it is further provided that: </w:t>
      </w:r>
    </w:p>
    <w:p>
      <w:pPr>
        <w:pStyle w:val="TextBody"/>
        <w:bidi w:val="0"/>
        <w:spacing w:before="240" w:after="0"/>
        <w:jc w:val="both"/>
        <w:rPr>
          <w:rFonts w:ascii="Times New Roman" w:hAnsi="Times New Roman"/>
          <w:sz w:val="20"/>
        </w:rPr>
      </w:pPr>
      <w:r>
        <w:rPr>
          <w:rFonts w:ascii="Times New Roman" w:hAnsi="Times New Roman"/>
          <w:sz w:val="20"/>
        </w:rPr>
        <w:t xml:space="preserve">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the date of this Amended and Restated Certificate; the initial Class II directors shall serve for a term expiring at the second annual meeting of the stockholders following the date of this Amended and Restated Certificate; and the initial Class III directors shall serve for a term expiring at the third annual meeting of the stockholders following the date of this Amended and Restated Certificate. At each annual meeting of the stockholders of the Corporation beginning with the first annual meeting of the stockholders following the date of this Amended and Restated Certificate,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Except as otherwise expressly provided by the DGCL or this Amended and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(66 and 2/3%) of the voting power of all of the then outstanding shares of voting stock of the Corporation entitled to vote at an election of directors. </w:t>
      </w:r>
    </w:p>
    <w:p>
      <w:pPr>
        <w:pStyle w:val="TextBody"/>
        <w:bidi w:val="0"/>
        <w:spacing w:before="240" w:after="0"/>
        <w:jc w:val="both"/>
        <w:rPr>
          <w:rFonts w:ascii="Times New Roman" w:hAnsi="Times New Roman"/>
          <w:sz w:val="20"/>
        </w:rPr>
      </w:pPr>
      <w:r>
        <w:rPr>
          <w:rFonts w:ascii="Times New Roman" w:hAnsi="Times New Roman"/>
          <w:sz w:val="20"/>
        </w:rPr>
        <w:t xml:space="preserve">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(including any Certificate of Designation). Notwithstanding anything to the contrary in this </w:t>
      </w:r>
      <w:r>
        <w:rPr>
          <w:rFonts w:ascii="Times New Roman" w:hAnsi="Times New Roman"/>
          <w:sz w:val="20"/>
          <w:u w:val="single"/>
        </w:rPr>
        <w:t>Article V</w:t>
      </w:r>
      <w:r>
        <w:rPr>
          <w:rFonts w:ascii="Times New Roman" w:hAnsi="Times New Roman"/>
          <w:sz w:val="20"/>
        </w:rPr>
        <w:t xml:space="preserve">, the number of directors that may be elected by the holders of any such series of Preferred Stock shall be in addition to the number fixed pursuant to paragraph B of this </w:t>
      </w:r>
      <w:r>
        <w:rPr>
          <w:rFonts w:ascii="Times New Roman" w:hAnsi="Times New Roman"/>
          <w:sz w:val="20"/>
          <w:u w:val="single"/>
        </w:rPr>
        <w:t>Article V</w:t>
      </w:r>
      <w:r>
        <w:rPr>
          <w:rFonts w:ascii="Times New Roman" w:hAnsi="Times New Roman"/>
          <w:sz w:val="20"/>
        </w:rPr>
        <w:t xml:space="preserve">,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F. In furtherance and not in limitation of the powers conferred by statute, the Board of Directors is expressly authorized to adopt, amend or repeal the Amended and Restated Bylaws of the Corporation (as amended and/or restated from time to time, the </w:t>
      </w:r>
      <w:r>
        <w:rPr>
          <w:rFonts w:ascii="Times New Roman" w:hAnsi="Times New Roman"/>
          <w:sz w:val="20"/>
          <w:u w:val="single"/>
        </w:rPr>
        <w:t>Bylaws</w:t>
      </w:r>
      <w:r>
        <w:rPr>
          <w:rFonts w:ascii="Times New Roman" w:hAnsi="Times New Roman"/>
          <w:sz w:val="20"/>
        </w:rPr>
        <w:t xml:space="preserve">). In addition to any vote of the holders of any class or series of stock of the Corporation required by applicable law or by this Amended and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(66 and 2/3%) of the voting power of all of the then outstanding shares of voting stock of the Corporation entitled to vote generally in an election of directors. </w:t>
      </w:r>
    </w:p>
    <w:p>
      <w:pPr>
        <w:pStyle w:val="TextBody"/>
        <w:bidi w:val="0"/>
        <w:spacing w:before="240" w:after="0"/>
        <w:jc w:val="both"/>
        <w:rPr>
          <w:rFonts w:ascii="Times New Roman" w:hAnsi="Times New Roman"/>
          <w:sz w:val="20"/>
        </w:rPr>
      </w:pPr>
      <w:r>
        <w:rPr>
          <w:rFonts w:ascii="Times New Roman" w:hAnsi="Times New Roman"/>
          <w:sz w:val="20"/>
        </w:rPr>
        <w:t xml:space="preserve">G. The directors of the Corporation need not be elected by written ballot unless the Bylaws so provide.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both"/>
        <w:rPr>
          <w:rFonts w:ascii="Times New Roman" w:hAnsi="Times New Roman"/>
          <w:sz w:val="20"/>
        </w:rPr>
      </w:pPr>
      <w:r>
        <w:rPr>
          <w:rFonts w:ascii="Times New Roman" w:hAnsi="Times New Roman"/>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240" w:after="0"/>
        <w:jc w:val="both"/>
        <w:rPr>
          <w:rFonts w:ascii="Times New Roman" w:hAnsi="Times New Roman"/>
          <w:sz w:val="20"/>
        </w:rPr>
      </w:pPr>
      <w:r>
        <w:rPr>
          <w:rFonts w:ascii="Times New Roman" w:hAnsi="Times New Roman"/>
          <w:sz w:val="20"/>
        </w:rPr>
        <w:t xml:space="preserve">B.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the President, and shall not be called by any other person or persons. </w:t>
      </w:r>
    </w:p>
    <w:p>
      <w:pPr>
        <w:pStyle w:val="TextBody"/>
        <w:bidi w:val="0"/>
        <w:spacing w:before="240" w:after="0"/>
        <w:jc w:val="both"/>
        <w:rPr>
          <w:rFonts w:ascii="Times New Roman" w:hAnsi="Times New Roman"/>
          <w:sz w:val="20"/>
        </w:rPr>
      </w:pPr>
      <w:r>
        <w:rPr>
          <w:rFonts w:ascii="Times New Roman" w:hAnsi="Times New Roman"/>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w:t>
      </w:r>
      <w:r>
        <w:rPr>
          <w:rFonts w:ascii="Times New Roman" w:hAnsi="Times New Roman"/>
          <w:sz w:val="20"/>
          <w:u w:val="single"/>
        </w:rPr>
        <w:t>Article VII</w:t>
      </w:r>
      <w:r>
        <w:rPr>
          <w:rFonts w:ascii="Times New Roman" w:hAnsi="Times New Roman"/>
          <w:sz w:val="20"/>
        </w:rPr>
        <w:t xml:space="preserve">, or the adoption of any provision of the Amended and Restated Certificate inconsistent with this </w:t>
      </w:r>
      <w:r>
        <w:rPr>
          <w:rFonts w:ascii="Times New Roman" w:hAnsi="Times New Roman"/>
          <w:sz w:val="20"/>
          <w:u w:val="single"/>
        </w:rPr>
        <w:t>Article VII</w:t>
      </w:r>
      <w:r>
        <w:rPr>
          <w:rFonts w:ascii="Times New Roman" w:hAnsi="Times New Roman"/>
          <w:sz w:val="20"/>
        </w:rPr>
        <w:t xml:space="preserve">, shall not adversely affect any right or protection of a director or officer of the Corporation with respect to any act or omission occurring prior to such amendment, repeal, modification or adoption. If the DGCL is amended after approval by the stockholders of this </w:t>
      </w:r>
      <w:r>
        <w:rPr>
          <w:rFonts w:ascii="Times New Roman" w:hAnsi="Times New Roman"/>
          <w:sz w:val="20"/>
          <w:u w:val="single"/>
        </w:rPr>
        <w:t>Article VII</w:t>
      </w:r>
      <w:r>
        <w:rPr>
          <w:rFonts w:ascii="Times New Roman" w:hAnsi="Times New Roman"/>
          <w:sz w:val="20"/>
        </w:rPr>
        <w:t xml:space="preserve">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FORUM SELECTION </w:t>
      </w:r>
    </w:p>
    <w:p>
      <w:pPr>
        <w:pStyle w:val="TextBody"/>
        <w:bidi w:val="0"/>
        <w:spacing w:before="240" w:after="0"/>
        <w:jc w:val="both"/>
        <w:rPr>
          <w:rFonts w:ascii="Times New Roman" w:hAnsi="Times New Roman"/>
          <w:sz w:val="20"/>
        </w:rPr>
      </w:pPr>
      <w:r>
        <w:rPr>
          <w:rFonts w:ascii="Times New Roman" w:hAnsi="Times New Roman"/>
          <w:sz w:val="20"/>
        </w:rPr>
        <w:t>Unless the Corporation consents in writing to the selection of an alternative forum, (a) the Court of Chancery (the </w:t>
      </w:r>
      <w:r>
        <w:rPr>
          <w:rFonts w:ascii="Times New Roman" w:hAnsi="Times New Roman"/>
          <w:sz w:val="20"/>
          <w:u w:val="single"/>
        </w:rPr>
        <w:t>Chancery Court</w:t>
      </w:r>
      <w:r>
        <w:rPr>
          <w:rFonts w:ascii="Times New Roman" w:hAnsi="Times New Roman"/>
          <w:sz w:val="20"/>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w:t>
      </w:r>
      <w:r>
        <w:rPr>
          <w:rFonts w:ascii="Times New Roman" w:hAnsi="Times New Roman"/>
          <w:sz w:val="20"/>
          <w:u w:val="single"/>
        </w:rPr>
        <w:t>Proceeding</w:t>
      </w:r>
      <w:r>
        <w:rPr>
          <w:rFonts w:ascii="Times New Roman" w:hAnsi="Times New Roman"/>
          <w:sz w:val="20"/>
        </w:rPr>
        <w:t xml:space="preserve">) brought on behalf of the Corporation, (ii) any Proceeding asserting a claim of breach of a fiduciary duty owed by any director, officer or stockholder of the Corporation to the Corporation or to the Corporations stockholders, (iii) any Proceeding arising pursuant to any provision of the DGCL, this Amended and Restated Certificate or the Bylaws (in each case, as may be amended from time to time) or (iv) any Proceeding asserting a claim against the Corporation governed by the internal affairs doctrine; and (b) subject to the preceding provisions of this </w:t>
      </w:r>
      <w:r>
        <w:rPr>
          <w:rFonts w:ascii="Times New Roman" w:hAnsi="Times New Roman"/>
          <w:sz w:val="20"/>
          <w:u w:val="single"/>
        </w:rPr>
        <w:t>Article IX</w:t>
      </w:r>
      <w:r>
        <w:rPr>
          <w:rFonts w:ascii="Times New Roman" w:hAnsi="Times New Roman"/>
          <w:sz w:val="20"/>
        </w:rPr>
        <w:t>, to the extent permitted by applicable law, the federal district courts of the United States of America shall be the exclusive forum for the resolution of any complaint asserting a cause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hAnsi="Times New Roman"/>
          <w:sz w:val="20"/>
          <w:u w:val="single"/>
        </w:rPr>
        <w:t>Foreign Action</w:t>
      </w:r>
      <w:r>
        <w:rPr>
          <w:rFonts w:ascii="Times New Roman" w:hAnsi="Times New Roman"/>
          <w:sz w:val="20"/>
        </w:rPr>
        <w:t xml:space="preserve">), such stockholder shall be deemed to have consented to (x) the personal jurisdiction of the state and federal courts in the State of Delaware in connection with any action brought in any such court to enforce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clause (a) of the immediately preceding sentence and (y) having service of process made upon such stockholder in any such action by service upon such stockholders counsel in the Foreign Action as agent for such stockholder. If any action the subject matter of which is within the scope of clause (b) of this </w:t>
      </w:r>
      <w:r>
        <w:rPr>
          <w:rFonts w:ascii="Times New Roman" w:hAnsi="Times New Roman"/>
          <w:sz w:val="20"/>
          <w:u w:val="single"/>
        </w:rPr>
        <w:t>Article IX</w:t>
      </w:r>
      <w:r>
        <w:rPr>
          <w:rFonts w:ascii="Times New Roman" w:hAnsi="Times New Roman"/>
          <w:sz w:val="20"/>
        </w:rPr>
        <w:t xml:space="preserve"> is filed in a court other than the federal district courts of the United States of America (a </w:t>
      </w:r>
      <w:r>
        <w:rPr>
          <w:rFonts w:ascii="Times New Roman" w:hAnsi="Times New Roman"/>
          <w:sz w:val="20"/>
          <w:u w:val="single"/>
        </w:rPr>
        <w:t>Foreign Securities Act Action</w:t>
      </w:r>
      <w:r>
        <w:rPr>
          <w:rFonts w:ascii="Times New Roman" w:hAnsi="Times New Roman"/>
          <w:sz w:val="20"/>
        </w:rPr>
        <w:t>) in the name of any stockholder, such stockholder shall be deemed to have consented to (i) the personal jurisdiction of the federal district courts of the United States of America in connection with any action brought in any such court to enforce clause (b) (a </w:t>
      </w:r>
      <w:r>
        <w:rPr>
          <w:rFonts w:ascii="Times New Roman" w:hAnsi="Times New Roman"/>
          <w:sz w:val="20"/>
          <w:u w:val="single"/>
        </w:rPr>
        <w:t>Securities Act Enforcement Action</w:t>
      </w:r>
      <w:r>
        <w:rPr>
          <w:rFonts w:ascii="Times New Roman" w:hAnsi="Times New Roman"/>
          <w:sz w:val="20"/>
        </w:rPr>
        <w:t xml:space="preserve">), and (ii) having service of process made upon such stockholder in any such Securities Act Enforcement Action by service upon such stockholders counsel in the Foreign Securities Act Action as agent for such stockholder.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clause (b) of this </w:t>
      </w:r>
      <w:r>
        <w:rPr>
          <w:rFonts w:ascii="Times New Roman" w:hAnsi="Times New Roman"/>
          <w:sz w:val="20"/>
          <w:u w:val="single"/>
        </w:rPr>
        <w:t>Article IX</w:t>
      </w:r>
      <w:r>
        <w:rPr>
          <w:rFonts w:ascii="Times New Roman" w:hAnsi="Times New Roman"/>
          <w:sz w:val="20"/>
        </w:rPr>
        <w:t xml:space="preserve"> is intended to benefit and may be enforced by the Corporation, its officers and directors, the underwriters to any offering giving rise to any Proceeding, and any other professional or entity whose profession gives authority to a statement made by that person or entity and who has prepared or certified any part of the documents underlying the offering. </w:t>
      </w:r>
    </w:p>
    <w:p>
      <w:pPr>
        <w:pStyle w:val="TextBody"/>
        <w:bidi w:val="0"/>
        <w:spacing w:before="240" w:after="0"/>
        <w:jc w:val="both"/>
        <w:rPr>
          <w:rFonts w:ascii="Times New Roman" w:hAnsi="Times New Roman"/>
          <w:sz w:val="20"/>
        </w:rPr>
      </w:pPr>
      <w:r>
        <w:rPr>
          <w:rFonts w:ascii="Times New Roman" w:hAnsi="Times New Roman"/>
          <w:sz w:val="20"/>
        </w:rPr>
        <w:t xml:space="preserve">Any person or entity purchasing or otherwise acquiring any interest in any security of the Corporation shall be deemed to have notice of and consented to this </w:t>
      </w:r>
      <w:r>
        <w:rPr>
          <w:rFonts w:ascii="Times New Roman" w:hAnsi="Times New Roman"/>
          <w:sz w:val="20"/>
          <w:u w:val="single"/>
        </w:rPr>
        <w:t>Article IX</w:t>
      </w:r>
      <w:r>
        <w:rPr>
          <w:rFonts w:ascii="Times New Roman" w:hAnsi="Times New Roman"/>
          <w:sz w:val="20"/>
        </w:rPr>
        <w:t xml:space="preserve">. Notwithstanding the foregoing, the provisions of this </w:t>
      </w:r>
      <w:r>
        <w:rPr>
          <w:rFonts w:ascii="Times New Roman" w:hAnsi="Times New Roman"/>
          <w:sz w:val="20"/>
          <w:u w:val="single"/>
        </w:rPr>
        <w:t>Article IX</w:t>
      </w:r>
      <w:r>
        <w:rPr>
          <w:rFonts w:ascii="Times New Roman" w:hAnsi="Times New Roman"/>
          <w:sz w:val="20"/>
        </w:rPr>
        <w:t xml:space="preserve"> shall not apply to suits brought to enforce any liability or duty created by the Securities Exchange Act of 1934, as amended, or any other claim for which the federal courts of the United States have exclusive jurisdiction. </w:t>
      </w:r>
    </w:p>
    <w:p>
      <w:pPr>
        <w:pStyle w:val="TextBody"/>
        <w:bidi w:val="0"/>
        <w:spacing w:before="240" w:after="0"/>
        <w:jc w:val="both"/>
        <w:rPr>
          <w:rFonts w:ascii="Times New Roman" w:hAnsi="Times New Roman"/>
          <w:sz w:val="20"/>
        </w:rPr>
      </w:pPr>
      <w:r>
        <w:rPr>
          <w:rFonts w:ascii="Times New Roman" w:hAnsi="Times New Roman"/>
          <w:sz w:val="20"/>
        </w:rPr>
        <w:t xml:space="preserve">If any provision or provisions of this </w:t>
      </w:r>
      <w:r>
        <w:rPr>
          <w:rFonts w:ascii="Times New Roman" w:hAnsi="Times New Roman"/>
          <w:sz w:val="20"/>
          <w:u w:val="single"/>
        </w:rPr>
        <w:t>Article IX</w:t>
      </w:r>
      <w:r>
        <w:rPr>
          <w:rFonts w:ascii="Times New Roman" w:hAnsi="Times New Roman"/>
          <w:sz w:val="20"/>
        </w:rPr>
        <w:t xml:space="preserve"> shall be held to be invalid, illegal or unenforceable as applied to any circumstance for any reason whatsoever, (i) the validity, legality and enforceability of such provisions in any other circumstance and of the remaining provisions of this Article IX (including, without limitation, each portion of any paragraph of this Article IX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both"/>
        <w:rPr>
          <w:rFonts w:ascii="Times New Roman" w:hAnsi="Times New Roman"/>
          <w:sz w:val="20"/>
        </w:rPr>
      </w:pPr>
      <w:r>
        <w:rPr>
          <w:rFonts w:ascii="Times New Roman" w:hAnsi="Times New Roman"/>
          <w:sz w:val="20"/>
        </w:rPr>
        <w:t xml:space="preserve">A. Notwithstanding anything contained in this Amended and Restated Certificate to the contrary, in addition to any vote required by applicable law, the following provisions in this Amended and Restated Certificate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the Corporation entitled to vote thereon,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together as a single class: Part B of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and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If any provision or provisions of this Amended and Restated Certificate shall be held to be invalid, illegal or unenforceable as applied to any 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44" w:name="d551455dex41.htm"/>
      <w:bookmarkStart w:id="45" w:name="ksd551455dex41"/>
      <w:bookmarkEnd w:id="44"/>
      <w:bookmarkEnd w:id="45"/>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03885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3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NUMBER SHARES COUNTERSIGNED: BROADRIDGE CORPORATE ISSUER SOLUTIONS, LLC TRANSFER AGENT BY: AUTHORIZED SIGNATURE DATED: INCORPORATED UNDER THE LAWS OF THE STATE OF DELAWARE CUSIP 156944 10 0 SEE REVERSE FOR CERTAIN DEFINITIONS This Certifies That: is the owner of C O M M ON S T O C K CHIEF FINANCIAL OFFICER CHIEF EXECUTIVE OFFICER FULLY PAID AND NON-ASSESSABLE SHARES OF COMMON STOCK OF $0.0001 PAR VALUE EACH OF CG Onco log y, Inc. transferable on the books of the Corporation by the holder thereof in person or by duly authorized attorney upon surrender of this certificate duly endorsed or assigned. This certificate and the shares represented hereby are subject to the laws of the State of Delaware, and to the Certificate of Incorporation and Bylaws of the Corporation, as now or hereafter amended. This certificate is not valid until countersigned by the Transfer Agent. WITNESS the facsimile seal of the Corporation and the facsimile signatures of its duly authorized officers. SPECIMEN SPECIMEN SPECIMENNOT NEGOTIABLE SPECIMEN not negotiable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i/>
          <w:sz w:val="18"/>
        </w:rPr>
      </w:pPr>
      <w:r>
        <w:rPr>
          <w:rFonts w:ascii="ARIAL" w:hAnsi="ARIAL"/>
          <w:i/>
          <w:sz w:val="18"/>
        </w:rPr>
        <w:t xml:space="preserve">The following abbreviations, when used in the inscription on the face of this certificate,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
        <w:gridCol w:w="109"/>
        <w:gridCol w:w="3478"/>
        <w:gridCol w:w="140"/>
        <w:gridCol w:w="5506"/>
      </w:tblGrid>
      <w:tr>
        <w:trPr/>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972" w:type="dxa"/>
            <w:tcBorders/>
          </w:tcPr>
          <w:p>
            <w:pPr>
              <w:pStyle w:val="TableContents"/>
              <w:bidi w:val="0"/>
              <w:spacing w:before="0" w:after="0"/>
              <w:jc w:val="both"/>
              <w:rPr/>
            </w:pPr>
            <w:r>
              <w:rPr/>
              <w:t>  </w:t>
            </w:r>
            <w:r>
              <w:rPr>
                <w:rFonts w:ascii="ARIAL" w:hAnsi="ARIAL"/>
                <w:i/>
                <w:sz w:val="18"/>
              </w:rPr>
              <w:t>TEN COM</w:t>
            </w:r>
          </w:p>
        </w:tc>
        <w:tc>
          <w:tcPr>
            <w:tcW w:w="109" w:type="dxa"/>
            <w:tcBorders/>
            <w:vAlign w:val="bottom"/>
          </w:tcPr>
          <w:p>
            <w:pPr>
              <w:pStyle w:val="TableContents"/>
              <w:bidi w:val="0"/>
              <w:spacing w:before="0" w:after="283"/>
              <w:jc w:val="left"/>
              <w:rPr/>
            </w:pPr>
            <w:r>
              <w:rPr/>
              <w:t> </w:t>
            </w:r>
          </w:p>
        </w:tc>
        <w:tc>
          <w:tcPr>
            <w:tcW w:w="3478" w:type="dxa"/>
            <w:tcBorders/>
          </w:tcPr>
          <w:p>
            <w:pPr>
              <w:pStyle w:val="TableContents"/>
              <w:bidi w:val="0"/>
              <w:spacing w:before="0" w:after="0"/>
              <w:jc w:val="both"/>
              <w:rPr>
                <w:rFonts w:ascii="ARIAL" w:hAnsi="ARIAL"/>
                <w:i/>
                <w:sz w:val="18"/>
              </w:rPr>
            </w:pPr>
            <w:r>
              <w:rPr>
                <w:rFonts w:ascii="ARIAL" w:hAnsi="ARIAL"/>
                <w:i/>
                <w:sz w:val="18"/>
              </w:rPr>
              <w:t>- as tenants in common</w:t>
            </w:r>
          </w:p>
        </w:tc>
        <w:tc>
          <w:tcPr>
            <w:tcW w:w="140"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0"/>
              <w:jc w:val="both"/>
              <w:rPr>
                <w:rFonts w:ascii="ARIAL" w:hAnsi="ARIAL"/>
                <w:i/>
                <w:sz w:val="18"/>
              </w:rPr>
            </w:pPr>
            <w:r>
              <w:rPr>
                <w:rFonts w:ascii="ARIAL" w:hAnsi="ARIAL"/>
                <w:i/>
                <w:sz w:val="18"/>
              </w:rPr>
              <w:t>UNIF GIFT MIN ACT - ...................Custodian....................</w:t>
            </w:r>
          </w:p>
        </w:tc>
      </w:tr>
      <w:tr>
        <w:trPr/>
        <w:tc>
          <w:tcPr>
            <w:tcW w:w="972" w:type="dxa"/>
            <w:tcBorders/>
          </w:tcPr>
          <w:p>
            <w:pPr>
              <w:pStyle w:val="TableContents"/>
              <w:bidi w:val="0"/>
              <w:spacing w:before="0" w:after="0"/>
              <w:jc w:val="both"/>
              <w:rPr/>
            </w:pPr>
            <w:r>
              <w:rPr/>
              <w:t>  </w:t>
            </w:r>
            <w:r>
              <w:rPr>
                <w:rFonts w:ascii="ARIAL" w:hAnsi="ARIAL"/>
                <w:i/>
                <w:sz w:val="18"/>
              </w:rPr>
              <w:t>TEN ENT</w:t>
            </w:r>
          </w:p>
        </w:tc>
        <w:tc>
          <w:tcPr>
            <w:tcW w:w="109" w:type="dxa"/>
            <w:tcBorders/>
            <w:vAlign w:val="bottom"/>
          </w:tcPr>
          <w:p>
            <w:pPr>
              <w:pStyle w:val="TableContents"/>
              <w:bidi w:val="0"/>
              <w:spacing w:before="0" w:after="283"/>
              <w:jc w:val="left"/>
              <w:rPr/>
            </w:pPr>
            <w:r>
              <w:rPr/>
              <w:t> </w:t>
            </w:r>
          </w:p>
        </w:tc>
        <w:tc>
          <w:tcPr>
            <w:tcW w:w="3478" w:type="dxa"/>
            <w:tcBorders/>
          </w:tcPr>
          <w:p>
            <w:pPr>
              <w:pStyle w:val="TableContents"/>
              <w:bidi w:val="0"/>
              <w:spacing w:before="0" w:after="0"/>
              <w:jc w:val="both"/>
              <w:rPr>
                <w:rFonts w:ascii="ARIAL" w:hAnsi="ARIAL"/>
                <w:i/>
                <w:sz w:val="18"/>
              </w:rPr>
            </w:pPr>
            <w:r>
              <w:rPr>
                <w:rFonts w:ascii="ARIAL" w:hAnsi="ARIAL"/>
                <w:i/>
                <w:sz w:val="18"/>
              </w:rPr>
              <w:t>- as tenants by the entireties</w:t>
            </w:r>
          </w:p>
        </w:tc>
        <w:tc>
          <w:tcPr>
            <w:tcW w:w="140"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0"/>
              <w:jc w:val="both"/>
              <w:rPr/>
            </w:pPr>
            <w:r>
              <w:rPr/>
              <w:t>                                         </w:t>
            </w:r>
            <w:r>
              <w:rPr>
                <w:rFonts w:ascii="ARIAL" w:hAnsi="ARIAL"/>
                <w:i/>
                <w:sz w:val="14"/>
              </w:rPr>
              <w:t>(Cust)</w:t>
            </w:r>
            <w:r>
              <w:rPr>
                <w:rFonts w:ascii="ARIAL" w:hAnsi="ARIAL"/>
                <w:i/>
                <w:sz w:val="18"/>
              </w:rPr>
              <w:t xml:space="preserve">                         </w:t>
            </w:r>
            <w:r>
              <w:rPr>
                <w:rFonts w:ascii="ARIAL" w:hAnsi="ARIAL"/>
                <w:i/>
                <w:sz w:val="14"/>
              </w:rPr>
              <w:t>(Minor)</w:t>
            </w:r>
          </w:p>
        </w:tc>
      </w:tr>
      <w:tr>
        <w:trPr/>
        <w:tc>
          <w:tcPr>
            <w:tcW w:w="972" w:type="dxa"/>
            <w:tcBorders/>
          </w:tcPr>
          <w:p>
            <w:pPr>
              <w:pStyle w:val="TableContents"/>
              <w:bidi w:val="0"/>
              <w:spacing w:before="0" w:after="0"/>
              <w:jc w:val="both"/>
              <w:rPr/>
            </w:pPr>
            <w:r>
              <w:rPr/>
              <w:t>  </w:t>
            </w:r>
            <w:r>
              <w:rPr>
                <w:rFonts w:ascii="ARIAL" w:hAnsi="ARIAL"/>
                <w:i/>
                <w:sz w:val="18"/>
              </w:rPr>
              <w:t>JT TEN</w:t>
            </w:r>
          </w:p>
        </w:tc>
        <w:tc>
          <w:tcPr>
            <w:tcW w:w="109" w:type="dxa"/>
            <w:tcBorders/>
            <w:vAlign w:val="bottom"/>
          </w:tcPr>
          <w:p>
            <w:pPr>
              <w:pStyle w:val="TableContents"/>
              <w:bidi w:val="0"/>
              <w:spacing w:before="0" w:after="283"/>
              <w:jc w:val="left"/>
              <w:rPr/>
            </w:pPr>
            <w:r>
              <w:rPr/>
              <w:t> </w:t>
            </w:r>
          </w:p>
        </w:tc>
        <w:tc>
          <w:tcPr>
            <w:tcW w:w="3478" w:type="dxa"/>
            <w:tcBorders/>
          </w:tcPr>
          <w:p>
            <w:pPr>
              <w:pStyle w:val="TableContents"/>
              <w:bidi w:val="0"/>
              <w:spacing w:before="0" w:after="0"/>
              <w:jc w:val="both"/>
              <w:rPr>
                <w:rFonts w:ascii="ARIAL" w:hAnsi="ARIAL"/>
                <w:i/>
                <w:sz w:val="18"/>
              </w:rPr>
            </w:pPr>
            <w:r>
              <w:rPr>
                <w:rFonts w:ascii="ARIAL" w:hAnsi="ARIAL"/>
                <w:i/>
                <w:sz w:val="18"/>
              </w:rPr>
              <w:t>- as joint tenants with right of</w:t>
            </w:r>
          </w:p>
        </w:tc>
        <w:tc>
          <w:tcPr>
            <w:tcW w:w="140"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0"/>
              <w:jc w:val="both"/>
              <w:rPr/>
            </w:pPr>
            <w:r>
              <w:rPr/>
              <w:t>                                     </w:t>
            </w:r>
            <w:r>
              <w:rPr>
                <w:rFonts w:ascii="ARIAL" w:hAnsi="ARIAL"/>
                <w:i/>
                <w:sz w:val="18"/>
              </w:rPr>
              <w:t>under Uniform Gifts to Minors</w:t>
            </w:r>
          </w:p>
        </w:tc>
      </w:tr>
      <w:tr>
        <w:trPr/>
        <w:tc>
          <w:tcPr>
            <w:tcW w:w="97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478" w:type="dxa"/>
            <w:tcBorders/>
          </w:tcPr>
          <w:p>
            <w:pPr>
              <w:pStyle w:val="TableContents"/>
              <w:bidi w:val="0"/>
              <w:spacing w:before="0" w:after="0"/>
              <w:jc w:val="both"/>
              <w:rPr/>
            </w:pPr>
            <w:r>
              <w:rPr/>
              <w:t>  </w:t>
            </w:r>
            <w:r>
              <w:rPr>
                <w:rFonts w:ascii="ARIAL" w:hAnsi="ARIAL"/>
                <w:i/>
                <w:sz w:val="18"/>
              </w:rPr>
              <w:t>survivorship and not as tenants</w:t>
            </w:r>
          </w:p>
        </w:tc>
        <w:tc>
          <w:tcPr>
            <w:tcW w:w="140"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0"/>
              <w:jc w:val="both"/>
              <w:rPr/>
            </w:pPr>
            <w:r>
              <w:rPr/>
              <w:t>                                     </w:t>
            </w:r>
            <w:r>
              <w:rPr>
                <w:rFonts w:ascii="ARIAL" w:hAnsi="ARIAL"/>
                <w:i/>
                <w:sz w:val="18"/>
              </w:rPr>
              <w:t>Act ...................................................</w:t>
            </w:r>
          </w:p>
        </w:tc>
      </w:tr>
      <w:tr>
        <w:trPr/>
        <w:tc>
          <w:tcPr>
            <w:tcW w:w="97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478" w:type="dxa"/>
            <w:tcBorders/>
          </w:tcPr>
          <w:p>
            <w:pPr>
              <w:pStyle w:val="TableContents"/>
              <w:bidi w:val="0"/>
              <w:spacing w:before="0" w:after="0"/>
              <w:jc w:val="both"/>
              <w:rPr/>
            </w:pPr>
            <w:r>
              <w:rPr/>
              <w:t>  </w:t>
            </w:r>
            <w:r>
              <w:rPr>
                <w:rFonts w:ascii="ARIAL" w:hAnsi="ARIAL"/>
                <w:i/>
                <w:sz w:val="18"/>
              </w:rPr>
              <w:t>in common</w:t>
            </w:r>
          </w:p>
        </w:tc>
        <w:tc>
          <w:tcPr>
            <w:tcW w:w="140"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0"/>
              <w:jc w:val="both"/>
              <w:rPr/>
            </w:pPr>
            <w:r>
              <w:rPr/>
              <w:t xml:space="preserve">                                                              </w:t>
            </w:r>
            <w:r>
              <w:rPr>
                <w:rFonts w:ascii="ARIAL" w:hAnsi="ARIAL"/>
                <w:i/>
                <w:sz w:val="14"/>
              </w:rPr>
              <w:t>(State)</w:t>
            </w:r>
          </w:p>
        </w:tc>
      </w:tr>
    </w:tbl>
    <w:p>
      <w:pPr>
        <w:pStyle w:val="TextBody"/>
        <w:bidi w:val="0"/>
        <w:spacing w:before="240" w:after="0"/>
        <w:jc w:val="center"/>
        <w:rPr>
          <w:rFonts w:ascii="ARIAL" w:hAnsi="ARIAL"/>
          <w:i/>
          <w:sz w:val="16"/>
        </w:rPr>
      </w:pPr>
      <w:r>
        <w:rPr>
          <w:rFonts w:ascii="ARIAL" w:hAnsi="ARIAL"/>
          <w:i/>
          <w:sz w:val="16"/>
        </w:rPr>
        <w:t xml:space="preserve">Additional abbreviations may also be used though not in the above list. </w:t>
      </w:r>
    </w:p>
    <w:p>
      <w:pPr>
        <w:pStyle w:val="TextBody"/>
        <w:bidi w:val="0"/>
        <w:spacing w:before="480" w:after="0"/>
        <w:jc w:val="center"/>
        <w:rPr>
          <w:rFonts w:ascii="ARIAL" w:hAnsi="ARIAL"/>
          <w:i/>
          <w:sz w:val="20"/>
        </w:rPr>
      </w:pPr>
      <w:r>
        <w:rPr>
          <w:rFonts w:ascii="ARIAL" w:hAnsi="ARIAL"/>
          <w:i/>
          <w:sz w:val="20"/>
        </w:rPr>
        <w:t>For Value Received,</w:t>
      </w:r>
      <w:r>
        <w:rPr>
          <w:rFonts w:ascii="ARIAL" w:hAnsi="ARIAL"/>
          <w:i/>
          <w:sz w:val="20"/>
          <w:u w:val="single"/>
        </w:rPr>
        <w:t>                                                                                 </w:t>
      </w:r>
      <w:r>
        <w:rPr>
          <w:rFonts w:ascii="ARIAL" w:hAnsi="ARIAL"/>
          <w:i/>
          <w:sz w:val="20"/>
        </w:rPr>
        <w:t xml:space="preserve"> hereby sell, assign and transfer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3"/>
        <w:gridCol w:w="123"/>
        <w:gridCol w:w="6209"/>
      </w:tblGrid>
      <w:tr>
        <w:trPr/>
        <w:tc>
          <w:tcPr>
            <w:tcW w:w="387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209" w:type="dxa"/>
            <w:tcBorders/>
            <w:vAlign w:val="center"/>
          </w:tcPr>
          <w:p>
            <w:pPr>
              <w:pStyle w:val="TableContents"/>
              <w:bidi w:val="0"/>
              <w:spacing w:before="0" w:after="283"/>
              <w:jc w:val="left"/>
              <w:rPr>
                <w:sz w:val="4"/>
                <w:szCs w:val="4"/>
              </w:rPr>
            </w:pPr>
            <w:r>
              <w:rPr>
                <w:sz w:val="4"/>
                <w:szCs w:val="4"/>
              </w:rPr>
            </w:r>
          </w:p>
        </w:tc>
      </w:tr>
      <w:tr>
        <w:trPr/>
        <w:tc>
          <w:tcPr>
            <w:tcW w:w="3873" w:type="dxa"/>
            <w:tcBorders/>
          </w:tcPr>
          <w:p>
            <w:pPr>
              <w:pStyle w:val="TableContents"/>
              <w:bidi w:val="0"/>
              <w:spacing w:before="0" w:after="0"/>
              <w:jc w:val="center"/>
              <w:rPr>
                <w:rFonts w:ascii="ARIAL" w:hAnsi="ARIAL"/>
                <w:sz w:val="14"/>
              </w:rPr>
            </w:pPr>
            <w:r>
              <w:rPr>
                <w:rFonts w:ascii="ARIAL" w:hAnsi="ARIAL"/>
                <w:sz w:val="14"/>
              </w:rPr>
              <w:t>PLEASE INSERT SOCIAL SECURITY OR OTHER</w:t>
            </w:r>
          </w:p>
          <w:p>
            <w:pPr>
              <w:pStyle w:val="TableContents"/>
              <w:bidi w:val="0"/>
              <w:spacing w:before="0" w:after="0"/>
              <w:jc w:val="center"/>
              <w:rPr>
                <w:rFonts w:ascii="ARIAL" w:hAnsi="ARIAL"/>
                <w:sz w:val="14"/>
              </w:rPr>
            </w:pPr>
            <w:r>
              <w:rPr>
                <w:rFonts w:ascii="ARIAL" w:hAnsi="ARIAL"/>
                <w:sz w:val="14"/>
              </w:rPr>
              <w:t>IDENTIFYING NUMBER OF ASSIGNEE</w:t>
            </w:r>
          </w:p>
          <w:p>
            <w:pPr>
              <w:pStyle w:val="TableContents"/>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6209" w:type="dxa"/>
            <w:tcBorders/>
          </w:tcPr>
          <w:p>
            <w:pPr>
              <w:pStyle w:val="TableContents"/>
              <w:bidi w:val="0"/>
              <w:spacing w:before="0" w:after="283"/>
              <w:jc w:val="left"/>
              <w:rPr>
                <w:sz w:val="4"/>
                <w:szCs w:val="4"/>
              </w:rPr>
            </w:pPr>
            <w:r>
              <w:rPr>
                <w:sz w:val="4"/>
                <w:szCs w:val="4"/>
              </w:rPr>
            </w:r>
          </w:p>
        </w:tc>
      </w:tr>
      <w:tr>
        <w:trPr/>
        <w:tc>
          <w:tcPr>
            <w:tcW w:w="387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both"/>
              <w:rPr/>
            </w:pPr>
            <w:r>
              <w:rPr/>
              <w:t>    </w:t>
            </w:r>
          </w:p>
          <w:p>
            <w:pPr>
              <w:pStyle w:val="TableContents"/>
              <w:bidi w:val="0"/>
              <w:spacing w:before="0" w:after="20"/>
              <w:jc w:val="both"/>
              <w:rPr/>
            </w:pPr>
            <w:r>
              <w:rPr/>
              <w:t>    </w:t>
            </w:r>
          </w:p>
        </w:tc>
        <w:tc>
          <w:tcPr>
            <w:tcW w:w="123" w:type="dxa"/>
            <w:tcBorders/>
            <w:vAlign w:val="bottom"/>
          </w:tcPr>
          <w:p>
            <w:pPr>
              <w:pStyle w:val="TableContents"/>
              <w:bidi w:val="0"/>
              <w:spacing w:before="0" w:after="283"/>
              <w:jc w:val="left"/>
              <w:rPr/>
            </w:pPr>
            <w:r>
              <w:rPr/>
              <w:t>  </w:t>
            </w:r>
          </w:p>
        </w:tc>
        <w:tc>
          <w:tcPr>
            <w:tcW w:w="620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3"/>
        <w:gridCol w:w="105"/>
        <w:gridCol w:w="787"/>
      </w:tblGrid>
      <w:tr>
        <w:trPr/>
        <w:tc>
          <w:tcPr>
            <w:tcW w:w="931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pPr>
            <w:r>
              <w:rPr/>
              <w:t> </w:t>
            </w:r>
          </w:p>
          <w:p>
            <w:pPr>
              <w:pStyle w:val="TableContents"/>
              <w:pBdr>
                <w:bottom w:val="single" w:sz="2" w:space="1" w:color="000000"/>
              </w:pBdr>
              <w:bidi w:val="0"/>
              <w:spacing w:before="0" w:after="20"/>
              <w:jc w:val="both"/>
              <w:rPr/>
            </w:pPr>
            <w:r>
              <w:rPr/>
              <w:t>     </w:t>
            </w:r>
          </w:p>
        </w:tc>
      </w:tr>
      <w:tr>
        <w:trPr/>
        <w:tc>
          <w:tcPr>
            <w:tcW w:w="9313" w:type="dxa"/>
            <w:tcBorders/>
          </w:tcPr>
          <w:p>
            <w:pPr>
              <w:pStyle w:val="TableContents"/>
              <w:bidi w:val="0"/>
              <w:spacing w:before="0" w:after="283"/>
              <w:jc w:val="center"/>
              <w:rPr/>
            </w:pPr>
            <w:r>
              <w:rPr>
                <w:i/>
              </w:rPr>
              <w:t>(</w:t>
            </w:r>
            <w:r>
              <w:rPr/>
              <w:t>PLEASE PRINT OR TYPE NAME AND ADDRESS, INCLUDING ZIP CODE, OF ASSIGNEE)</w:t>
            </w:r>
          </w:p>
        </w:tc>
        <w:tc>
          <w:tcPr>
            <w:tcW w:w="105"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pPr>
            <w:r>
              <w:rPr/>
              <w:t> </w:t>
            </w:r>
          </w:p>
          <w:p>
            <w:pPr>
              <w:pStyle w:val="TableContents"/>
              <w:pBdr>
                <w:bottom w:val="single" w:sz="2" w:space="1" w:color="000000"/>
              </w:pBdr>
              <w:bidi w:val="0"/>
              <w:spacing w:before="0" w:after="20"/>
              <w:jc w:val="both"/>
              <w:rPr/>
            </w:pPr>
            <w:r>
              <w:rPr/>
              <w:t>     </w:t>
            </w:r>
          </w:p>
        </w:tc>
      </w:tr>
      <w:tr>
        <w:trPr/>
        <w:tc>
          <w:tcPr>
            <w:tcW w:w="10205" w:type="dxa"/>
            <w:gridSpan w:val="3"/>
            <w:tcBorders/>
          </w:tcPr>
          <w:p>
            <w:pPr>
              <w:pStyle w:val="TableContents"/>
              <w:bidi w:val="0"/>
              <w:spacing w:before="0" w:after="0"/>
              <w:jc w:val="left"/>
              <w:rPr/>
            </w:pPr>
            <w:r>
              <w:rPr/>
              <w:t> </w:t>
            </w:r>
          </w:p>
          <w:p>
            <w:pPr>
              <w:pStyle w:val="TableContents"/>
              <w:pBdr>
                <w:bottom w:val="single" w:sz="2" w:space="1" w:color="000000"/>
              </w:pBdr>
              <w:bidi w:val="0"/>
              <w:spacing w:before="0" w:after="20"/>
              <w:jc w:val="both"/>
              <w:rPr/>
            </w:pPr>
            <w:r>
              <w:rPr/>
              <w:t>     </w:t>
            </w:r>
          </w:p>
        </w:tc>
      </w:tr>
      <w:tr>
        <w:trPr/>
        <w:tc>
          <w:tcPr>
            <w:tcW w:w="9313" w:type="dxa"/>
            <w:tcBorders/>
          </w:tcPr>
          <w:p>
            <w:pPr>
              <w:pStyle w:val="TableContents"/>
              <w:bidi w:val="0"/>
              <w:spacing w:before="0" w:after="0"/>
              <w:jc w:val="left"/>
              <w:rPr/>
            </w:pPr>
            <w:r>
              <w:rPr/>
              <w:t> </w:t>
            </w:r>
          </w:p>
          <w:p>
            <w:pPr>
              <w:pStyle w:val="TableContents"/>
              <w:pBdr>
                <w:bottom w:val="single" w:sz="2" w:space="1" w:color="000000"/>
              </w:pBdr>
              <w:bidi w:val="0"/>
              <w:spacing w:before="0" w:after="20"/>
              <w:jc w:val="both"/>
              <w:rPr/>
            </w:pPr>
            <w:r>
              <w:rPr/>
              <w:t>     </w:t>
            </w:r>
          </w:p>
        </w:tc>
        <w:tc>
          <w:tcPr>
            <w:tcW w:w="105"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both"/>
              <w:rPr>
                <w:rFonts w:ascii="ARIAL" w:hAnsi="ARIAL"/>
                <w:i/>
                <w:sz w:val="20"/>
              </w:rPr>
            </w:pPr>
            <w:r>
              <w:rPr>
                <w:rFonts w:ascii="ARIAL" w:hAnsi="ARIAL"/>
                <w:i/>
                <w:sz w:val="20"/>
              </w:rPr>
              <w:t>Shares</w:t>
            </w:r>
          </w:p>
        </w:tc>
      </w:tr>
      <w:tr>
        <w:trPr/>
        <w:tc>
          <w:tcPr>
            <w:tcW w:w="9313" w:type="dxa"/>
            <w:tcBorders/>
          </w:tcPr>
          <w:p>
            <w:pPr>
              <w:pStyle w:val="TableContents"/>
              <w:bidi w:val="0"/>
              <w:spacing w:before="0" w:after="0"/>
              <w:jc w:val="both"/>
              <w:rPr>
                <w:rFonts w:ascii="ARIAL" w:hAnsi="ARIAL"/>
                <w:i/>
                <w:sz w:val="20"/>
              </w:rPr>
            </w:pPr>
            <w:r>
              <w:rPr>
                <w:rFonts w:ascii="ARIAL" w:hAnsi="ARIAL"/>
                <w:i/>
                <w:sz w:val="20"/>
              </w:rPr>
              <w:t>of the stock represented by the within Certificate, and do hereby irrevocably constitute and appoint</w:t>
            </w:r>
          </w:p>
        </w:tc>
        <w:tc>
          <w:tcPr>
            <w:tcW w:w="105"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left"/>
              <w:rPr>
                <w:sz w:val="4"/>
                <w:szCs w:val="4"/>
              </w:rPr>
            </w:pPr>
            <w:r>
              <w:rPr>
                <w:sz w:val="4"/>
                <w:szCs w:val="4"/>
              </w:rPr>
            </w:r>
          </w:p>
        </w:tc>
      </w:tr>
      <w:tr>
        <w:trPr/>
        <w:tc>
          <w:tcPr>
            <w:tcW w:w="931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left"/>
              <w:rPr>
                <w:sz w:val="4"/>
                <w:szCs w:val="4"/>
              </w:rPr>
            </w:pPr>
            <w:r>
              <w:rPr>
                <w:sz w:val="4"/>
                <w:szCs w:val="4"/>
              </w:rPr>
            </w:r>
          </w:p>
        </w:tc>
      </w:tr>
      <w:tr>
        <w:trPr/>
        <w:tc>
          <w:tcPr>
            <w:tcW w:w="9313" w:type="dxa"/>
            <w:tcBorders/>
          </w:tcPr>
          <w:p>
            <w:pPr>
              <w:pStyle w:val="TableContents"/>
              <w:pBdr>
                <w:bottom w:val="single" w:sz="2" w:space="1" w:color="000000"/>
              </w:pBdr>
              <w:bidi w:val="0"/>
              <w:spacing w:before="0" w:after="20"/>
              <w:jc w:val="both"/>
              <w:rPr/>
            </w:pPr>
            <w:r>
              <w:rPr/>
              <w:t> </w:t>
            </w:r>
          </w:p>
        </w:tc>
        <w:tc>
          <w:tcPr>
            <w:tcW w:w="105"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0"/>
              <w:jc w:val="both"/>
              <w:rPr>
                <w:rFonts w:ascii="ARIAL" w:hAnsi="ARIAL"/>
                <w:i/>
                <w:sz w:val="20"/>
              </w:rPr>
            </w:pPr>
            <w:r>
              <w:rPr>
                <w:rFonts w:ascii="ARIAL" w:hAnsi="ARIAL"/>
                <w:i/>
                <w:sz w:val="20"/>
              </w:rPr>
              <w:t>Attorney</w:t>
            </w:r>
          </w:p>
        </w:tc>
      </w:tr>
      <w:tr>
        <w:trPr/>
        <w:tc>
          <w:tcPr>
            <w:tcW w:w="10205" w:type="dxa"/>
            <w:gridSpan w:val="3"/>
            <w:tcBorders/>
          </w:tcPr>
          <w:p>
            <w:pPr>
              <w:pStyle w:val="TableContents"/>
              <w:bidi w:val="0"/>
              <w:spacing w:before="0" w:after="0"/>
              <w:jc w:val="both"/>
              <w:rPr>
                <w:rFonts w:ascii="ARIAL" w:hAnsi="ARIAL"/>
                <w:i/>
                <w:sz w:val="20"/>
              </w:rPr>
            </w:pPr>
            <w:r>
              <w:rPr>
                <w:rFonts w:ascii="ARIAL" w:hAnsi="ARIAL"/>
                <w:i/>
                <w:sz w:val="20"/>
              </w:rPr>
              <w:t>to transfer the said stock on the books of the within named Corporation with full power of substitution in the premises.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both"/>
              <w:rPr>
                <w:rFonts w:ascii="ARIAL" w:hAnsi="ARIAL"/>
                <w:i/>
                <w:sz w:val="20"/>
              </w:rPr>
            </w:pPr>
            <w:r>
              <w:rPr>
                <w:rFonts w:ascii="ARIAL" w:hAnsi="ARIAL"/>
                <w:i/>
                <w:sz w:val="20"/>
              </w:rPr>
              <w:t xml:space="preserve">Dated </w:t>
            </w:r>
            <w:r>
              <w:rPr>
                <w:rFonts w:ascii="ARIAL" w:hAnsi="ARIAL"/>
                <w:i/>
                <w:sz w:val="20"/>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4"/>
        <w:gridCol w:w="101"/>
        <w:gridCol w:w="5920"/>
      </w:tblGrid>
      <w:tr>
        <w:trPr/>
        <w:tc>
          <w:tcPr>
            <w:tcW w:w="418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920" w:type="dxa"/>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920" w:type="dxa"/>
            <w:tcBorders/>
            <w:vAlign w:val="bottom"/>
          </w:tcPr>
          <w:p>
            <w:pPr>
              <w:pStyle w:val="TableContents"/>
              <w:pBdr>
                <w:bottom w:val="single" w:sz="2" w:space="1" w:color="000000"/>
              </w:pBdr>
              <w:bidi w:val="0"/>
              <w:spacing w:before="0" w:after="20"/>
              <w:jc w:val="both"/>
              <w:rPr/>
            </w:pPr>
            <w:r>
              <w:rPr/>
              <w:t> </w:t>
            </w:r>
          </w:p>
        </w:tc>
      </w:tr>
      <w:tr>
        <w:trPr/>
        <w:tc>
          <w:tcPr>
            <w:tcW w:w="41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920" w:type="dxa"/>
            <w:tcBorders/>
          </w:tcPr>
          <w:p>
            <w:pPr>
              <w:pStyle w:val="TableContents"/>
              <w:bidi w:val="0"/>
              <w:spacing w:before="0" w:after="0"/>
              <w:jc w:val="both"/>
              <w:rPr>
                <w:rFonts w:ascii="ARIAL" w:hAnsi="ARIAL"/>
                <w:sz w:val="16"/>
              </w:rPr>
            </w:pPr>
            <w:r>
              <w:rPr>
                <w:rFonts w:ascii="ARIAL" w:hAnsi="ARIAL"/>
                <w:b/>
                <w:sz w:val="16"/>
              </w:rPr>
              <w:t xml:space="preserve">NOTICE: </w:t>
            </w:r>
            <w:r>
              <w:rPr>
                <w:rFonts w:ascii="ARIAL" w:hAnsi="ARIAL"/>
                <w:sz w:val="10"/>
              </w:rPr>
              <w:t>THE SIGNATURE TO THIS ASSIGNMENT MUST CORRESPOND WITH THE NAME AS WRITTEN UPON THE FACE OF THE CERTIFICATE IN EVERY PARTICULAR, WITHOUT ALTERATION OR ENLARGEMENT OR ANY CHANGE WHATSOEVER.</w:t>
            </w:r>
          </w:p>
        </w:tc>
      </w:tr>
      <w:tr>
        <w:trPr/>
        <w:tc>
          <w:tcPr>
            <w:tcW w:w="4184" w:type="dxa"/>
            <w:tcBorders/>
          </w:tcPr>
          <w:p>
            <w:pPr>
              <w:pStyle w:val="TableContents"/>
              <w:bidi w:val="0"/>
              <w:spacing w:before="0" w:after="0"/>
              <w:jc w:val="both"/>
              <w:rPr>
                <w:rFonts w:ascii="ARIAL" w:hAnsi="ARIAL"/>
                <w:b/>
                <w:sz w:val="16"/>
              </w:rPr>
            </w:pPr>
            <w:r>
              <w:rPr>
                <w:rFonts w:ascii="ARIAL" w:hAnsi="ARIAL"/>
                <w:b/>
                <w:sz w:val="16"/>
              </w:rPr>
              <w:t>Signature(s) Guaranteed</w:t>
            </w:r>
          </w:p>
        </w:tc>
        <w:tc>
          <w:tcPr>
            <w:tcW w:w="101" w:type="dxa"/>
            <w:tcBorders/>
            <w:vAlign w:val="bottom"/>
          </w:tcPr>
          <w:p>
            <w:pPr>
              <w:pStyle w:val="TableContents"/>
              <w:bidi w:val="0"/>
              <w:spacing w:before="0" w:after="283"/>
              <w:jc w:val="left"/>
              <w:rPr/>
            </w:pPr>
            <w:r>
              <w:rPr/>
              <w:t> </w:t>
            </w:r>
          </w:p>
        </w:tc>
        <w:tc>
          <w:tcPr>
            <w:tcW w:w="5920" w:type="dxa"/>
            <w:tcBorders/>
            <w:vAlign w:val="bottom"/>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4694"/>
        <w:gridCol w:w="203"/>
        <w:gridCol w:w="5308"/>
      </w:tblGrid>
      <w:tr>
        <w:trPr/>
        <w:tc>
          <w:tcPr>
            <w:tcW w:w="469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0"/>
              <w:jc w:val="both"/>
              <w:rPr>
                <w:rFonts w:ascii="ARIAL" w:hAnsi="ARIAL"/>
                <w:b/>
                <w:sz w:val="16"/>
              </w:rPr>
            </w:pPr>
            <w:r>
              <w:rPr>
                <w:rFonts w:ascii="ARIAL" w:hAnsi="ARIAL"/>
                <w:b/>
                <w:sz w:val="16"/>
              </w:rPr>
              <w:t>By</w:t>
            </w:r>
            <w:r>
              <w:rPr>
                <w:rFonts w:ascii="ARIAL" w:hAnsi="ARIAL"/>
                <w:b/>
                <w:sz w:val="16"/>
                <w:u w:val="single"/>
              </w:rPr>
              <w:t>                                                                                                                             </w:t>
            </w:r>
          </w:p>
        </w:tc>
        <w:tc>
          <w:tcPr>
            <w:tcW w:w="203" w:type="dxa"/>
            <w:tcBorders/>
            <w:vAlign w:val="bottom"/>
          </w:tcPr>
          <w:p>
            <w:pPr>
              <w:pStyle w:val="TableContents"/>
              <w:bidi w:val="0"/>
              <w:spacing w:before="0" w:after="283"/>
              <w:jc w:val="left"/>
              <w:rPr/>
            </w:pPr>
            <w:r>
              <w:rPr/>
              <w:t>  </w:t>
            </w:r>
          </w:p>
        </w:tc>
        <w:tc>
          <w:tcPr>
            <w:tcW w:w="5308" w:type="dxa"/>
            <w:tcBorders/>
            <w:vAlign w:val="bottom"/>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0"/>
              <w:jc w:val="both"/>
              <w:rPr>
                <w:rFonts w:ascii="ARIAL" w:hAnsi="ARIAL"/>
                <w:sz w:val="16"/>
              </w:rPr>
            </w:pPr>
            <w:r>
              <w:rPr>
                <w:rFonts w:ascii="ARIAL" w:hAnsi="ARIAL"/>
                <w:sz w:val="16"/>
              </w:rPr>
              <w:t>The Signature(s) must be guaranteed by an eligible guarantor institution (Banks, Stockbrokers, Savings and Loan Associations and Credit Unions with membership in an approved Signature Guarantee Medallion Program), pursuant to SEC Rule 17Ad-15.</w:t>
            </w:r>
          </w:p>
        </w:tc>
        <w:tc>
          <w:tcPr>
            <w:tcW w:w="203" w:type="dxa"/>
            <w:tcBorders/>
            <w:vAlign w:val="bottom"/>
          </w:tcPr>
          <w:p>
            <w:pPr>
              <w:pStyle w:val="TableContents"/>
              <w:bidi w:val="0"/>
              <w:spacing w:before="0" w:after="283"/>
              <w:jc w:val="left"/>
              <w:rPr/>
            </w:pPr>
            <w:r>
              <w:rPr/>
              <w:t>  </w:t>
            </w:r>
          </w:p>
        </w:tc>
        <w:tc>
          <w:tcPr>
            <w:tcW w:w="530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0" w:after="0"/>
        <w:jc w:val="both"/>
        <w:rPr>
          <w:rFonts w:ascii="ARIAL" w:hAnsi="ARIAL"/>
          <w:sz w:val="14"/>
        </w:rPr>
      </w:pPr>
      <w:r>
        <w:rPr>
          <w:rFonts w:ascii="ARIAL" w:hAnsi="ARIAL"/>
          <w:sz w:val="14"/>
        </w:rPr>
        <w:t xml:space="preserve">THE CORPORATION WILL FURNISH TO ANY STOCKHOLDER, UPON REQUEST AND WITHOUT CHARGE, A FULL STATEMENT OF THE DESIGNATIONS, RELATIVE RIGHTS, PREFERENCES AND LIMITATIONS OF THE SHARES OF EACH CLASS AND SERIES AUTHORIZED TO BE ISSUED, SO FAR AS THE SAME HAVE BEEN DETERMINED, AND OF THE AUTHORITY, IF ANY, OF THE BOARD TO DIVIDE THE SHARES INTO CLASSES OR SERIES AND TO DETERMINE AND CHANGE THE RELATIVE RIGHTS, PREFERENCES AND LIMITATIONS OF ANY CLASS OR SERIES. SUCH REQUEST MAY BE MADE TO THE SECRETARY OF THE CORPORATION OR TO THE TRANSFER AGENT NAMED ON THIS CERTIFICATE.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0" w:after="0"/>
        <w:jc w:val="right"/>
        <w:rPr>
          <w:rFonts w:ascii="ARIAL" w:hAnsi="ARIAL"/>
          <w:b/>
          <w:sz w:val="10"/>
        </w:rPr>
      </w:pPr>
      <w:r>
        <w:rPr>
          <w:rFonts w:ascii="ARIAL" w:hAnsi="ARIAL"/>
          <w:b/>
          <w:sz w:val="10"/>
        </w:rPr>
        <w:t xml:space="preserve">COLUMBIA PRINTING SERVICES, LLC - </w:t>
      </w:r>
      <w:r>
        <w:rPr>
          <w:rFonts w:ascii="ARIAL" w:hAnsi="ARIAL"/>
          <w:b/>
          <w:sz w:val="13"/>
        </w:rPr>
        <w:t>www.stockinformation.com</w:t>
      </w:r>
      <w:r>
        <w:rPr>
          <w:rFonts w:ascii="ARIAL" w:hAnsi="ARIAL"/>
          <w:b/>
          <w:sz w:val="10"/>
        </w:rPr>
        <w:t xml:space="preserve"> </w:t>
      </w:r>
    </w:p>
    <w:p>
      <w:pPr>
        <w:pStyle w:val="TextBody"/>
        <w:bidi w:val="0"/>
        <w:spacing w:before="0" w:after="0"/>
        <w:jc w:val="right"/>
        <w:rPr>
          <w:rFonts w:ascii="Times New Roman" w:hAnsi="Times New Roman"/>
          <w:b/>
          <w:sz w:val="20"/>
        </w:rPr>
      </w:pPr>
      <w:bookmarkStart w:id="46" w:name="d551455dex42.htm"/>
      <w:bookmarkStart w:id="47" w:name="ksd551455dex42"/>
      <w:bookmarkEnd w:id="46"/>
      <w:bookmarkEnd w:id="4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DATED: July 28,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INVESTORS RIGHTS AGREEMENT (this </w:t>
      </w:r>
      <w:r>
        <w:rPr>
          <w:rFonts w:ascii="Times New Roman" w:hAnsi="Times New Roman"/>
          <w:sz w:val="20"/>
          <w:u w:val="single"/>
        </w:rPr>
        <w:t>Agreement</w:t>
      </w:r>
      <w:r>
        <w:rPr>
          <w:rFonts w:ascii="Times New Roman" w:hAnsi="Times New Roman"/>
          <w:sz w:val="20"/>
        </w:rPr>
        <w:t xml:space="preserve">) is made as of July 28, 2023 by and among </w:t>
      </w:r>
      <w:r>
        <w:rPr>
          <w:rFonts w:ascii="Times New Roman" w:hAnsi="Times New Roman"/>
          <w:b/>
          <w:sz w:val="20"/>
        </w:rPr>
        <w:t>CG ONCOLOGY,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as amended, and the investors listed on </w:t>
      </w:r>
      <w:r>
        <w:rPr>
          <w:rFonts w:ascii="Times New Roman" w:hAnsi="Times New Roman"/>
          <w:sz w:val="20"/>
          <w:u w:val="single"/>
        </w:rPr>
        <w:t>Schedule A</w:t>
      </w:r>
      <w:r>
        <w:rPr>
          <w:rFonts w:ascii="Times New Roman" w:hAnsi="Times New Roman"/>
          <w:sz w:val="20"/>
        </w:rPr>
        <w:t xml:space="preserve"> hereto (each an </w:t>
      </w:r>
      <w:r>
        <w:rPr>
          <w:rFonts w:ascii="Times New Roman" w:hAnsi="Times New Roman"/>
          <w:sz w:val="20"/>
          <w:u w:val="single"/>
        </w:rPr>
        <w:t>Investor</w:t>
      </w:r>
      <w:r>
        <w:rPr>
          <w:rFonts w:ascii="Times New Roman" w:hAnsi="Times New Roman"/>
          <w:sz w:val="20"/>
        </w:rPr>
        <w:t> and collectively the </w:t>
      </w:r>
      <w:r>
        <w:rPr>
          <w:rFonts w:ascii="Times New Roman" w:hAnsi="Times New Roman"/>
          <w:sz w:val="20"/>
          <w:u w:val="single"/>
        </w:rPr>
        <w:t>Investors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of the Investors (the </w:t>
      </w:r>
      <w:r>
        <w:rPr>
          <w:rFonts w:ascii="Times New Roman" w:hAnsi="Times New Roman"/>
          <w:sz w:val="20"/>
          <w:u w:val="single"/>
        </w:rPr>
        <w:t>Existing Investors</w:t>
      </w:r>
      <w:r>
        <w:rPr>
          <w:rFonts w:ascii="Times New Roman" w:hAnsi="Times New Roman"/>
          <w:sz w:val="20"/>
        </w:rPr>
        <w:t>) hold shares of Series A-1 Preferred Stock of the Company (the </w:t>
      </w:r>
      <w:r>
        <w:rPr>
          <w:rFonts w:ascii="Times New Roman" w:hAnsi="Times New Roman"/>
          <w:sz w:val="20"/>
          <w:u w:val="single"/>
        </w:rPr>
        <w:t>Series A-1 Preferred Stock</w:t>
      </w:r>
      <w:r>
        <w:rPr>
          <w:rFonts w:ascii="Times New Roman" w:hAnsi="Times New Roman"/>
          <w:sz w:val="20"/>
        </w:rPr>
        <w:t>), shares of Series B Preferred Stock of the Company (the </w:t>
      </w:r>
      <w:r>
        <w:rPr>
          <w:rFonts w:ascii="Times New Roman" w:hAnsi="Times New Roman"/>
          <w:sz w:val="20"/>
          <w:u w:val="single"/>
        </w:rPr>
        <w:t>Series B Preferred Stock</w:t>
      </w:r>
      <w:r>
        <w:rPr>
          <w:rFonts w:ascii="Times New Roman" w:hAnsi="Times New Roman"/>
          <w:sz w:val="20"/>
        </w:rPr>
        <w:t>), shares of Series C Preferred Stock of the Company (the </w:t>
      </w:r>
      <w:r>
        <w:rPr>
          <w:rFonts w:ascii="Times New Roman" w:hAnsi="Times New Roman"/>
          <w:sz w:val="20"/>
          <w:u w:val="single"/>
        </w:rPr>
        <w:t>Series C Preferred Stock</w:t>
      </w:r>
      <w:r>
        <w:rPr>
          <w:rFonts w:ascii="Times New Roman" w:hAnsi="Times New Roman"/>
          <w:sz w:val="20"/>
        </w:rPr>
        <w:t>), shares of Series D Preferred stock of the Company (the </w:t>
      </w:r>
      <w:r>
        <w:rPr>
          <w:rFonts w:ascii="Times New Roman" w:hAnsi="Times New Roman"/>
          <w:sz w:val="20"/>
          <w:u w:val="single"/>
        </w:rPr>
        <w:t>Series D Preferred Stock</w:t>
      </w:r>
      <w:r>
        <w:rPr>
          <w:rFonts w:ascii="Times New Roman" w:hAnsi="Times New Roman"/>
          <w:sz w:val="20"/>
        </w:rPr>
        <w:t>), shares of Series E Preferred stock of the Company (the </w:t>
      </w:r>
      <w:r>
        <w:rPr>
          <w:rFonts w:ascii="Times New Roman" w:hAnsi="Times New Roman"/>
          <w:sz w:val="20"/>
          <w:u w:val="single"/>
        </w:rPr>
        <w:t>Series E Preferred Stock</w:t>
      </w:r>
      <w:r>
        <w:rPr>
          <w:rFonts w:ascii="Times New Roman" w:hAnsi="Times New Roman"/>
          <w:sz w:val="20"/>
        </w:rPr>
        <w:t>) and/or shares of Common Stock of the Company (the </w:t>
      </w:r>
      <w:r>
        <w:rPr>
          <w:rFonts w:ascii="Times New Roman" w:hAnsi="Times New Roman"/>
          <w:sz w:val="20"/>
          <w:u w:val="single"/>
        </w:rPr>
        <w:t>Common Stock</w:t>
      </w:r>
      <w:r>
        <w:rPr>
          <w:rFonts w:ascii="Times New Roman" w:hAnsi="Times New Roman"/>
          <w:sz w:val="20"/>
        </w:rPr>
        <w:t>) issued upon conversion thereof and possess registration rights, information rights, rights of first offer and other rights pursuant to that certain Amended and Restated Investors Rights Agreement dated as of September 30, 2022 by and among the Company and such Existing Investors (the </w:t>
      </w:r>
      <w:r>
        <w:rPr>
          <w:rFonts w:ascii="Times New Roman" w:hAnsi="Times New Roman"/>
          <w:sz w:val="20"/>
          <w:u w:val="single"/>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Prior Agreement may be amended, and any provision therein waived, with the consent of the Company and the holders of at least 75% of the Registrable Securities then outstanding (as such term is defined in the Prior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Existing Investors as holders of at least 75% of the Registrable Securities outstanding desire to terminate the Prior Agreement and to accept the rights created pursuant hereto in lieu of the rights granted to them under the Prior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Investors are parties to that certain Series F Preferred Stock Purchase Agreement of even date herewith by and among the Company and certain of the Investors (the </w:t>
      </w:r>
      <w:r>
        <w:rPr>
          <w:rFonts w:ascii="Times New Roman" w:hAnsi="Times New Roman"/>
          <w:sz w:val="20"/>
          <w:u w:val="single"/>
        </w:rPr>
        <w:t>Series F Stock Purchase Agreement</w:t>
      </w:r>
      <w:r>
        <w:rPr>
          <w:rFonts w:ascii="Times New Roman" w:hAnsi="Times New Roman"/>
          <w:sz w:val="20"/>
        </w:rPr>
        <w:t>), which provides that as a condition to the closing of the sale of the Series F Preferred Stock of the Company (the </w:t>
      </w:r>
      <w:r>
        <w:rPr>
          <w:rFonts w:ascii="Times New Roman" w:hAnsi="Times New Roman"/>
          <w:sz w:val="20"/>
          <w:u w:val="single"/>
        </w:rPr>
        <w:t>Series F Preferred Stock</w:t>
      </w:r>
      <w:r>
        <w:rPr>
          <w:rFonts w:ascii="Times New Roman" w:hAnsi="Times New Roman"/>
          <w:sz w:val="20"/>
        </w:rPr>
        <w:t> and collectively with the Series A-1 Preferred Stock, Series B Preferred Stock, the Series C Preferred Stock, Series D Preferred Stock and the Series E Preferred Stock, the </w:t>
      </w:r>
      <w:r>
        <w:rPr>
          <w:rFonts w:ascii="Times New Roman" w:hAnsi="Times New Roman"/>
          <w:sz w:val="20"/>
          <w:u w:val="single"/>
        </w:rPr>
        <w:t>Preferred Stock</w:t>
      </w:r>
      <w:r>
        <w:rPr>
          <w:rFonts w:ascii="Times New Roman" w:hAnsi="Times New Roman"/>
          <w:sz w:val="20"/>
        </w:rPr>
        <w:t xml:space="preserve">), this Agreement must be executed and delivered by such Investors, Existing Investors holding at least 75% of the Registrable Securities outstanding, and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and covenants set forth herein, the Company and the Existing Investors hereby agree that the Prior Agreement shall be superseded and replaced in its entirety by this Agreement, and the parties hereto further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Rights</w:t>
      </w:r>
      <w:r>
        <w:rPr>
          <w:rFonts w:ascii="Times New Roman" w:hAnsi="Times New Roman"/>
          <w:sz w:val="20"/>
        </w:rPr>
        <w:t xml:space="preserve">. The Company covenants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For purposes of this Section 1: </w:t>
      </w:r>
    </w:p>
    <w:p>
      <w:pPr>
        <w:pStyle w:val="TextBody"/>
        <w:bidi w:val="0"/>
        <w:spacing w:before="120" w:after="0"/>
        <w:jc w:val="left"/>
        <w:rPr>
          <w:rFonts w:ascii="Times New Roman" w:hAnsi="Times New Roman"/>
          <w:sz w:val="20"/>
        </w:rPr>
      </w:pPr>
      <w:r>
        <w:rPr>
          <w:rFonts w:ascii="Times New Roman" w:hAnsi="Times New Roman"/>
          <w:sz w:val="20"/>
        </w:rPr>
        <w:t>(a) The term </w:t>
      </w:r>
      <w:r>
        <w:rPr>
          <w:rFonts w:ascii="Times New Roman" w:hAnsi="Times New Roman"/>
          <w:sz w:val="20"/>
          <w:u w:val="single"/>
        </w:rPr>
        <w:t>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The term </w:t>
      </w:r>
      <w:r>
        <w:rPr>
          <w:rFonts w:ascii="Times New Roman" w:hAnsi="Times New Roman"/>
          <w:sz w:val="20"/>
          <w:u w:val="single"/>
        </w:rPr>
        <w:t>Form S-3</w:t>
      </w:r>
      <w:r>
        <w:rPr>
          <w:rFonts w:ascii="Times New Roman" w:hAnsi="Times New Roman"/>
          <w:sz w:val="20"/>
        </w:rPr>
        <w:t xml:space="preserve"> means such form under the Act as in effect on the date hereof or any registration form under the Act subsequently adopted by the SEC that permits inclusion or incorporation of substantial information by reference to other documents filed by the Company with the SEC. </w:t>
      </w:r>
    </w:p>
    <w:p>
      <w:pPr>
        <w:pStyle w:val="TextBody"/>
        <w:bidi w:val="0"/>
        <w:spacing w:before="240" w:after="0"/>
        <w:jc w:val="left"/>
        <w:rPr>
          <w:rFonts w:ascii="Times New Roman" w:hAnsi="Times New Roman"/>
          <w:sz w:val="20"/>
        </w:rPr>
      </w:pPr>
      <w:r>
        <w:rPr>
          <w:rFonts w:ascii="Times New Roman" w:hAnsi="Times New Roman"/>
          <w:sz w:val="20"/>
        </w:rPr>
        <w:t>(c) The term </w:t>
      </w:r>
      <w:r>
        <w:rPr>
          <w:rFonts w:ascii="Times New Roman" w:hAnsi="Times New Roman"/>
          <w:sz w:val="20"/>
          <w:u w:val="single"/>
        </w:rPr>
        <w:t>Holder</w:t>
      </w:r>
      <w:r>
        <w:rPr>
          <w:rFonts w:ascii="Times New Roman" w:hAnsi="Times New Roman"/>
          <w:sz w:val="20"/>
        </w:rPr>
        <w:t xml:space="preserve"> means any person owning or having the right to acquire Registrable Securities or any assignee thereof in accordance with Section 1.11 hereof. </w:t>
      </w:r>
    </w:p>
    <w:p>
      <w:pPr>
        <w:pStyle w:val="TextBody"/>
        <w:bidi w:val="0"/>
        <w:spacing w:before="240" w:after="0"/>
        <w:jc w:val="left"/>
        <w:rPr>
          <w:rFonts w:ascii="Times New Roman" w:hAnsi="Times New Roman"/>
          <w:sz w:val="20"/>
        </w:rPr>
      </w:pPr>
      <w:r>
        <w:rPr>
          <w:rFonts w:ascii="Times New Roman" w:hAnsi="Times New Roman"/>
          <w:sz w:val="20"/>
        </w:rPr>
        <w:t>(d) The term </w:t>
      </w:r>
      <w:r>
        <w:rPr>
          <w:rFonts w:ascii="Times New Roman" w:hAnsi="Times New Roman"/>
          <w:sz w:val="20"/>
          <w:u w:val="single"/>
        </w:rPr>
        <w:t>Initial Public Offering</w:t>
      </w:r>
      <w:r>
        <w:rPr>
          <w:rFonts w:ascii="Times New Roman" w:hAnsi="Times New Roman"/>
          <w:sz w:val="20"/>
        </w:rPr>
        <w:t xml:space="preserve"> means the first firm commitment underwritten public offering of securities of the Company pursuant to an effective registration statement under the Act (other than a registration statement relating either to the sale of securities to employees of the Company pursuant to a stock option, stock purchase or similar plan or an SEC Rule 145 transaction). </w:t>
      </w:r>
    </w:p>
    <w:p>
      <w:pPr>
        <w:pStyle w:val="TextBody"/>
        <w:bidi w:val="0"/>
        <w:spacing w:before="240" w:after="0"/>
        <w:jc w:val="left"/>
        <w:rPr>
          <w:rFonts w:ascii="Times New Roman" w:hAnsi="Times New Roman"/>
          <w:sz w:val="20"/>
        </w:rPr>
      </w:pPr>
      <w:r>
        <w:rPr>
          <w:rFonts w:ascii="Times New Roman" w:hAnsi="Times New Roman"/>
          <w:sz w:val="20"/>
        </w:rPr>
        <w:t>(e) The term </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(f) The term </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xml:space="preserve"> refer to a registration effected by preparing and filing a registration statement or similar document in compliance with the Act, and the declaration or ordering of effectiveness of such registration statement or document. </w:t>
      </w:r>
    </w:p>
    <w:p>
      <w:pPr>
        <w:pStyle w:val="TextBody"/>
        <w:bidi w:val="0"/>
        <w:spacing w:before="240" w:after="0"/>
        <w:jc w:val="left"/>
        <w:rPr>
          <w:rFonts w:ascii="Times New Roman" w:hAnsi="Times New Roman"/>
          <w:sz w:val="20"/>
        </w:rPr>
      </w:pPr>
      <w:r>
        <w:rPr>
          <w:rFonts w:ascii="Times New Roman" w:hAnsi="Times New Roman"/>
          <w:sz w:val="20"/>
        </w:rPr>
        <w:t>(g) The term </w:t>
      </w:r>
      <w:r>
        <w:rPr>
          <w:rFonts w:ascii="Times New Roman" w:hAnsi="Times New Roman"/>
          <w:sz w:val="20"/>
          <w:u w:val="single"/>
        </w:rPr>
        <w:t>Registrable Securities</w:t>
      </w:r>
      <w:r>
        <w:rPr>
          <w:rFonts w:ascii="Times New Roman" w:hAnsi="Times New Roman"/>
          <w:sz w:val="20"/>
        </w:rPr>
        <w:t xml:space="preserve"> means the Common Stock issuable or issued upon conversion of the Companys Preferred Stock and any Common Stock of the Company issued as (or issuable upon the conversion or exercise of any warrant, right or other security that is issued as) a dividend or other distribution with respect to, or in exchange for, or in replacement of, the shares referenced above, excluding in all cases, however, any Registrable Securities sold by a person (x) in a transaction in which his, her or its rights under this Section 1 are not assigned, (y) pursuant to a registration statement under the Act that has been declared effective and such Registrable Securities have been disposed of pursuant to such effective registration statement, or (z) in a transaction in which such Registrable Securities are sold pursuant to Rule 144 (or any similar provision then in force) under the Act; excluding for purposes of </w:t>
      </w:r>
      <w:r>
        <w:rPr>
          <w:rFonts w:ascii="Times New Roman" w:hAnsi="Times New Roman"/>
          <w:sz w:val="20"/>
          <w:u w:val="single"/>
        </w:rPr>
        <w:t>Section 1</w:t>
      </w:r>
      <w:r>
        <w:rPr>
          <w:rFonts w:ascii="Times New Roman" w:hAnsi="Times New Roman"/>
          <w:sz w:val="20"/>
        </w:rPr>
        <w:t xml:space="preserve"> and </w:t>
      </w:r>
      <w:r>
        <w:rPr>
          <w:rFonts w:ascii="Times New Roman" w:hAnsi="Times New Roman"/>
          <w:sz w:val="20"/>
          <w:u w:val="single"/>
        </w:rPr>
        <w:t>Section 3.8</w:t>
      </w:r>
      <w:r>
        <w:rPr>
          <w:rFonts w:ascii="Times New Roman" w:hAnsi="Times New Roman"/>
          <w:sz w:val="20"/>
        </w:rPr>
        <w:t xml:space="preserve"> any shares for which registration rights have terminated pursuant to</w:t>
      </w:r>
      <w:r>
        <w:rPr>
          <w:rFonts w:ascii="Times New Roman" w:hAnsi="Times New Roman"/>
          <w:sz w:val="20"/>
          <w:u w:val="single"/>
        </w:rPr>
        <w:t xml:space="preserve"> Section 1.14</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(h) The number of shares of </w:t>
      </w:r>
      <w:r>
        <w:rPr>
          <w:rFonts w:ascii="Times New Roman" w:hAnsi="Times New Roman"/>
          <w:sz w:val="20"/>
          <w:u w:val="single"/>
        </w:rPr>
        <w:t>Registrable Securities then outstanding</w:t>
      </w:r>
      <w:r>
        <w:rPr>
          <w:rFonts w:ascii="Times New Roman" w:hAnsi="Times New Roman"/>
          <w:sz w:val="20"/>
        </w:rPr>
        <w:t xml:space="preserve"> shall be determined by the number of shares of Common Stock outstanding that are, and the number of shares of Common Stock issuable pursuant to then exercisable or convertible securities that are,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Restated Certificate</w:t>
      </w:r>
      <w:r>
        <w:rPr>
          <w:rFonts w:ascii="Times New Roman" w:hAnsi="Times New Roman"/>
          <w:sz w:val="20"/>
        </w:rPr>
        <w:t xml:space="preserve"> shall mean the Companys current Amended and Restated Certificate of Incorporation, as duly filed with the Delaware Secretary of State. </w:t>
      </w:r>
    </w:p>
    <w:p>
      <w:pPr>
        <w:pStyle w:val="TextBody"/>
        <w:bidi w:val="0"/>
        <w:spacing w:before="240" w:after="0"/>
        <w:jc w:val="left"/>
        <w:rPr>
          <w:rFonts w:ascii="Times New Roman" w:hAnsi="Times New Roman"/>
          <w:sz w:val="20"/>
        </w:rPr>
      </w:pPr>
      <w:r>
        <w:rPr>
          <w:rFonts w:ascii="Times New Roman" w:hAnsi="Times New Roman"/>
          <w:sz w:val="20"/>
        </w:rPr>
        <w:t>(j) The term </w:t>
      </w:r>
      <w:r>
        <w:rPr>
          <w:rFonts w:ascii="Times New Roman" w:hAnsi="Times New Roman"/>
          <w:sz w:val="20"/>
          <w:u w:val="single"/>
        </w:rPr>
        <w:t>SEC</w:t>
      </w:r>
      <w:r>
        <w:rPr>
          <w:rFonts w:ascii="Times New Roman" w:hAnsi="Times New Roman"/>
          <w:sz w:val="20"/>
        </w:rPr>
        <w:t xml:space="preserve"> shall mean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(k) The term </w:t>
      </w:r>
      <w:r>
        <w:rPr>
          <w:rFonts w:ascii="Times New Roman" w:hAnsi="Times New Roman"/>
          <w:sz w:val="20"/>
          <w:u w:val="single"/>
        </w:rPr>
        <w:t>QIPO</w:t>
      </w:r>
      <w:r>
        <w:rPr>
          <w:rFonts w:ascii="Times New Roman" w:hAnsi="Times New Roman"/>
          <w:sz w:val="20"/>
        </w:rPr>
        <w:t xml:space="preserve"> shall have the same meaning as set forth in the Restated Certificate.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Request for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conditions of this Section 1.2, if the Company shall receive at any time after the earlier of (i) five (5) years after the date of this Agreement or (ii) six (6) months after the effective date of the Initial Public Offering, a written request from the Holders of twenty-five percent (25%) or more of the Registrable Securities then outstanding (the </w:t>
      </w:r>
      <w:r>
        <w:rPr>
          <w:rFonts w:ascii="Times New Roman" w:hAnsi="Times New Roman"/>
          <w:sz w:val="20"/>
          <w:u w:val="single"/>
        </w:rPr>
        <w:t>Initiating Holders</w:t>
      </w:r>
      <w:r>
        <w:rPr>
          <w:rFonts w:ascii="Times New Roman" w:hAnsi="Times New Roman"/>
          <w:sz w:val="20"/>
        </w:rPr>
        <w:t xml:space="preserve">) that the Company file a registration statement under the Act covering the registration of Registrable Securities,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 </w:t>
      </w:r>
    </w:p>
    <w:p>
      <w:pPr>
        <w:pStyle w:val="TextBody"/>
        <w:bidi w:val="0"/>
        <w:spacing w:before="240" w:after="0"/>
        <w:jc w:val="left"/>
        <w:rPr>
          <w:rFonts w:ascii="Times New Roman" w:hAnsi="Times New Roman"/>
          <w:sz w:val="20"/>
        </w:rPr>
      </w:pPr>
      <w:r>
        <w:rPr>
          <w:rFonts w:ascii="Times New Roman" w:hAnsi="Times New Roman"/>
          <w:sz w:val="20"/>
        </w:rPr>
        <w:t xml:space="preserve">(b) 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this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a majority in interest of the Initiating Holders. Notwithstanding any other provision of this Section 1.2, if the underwriter advises the Company that marketing factors require a limitation of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pro rata basis (as nearly as practicable) based on the number of Registrable Securities held by all such Holders (including the Initiating Holders), provided that no Registrable Securities shall be excluded unless and until all other securities of the Company have been excluded; and provided further that at least 33% of the Registrable Securities requested to be included in such underwriting are in fact so included. Any Registrable Securities excluded or withdrawn from such underwriting shall be withdrawn from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addition, the Company shall not be required to effect a registration pursuant to this Section 1.2: </w:t>
      </w:r>
    </w:p>
    <w:p>
      <w:pPr>
        <w:pStyle w:val="TextBody"/>
        <w:bidi w:val="0"/>
        <w:spacing w:before="120" w:after="0"/>
        <w:jc w:val="left"/>
        <w:rPr>
          <w:rFonts w:ascii="Times New Roman" w:hAnsi="Times New Roman"/>
          <w:sz w:val="20"/>
        </w:rPr>
      </w:pPr>
      <w:r>
        <w:rPr>
          <w:rFonts w:ascii="Times New Roman" w:hAnsi="Times New Roman"/>
          <w:sz w:val="20"/>
        </w:rPr>
        <w:t xml:space="preserve">(i) after the Company has effected three (3) registrations pursuant to this Section 1.2, and such registrations have been declared or ordered effective; </w:t>
      </w:r>
    </w:p>
    <w:p>
      <w:pPr>
        <w:pStyle w:val="TextBody"/>
        <w:bidi w:val="0"/>
        <w:spacing w:before="240" w:after="0"/>
        <w:jc w:val="left"/>
        <w:rPr>
          <w:rFonts w:ascii="Times New Roman" w:hAnsi="Times New Roman"/>
          <w:sz w:val="20"/>
        </w:rPr>
      </w:pPr>
      <w:r>
        <w:rPr>
          <w:rFonts w:ascii="Times New Roman" w:hAnsi="Times New Roman"/>
          <w:sz w:val="20"/>
        </w:rPr>
        <w:t xml:space="preserve">(ii) If the Company has effected a registration pursuant to this Section 1.2 within the preceding twelve (12) months, and such registration has been declared or ordered effective; </w:t>
      </w:r>
    </w:p>
    <w:p>
      <w:pPr>
        <w:pStyle w:val="TextBody"/>
        <w:bidi w:val="0"/>
        <w:spacing w:before="240" w:after="0"/>
        <w:jc w:val="left"/>
        <w:rPr>
          <w:rFonts w:ascii="Times New Roman" w:hAnsi="Times New Roman"/>
          <w:sz w:val="20"/>
        </w:rPr>
      </w:pPr>
      <w:r>
        <w:rPr>
          <w:rFonts w:ascii="Times New Roman" w:hAnsi="Times New Roman"/>
          <w:sz w:val="20"/>
        </w:rPr>
        <w:t xml:space="preserve">(iii) If the Initiating Holders, together with the holders of any other securities of the Company entitled to inclusion in such registration statement, propose to sell Registrable Securities and such other securities (if any) and the aggregate proceeds of which (after deduction for underwriters discounts and expenses related to the issuance) are less than US$5,000,000; </w:t>
      </w:r>
    </w:p>
    <w:p>
      <w:pPr>
        <w:pStyle w:val="TextBody"/>
        <w:bidi w:val="0"/>
        <w:spacing w:before="240" w:after="0"/>
        <w:jc w:val="left"/>
        <w:rPr>
          <w:rFonts w:ascii="Times New Roman" w:hAnsi="Times New Roman"/>
          <w:sz w:val="20"/>
        </w:rPr>
      </w:pPr>
      <w:r>
        <w:rPr>
          <w:rFonts w:ascii="Times New Roman" w:hAnsi="Times New Roman"/>
          <w:sz w:val="20"/>
        </w:rPr>
        <w:t xml:space="preserve">(iv) during the period starting with the date sixty (60) says prior to the Companys good faith estimate of the date of filing of, and ending on a date one hundred eighty (180) days following the effective date of, a Company-initiated registration subject to Section 1.3, provided that the Company is actively employing in good faith all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(v) if the Initiating Holders propose to dispose of Registrable Securities that may be registered on Form S-3 pursuant to Section 1.4; </w:t>
      </w:r>
    </w:p>
    <w:p>
      <w:pPr>
        <w:pStyle w:val="TextBody"/>
        <w:bidi w:val="0"/>
        <w:spacing w:before="240" w:after="0"/>
        <w:jc w:val="left"/>
        <w:rPr>
          <w:rFonts w:ascii="Times New Roman" w:hAnsi="Times New Roman"/>
          <w:sz w:val="20"/>
        </w:rPr>
      </w:pPr>
      <w:r>
        <w:rPr>
          <w:rFonts w:ascii="Times New Roman" w:hAnsi="Times New Roman"/>
          <w:sz w:val="20"/>
        </w:rPr>
        <w:t xml:space="preserve">(vi) if the Company shall furnish to Holders requesting a registration pursuant to this Section 1.2, a certificate signed by the Companys Chief Executive Officer or Chairman of the Board stating that in the good faith judgment of the Board of Directors of the Company, it would be seriously detrimental to the Company and its stockholders for such registration to be effected at such time, in which event the Company shall have the right to defer such filing for a period of not more than ninety (90) days after receipt of the request of the Initiating Holders, provided that such right to delay a request shall be exercised by the Company not more than once in any twelve (12)-month period and provided further, that the Company shall not register any other of its shares during such ninety (90) days; or </w:t>
      </w:r>
    </w:p>
    <w:p>
      <w:pPr>
        <w:pStyle w:val="TextBody"/>
        <w:bidi w:val="0"/>
        <w:spacing w:before="240" w:after="0"/>
        <w:jc w:val="left"/>
        <w:rPr>
          <w:rFonts w:ascii="Times New Roman" w:hAnsi="Times New Roman"/>
          <w:sz w:val="20"/>
        </w:rPr>
      </w:pPr>
      <w:r>
        <w:rPr>
          <w:rFonts w:ascii="Times New Roman" w:hAnsi="Times New Roman"/>
          <w:sz w:val="20"/>
        </w:rPr>
        <w:t xml:space="preserve">(vii) in any particular jurisdiction in which the Company would be required to execute a general consent to service of process in effecting such registration, unless the Company is already subject to service in such jurisdiction and except as may be required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Company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a registration relating solely to the sale of securities to participants in a Company stock plan, a registration relating to a corporate reorganization or other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also being registered), the Company shall, at such time, promptly give each Holder written notice of such registration. Upon the written request of each Holder given within ten (10) days after mailing of such notice by the Company, the Company shall, subject to the provisions of Section 1.5(e), use commercially reasonable efforts to cause to be registered under the Act all of the Registrable Securities that each such Holder has requested to be registered.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Terminate Registration</w:t>
      </w:r>
      <w:r>
        <w:rPr>
          <w:rFonts w:ascii="Times New Roman" w:hAnsi="Times New Roman"/>
          <w:sz w:val="20"/>
        </w:rPr>
        <w:t xml:space="preserve">.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Form S-3 Registration</w:t>
      </w:r>
      <w:r>
        <w:rPr>
          <w:rFonts w:ascii="Times New Roman" w:hAnsi="Times New Roman"/>
          <w:sz w:val="20"/>
        </w:rPr>
        <w:t xml:space="preserve">. In case the Company shall receive from any Holder of the Registrable Securities then outstanding a written request or requests that the Company effect a registration on Form S-3 and any related qualification or compliance with respect to all or a part of the Registrable Securities owned by such Holder,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promptly give written notice of the proposed registration, and any related qualification or compliance, to all other Holders; and </w:t>
      </w:r>
    </w:p>
    <w:p>
      <w:pPr>
        <w:pStyle w:val="TextBody"/>
        <w:bidi w:val="0"/>
        <w:spacing w:before="240" w:after="0"/>
        <w:jc w:val="left"/>
        <w:rPr>
          <w:rFonts w:ascii="Times New Roman" w:hAnsi="Times New Roman"/>
          <w:sz w:val="20"/>
        </w:rPr>
      </w:pPr>
      <w:r>
        <w:rPr>
          <w:rFonts w:ascii="Times New Roman" w:hAnsi="Times New Roman"/>
          <w:sz w:val="20"/>
        </w:rPr>
        <w:t xml:space="preserve">(b) use best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Section 1.4: </w:t>
      </w:r>
    </w:p>
    <w:p>
      <w:pPr>
        <w:pStyle w:val="TextBody"/>
        <w:bidi w:val="0"/>
        <w:spacing w:before="120" w:after="0"/>
        <w:jc w:val="left"/>
        <w:rPr>
          <w:rFonts w:ascii="Times New Roman" w:hAnsi="Times New Roman"/>
          <w:sz w:val="20"/>
        </w:rPr>
      </w:pPr>
      <w:r>
        <w:rPr>
          <w:rFonts w:ascii="Times New Roman" w:hAnsi="Times New Roman"/>
          <w:sz w:val="20"/>
        </w:rPr>
        <w:t xml:space="preserve">(i) if Form S-3 is not available for such offering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(ii) if the Holders, together with the holders of any other securities of the Company entitled to inclusion in such registration, propose to sell Registrable Securities and such other securities (if any) at an aggregate price to the public of less than US$1,000,000; </w:t>
      </w:r>
    </w:p>
    <w:p>
      <w:pPr>
        <w:pStyle w:val="TextBody"/>
        <w:bidi w:val="0"/>
        <w:spacing w:before="240" w:after="0"/>
        <w:jc w:val="left"/>
        <w:rPr>
          <w:rFonts w:ascii="Times New Roman" w:hAnsi="Times New Roman"/>
          <w:sz w:val="20"/>
        </w:rPr>
      </w:pPr>
      <w:r>
        <w:rPr>
          <w:rFonts w:ascii="Times New Roman" w:hAnsi="Times New Roman"/>
          <w:sz w:val="20"/>
        </w:rPr>
        <w:t xml:space="preserve">(iii) in the circumstances described in Sections 1.2(c)(iv) and 1.2(c)(vi); and </w:t>
      </w:r>
    </w:p>
    <w:p>
      <w:pPr>
        <w:pStyle w:val="TextBody"/>
        <w:bidi w:val="0"/>
        <w:spacing w:before="240" w:after="0"/>
        <w:jc w:val="left"/>
        <w:rPr>
          <w:rFonts w:ascii="Times New Roman" w:hAnsi="Times New Roman"/>
          <w:sz w:val="20"/>
        </w:rPr>
      </w:pPr>
      <w:r>
        <w:rPr>
          <w:rFonts w:ascii="Times New Roman" w:hAnsi="Times New Roman"/>
          <w:sz w:val="20"/>
        </w:rPr>
        <w:t xml:space="preserve">(iv) prior to the earlier of (A) the five (5) year anniversary of the date of this Agreement or (B) six (6) months after the effective date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foregoing, the Company shall file a registration statement covering the Registrable Securities and other securities so requested to be registered as soon as practicable after receipt of the request or requests of the Holders; provided, however, the provisions of Section 1.2(c)(vi) shall apply to any registration pursuant to this Section 1.4. Registrations effected pursuant to this Section 1.4 shall not be counted as requests for registration effected pursuant to Section 1.2 or Section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Obligations of the Company</w:t>
      </w:r>
      <w:r>
        <w:rPr>
          <w:rFonts w:ascii="Times New Roman" w:hAnsi="Times New Roman"/>
          <w:sz w:val="20"/>
        </w:rPr>
        <w:t xml:space="preserve">. Whenever required under this Section 1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best efforts to cause such 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 provided, however, that (i) such 180-day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180-day period shall be extended, if necessary, to keep the registration statement effective until all such Registrable Securities are sold, provided that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 the Act or (II) 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furnish to each Holder (i) a draft copy of the registration statement, and (ii) such numbers of copies of a prospectus, including a preliminary prospectus, in conformity with the requirements of the Act, and such other documents as it may reasonably request in order to facilitate the disposition of Registrable Securities owned by it; </w:t>
      </w:r>
    </w:p>
    <w:p>
      <w:pPr>
        <w:pStyle w:val="TextBody"/>
        <w:bidi w:val="0"/>
        <w:spacing w:before="240" w:after="0"/>
        <w:jc w:val="left"/>
        <w:rPr>
          <w:rFonts w:ascii="Times New Roman" w:hAnsi="Times New Roman"/>
          <w:sz w:val="20"/>
        </w:rPr>
      </w:pPr>
      <w:r>
        <w:rPr>
          <w:rFonts w:ascii="Times New Roman" w:hAnsi="Times New Roman"/>
          <w:sz w:val="20"/>
        </w:rPr>
        <w:t>(d) use best efforts to register and qualify the securities covered by such registration statement under such other securities or </w:t>
      </w:r>
      <w:r>
        <w:rPr>
          <w:rFonts w:ascii="Times New Roman" w:hAnsi="Times New Roman"/>
          <w:sz w:val="20"/>
          <w:u w:val="single"/>
        </w:rPr>
        <w:t>blue sky</w:t>
      </w:r>
      <w:r>
        <w:rPr>
          <w:rFonts w:ascii="Times New Roman" w:hAnsi="Times New Roman"/>
          <w:sz w:val="20"/>
        </w:rPr>
        <w:t xml:space="preserve"> laws of such jurisdictions as shall be reasonably requested by the Holders, provided that the Company shall not be required in connection therewith or as a condition thereto to qualify to do business, where not otherwise required, or to file a general consent to service of process in any such states or jurisdictions, unless the Company is already subject to service in such jurisdiction and except as may be required by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 In connection with any offering involving an underwriting of shares of the Companys capital stock, the Company shall not be required to include any of the Holders securities in such underwriting unless they accept the terms of the underwriting as agreed upon between the Company and the underwriters selected by a majority of the Holders and enter into an underwriting agreement in customary form with the underwriters.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subject to Section 1.2 above, the Company shall be required to include in the offering only that number of such securities, including Registrable Securities, that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except that no Registrable Securities of Holders shall be excluded until all Common Stock held by directors, officers and employees of the Company have been excluded), but in no event shall the amount of securities of the selling Holders included in the offering be reduced below thirty-three percent (33%)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For purposes of the preceding parenthetical concerning apportionment, for any selling stockholder that is a Holder of Registrable Securities and that is a partnership, limited liability company or corporation, the partners, retired partners, members, retired members and stockholders of such Holder, or the estates and family members of any such partners, retired partners, members, retired members, and any trusts for the benefit of any of the foregoing persons shall be deemed to be a single </w:t>
      </w:r>
      <w:r>
        <w:rPr>
          <w:rFonts w:ascii="Times New Roman" w:hAnsi="Times New Roman"/>
          <w:sz w:val="20"/>
          <w:u w:val="single"/>
        </w:rPr>
        <w:t>selling stockholder,</w:t>
      </w:r>
      <w:r>
        <w:rPr>
          <w:rFonts w:ascii="Times New Roman" w:hAnsi="Times New Roman"/>
          <w:sz w:val="20"/>
        </w:rPr>
        <w:t> and any pro rata reduction with respect to such </w:t>
      </w:r>
      <w:r>
        <w:rPr>
          <w:rFonts w:ascii="Times New Roman" w:hAnsi="Times New Roman"/>
          <w:sz w:val="20"/>
          <w:u w:val="single"/>
        </w:rPr>
        <w:t>selling stockholder</w:t>
      </w:r>
      <w:r>
        <w:rPr>
          <w:rFonts w:ascii="Times New Roman" w:hAnsi="Times New Roman"/>
          <w:sz w:val="20"/>
        </w:rPr>
        <w:t> shall be based upon the aggregate amount of Registrable Securities owned by all entities and individuals included in such </w:t>
      </w:r>
      <w:r>
        <w:rPr>
          <w:rFonts w:ascii="Times New Roman" w:hAnsi="Times New Roman"/>
          <w:sz w:val="20"/>
          <w:u w:val="single"/>
        </w:rPr>
        <w:t>selling stockholder,</w:t>
      </w:r>
      <w:r>
        <w:rPr>
          <w:rFonts w:ascii="Times New Roman" w:hAnsi="Times New Roman"/>
          <w:sz w:val="20"/>
        </w:rPr>
        <w:t xml:space="preserve"> as defined in this sentence; </w:t>
      </w:r>
    </w:p>
    <w:p>
      <w:pPr>
        <w:pStyle w:val="TextBody"/>
        <w:bidi w:val="0"/>
        <w:spacing w:before="240" w:after="0"/>
        <w:jc w:val="left"/>
        <w:rPr>
          <w:rFonts w:ascii="Times New Roman" w:hAnsi="Times New Roman"/>
          <w:sz w:val="20"/>
        </w:rPr>
      </w:pPr>
      <w:r>
        <w:rPr>
          <w:rFonts w:ascii="Times New Roman" w:hAnsi="Times New Roman"/>
          <w:sz w:val="20"/>
        </w:rPr>
        <w:t xml:space="preserve">(f) notify each Holder of Registrable Securities covered by such registration statement, at any time when a prospectus relating thereto is required to be delivered under the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w:t>
      </w:r>
    </w:p>
    <w:p>
      <w:pPr>
        <w:pStyle w:val="TextBody"/>
        <w:bidi w:val="0"/>
        <w:spacing w:before="240" w:after="0"/>
        <w:jc w:val="left"/>
        <w:rPr>
          <w:rFonts w:ascii="Times New Roman" w:hAnsi="Times New Roman"/>
          <w:sz w:val="20"/>
        </w:rPr>
      </w:pPr>
      <w:r>
        <w:rPr>
          <w:rFonts w:ascii="Times New Roman" w:hAnsi="Times New Roman"/>
          <w:sz w:val="20"/>
        </w:rPr>
        <w:t xml:space="preserve">(g) cause all such Registrable Securities registered pursuant hereunder to be listed on each securities exchange on which similar securities issued by the Company are then listed; provided that in the case of a registration effected pursuant to Section 1.2 above, which registration constitutes the Initial Public Offering, the Registrable Securities shall be listed on a national securities exchange or the NASDAQ Global Market system; and </w:t>
      </w:r>
    </w:p>
    <w:p>
      <w:pPr>
        <w:pStyle w:val="TextBody"/>
        <w:bidi w:val="0"/>
        <w:spacing w:before="240" w:after="0"/>
        <w:jc w:val="left"/>
        <w:rPr>
          <w:rFonts w:ascii="Times New Roman" w:hAnsi="Times New Roman"/>
          <w:sz w:val="20"/>
        </w:rPr>
      </w:pPr>
      <w:r>
        <w:rPr>
          <w:rFonts w:ascii="Times New Roman" w:hAnsi="Times New Roman"/>
          <w:sz w:val="20"/>
        </w:rPr>
        <w:t xml:space="preserve">(h) provide a transfer agent and registrar for all Registrable Securities registered pursuant hereunder and a CUSIP number for all such Registrable Securities, in each case not later than the effective date of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Information from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have no obligation with respect to any registration requested pursuant to Section 1.2 if, due to the operation of subsection 1.6(a),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Expenses of Registration</w:t>
      </w:r>
      <w:r>
        <w:rPr>
          <w:rFonts w:ascii="Times New Roman" w:hAnsi="Times New Roman"/>
          <w:sz w:val="20"/>
        </w:rPr>
        <w:t>. All expenses other than underwriting discounts and commissions incurred in connection with registrations, filings or qualifications pursuant to Sections 1.2 and 1.3, including, without limitation, all registration, filing and qualification fees (including </w:t>
      </w:r>
      <w:r>
        <w:rPr>
          <w:rFonts w:ascii="Times New Roman" w:hAnsi="Times New Roman"/>
          <w:sz w:val="20"/>
          <w:u w:val="single"/>
        </w:rPr>
        <w:t>blue sky</w:t>
      </w:r>
      <w:r>
        <w:rPr>
          <w:rFonts w:ascii="Times New Roman" w:hAnsi="Times New Roman"/>
          <w:sz w:val="20"/>
        </w:rPr>
        <w:t xml:space="preserve"> fees), printers and accounting fees, fees and disbursements of counsel for the Company (including fees and disbursements of counsel for the Company in its capacity as counsel to the selling Holders hereunder; if Company counsel does not make itself available for this purpose, the Company will pay the reasonable fees and disbursements of one counsel for the selling Holders not to exceed US$50,000) shall be borne by the Company. Notwithstanding the foregoing, the Company shall not be required to pay for any expenses of any registration proceeding begun pursuant to Sections 1.2 and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registered in the withdrawn registration),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 or 1.4.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Delay of Registration</w:t>
      </w:r>
      <w:r>
        <w:rPr>
          <w:rFonts w:ascii="Times New Roman" w:hAnsi="Times New Roman"/>
          <w:sz w:val="20"/>
        </w:rPr>
        <w:t xml:space="preserve">. No Holder shall have any right to obtain or seek an injunction restraining or otherwise delaying any such registration as the result of any controversy that might arise with respect to the interpretation or implementation of this Section 1.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Indemnification</w:t>
      </w:r>
      <w:r>
        <w:rPr>
          <w:rFonts w:ascii="Times New Roman" w:hAnsi="Times New Roman"/>
          <w:sz w:val="20"/>
        </w:rPr>
        <w:t xml:space="preserve">. In the event any Registrable Securities are included in a registration statement under this Section 1: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law, the Company will indemnify and hold harmless each Holder, the partners or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state securities laws, insofar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losses, claims, damages or liabilities (or actions in respect thereof) arise out of or are based upon any of the following statements, omissions or violations (collectively a </w:t>
      </w:r>
      <w:r>
        <w:rPr>
          <w:rFonts w:ascii="Times New Roman" w:hAnsi="Times New Roman"/>
          <w:sz w:val="20"/>
          <w:u w:val="single"/>
        </w:rPr>
        <w:t>Violation</w:t>
      </w:r>
      <w:r>
        <w:rPr>
          <w:rFonts w:ascii="Times New Roman" w:hAnsi="Times New Roman"/>
          <w:sz w:val="20"/>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partner, officer, director, stockholder, counsel, accountant, underwriter or controlling person for any legal or other expenses reasonably incurred by them in connection with investigating or defending any such loss, claim, damage, liability or action as such expenses are incurred; provided that the Company will not be liable in any such case to the extent that any such claim, loss, damage, liability, or action arises out of or is based on any untrue statement or omission based 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provided, further that the indemnity agreement contained in this Section 1.9(a)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information furnished expressly for use in connection with such registration by any such Holder, partner, officer, director, stockholder, counsel, accountant, underwriter or controlling person.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permitted by law, each selling Holder, on a several and not joint basis, will indemnify and hold harmless the Company, each of its directors, each of its officers who has signed the registration statement, each person, if any, who controls the Company within the meaning of the Act, any underwriter, any other stockholder selling securities in such registration statement and any controlling person of any such underwriter or other stockholder, against any losses, claims, damages or liabilities (joint or several) to which any of the foregoing persons may become subject, under the Act, the 1934 Act or any state securities laws, insofar as such losses, claims, damages or liabilities (or actions in respect thereto) arise out of or are based upon any Violation (but excluding clause (iii) of the definition thereof), in each case to the extent (and only to the extent) that such Violation occurs in reliance upon and in conformity with information furnished by such Holder expressly for use in connection with such registration; and each such Holder will reimburse any person intended to be indemnified pursuant to this Section 1.9(b) for any legal or other expenses reasonably incurred by such person in connection with investigating or defending any such loss, claim, damage, liability or action; provided, however, that the indemnity agreement contained in this Section 1.9(b) shall not apply to amounts paid in settlement of any such loss, claim, damage, liability or action if such settlement is effected without the consent of the Holder, provided that in no event shall any indemnity under this Section 1.9(b) exceed the net proceeds from the offering received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receipt by an indemnified party under this Section 1.9 of actual knowledge of the commencement of any action (including any governmental action), such indemnified party will,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to the extent of such prejudice, but the omission to so deliver written notice to the indemnifying party will not relieve it of any liability that it may have to any indemnified party otherwise than under this Section 1.9.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and the relative benefits received by the indemnifying party on the one hand and of the indemnified party on the other in connection with the statements or omissions that resulted in such loss, liability, claim, damage or expense, as well as any other relevant equitable considerations, provided that no person guilty of fraud shall be entitled to contribution.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relative benefits received by the indemnifying party and the indemnified party shall be determined by reference to the net proceeds and underwriting discounts and commissions from the offering received by each such party. In no event shall any contribution under this Section 1.9(d) exceed the net proceeds from the offering received by such Holder, less any amounts paid under subsection 1.9(b).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(f) The obligations of the Company and Holders under this Section 1.9 shall survive the completion of any offering of Registrable Securities in a registration statement under this Section 1, and otherwise. </w:t>
      </w:r>
    </w:p>
    <w:p>
      <w:pPr>
        <w:pStyle w:val="TextBody"/>
        <w:bidi w:val="0"/>
        <w:spacing w:before="240" w:after="0"/>
        <w:jc w:val="left"/>
        <w:rPr>
          <w:rFonts w:ascii="Times New Roman" w:hAnsi="Times New Roman"/>
          <w:sz w:val="20"/>
        </w:rPr>
      </w:pPr>
      <w:r>
        <w:rPr>
          <w:rFonts w:ascii="Times New Roman" w:hAnsi="Times New Roman"/>
          <w:sz w:val="20"/>
        </w:rPr>
        <w:t xml:space="preserve">1.10 </w:t>
      </w:r>
      <w:r>
        <w:rPr>
          <w:rFonts w:ascii="Times New Roman" w:hAnsi="Times New Roman"/>
          <w:sz w:val="20"/>
          <w:u w:val="single"/>
        </w:rPr>
        <w:t>Reports Under Securities Exchange Act of 1934</w:t>
      </w:r>
      <w:r>
        <w:rPr>
          <w:rFonts w:ascii="Times New Roman" w:hAnsi="Times New Roman"/>
          <w:sz w:val="20"/>
        </w:rPr>
        <w:t xml:space="preserve">.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public information available, as those terms are understood and defined in SEC Rule 144, at all times and after ninety (90) days following the effective date of the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take such action, including the voluntary registration of its Common Stock under Section 12 of the 1934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(c) file with the SEC in a timely manner all reports and other documents required of the Company under the Act and the 1934 Act; and </w:t>
      </w:r>
    </w:p>
    <w:p>
      <w:pPr>
        <w:pStyle w:val="TextBody"/>
        <w:bidi w:val="0"/>
        <w:spacing w:before="240" w:after="0"/>
        <w:jc w:val="left"/>
        <w:rPr>
          <w:rFonts w:ascii="Times New Roman" w:hAnsi="Times New Roman"/>
          <w:sz w:val="20"/>
        </w:rPr>
      </w:pPr>
      <w:r>
        <w:rPr>
          <w:rFonts w:ascii="Times New Roman" w:hAnsi="Times New Roman"/>
          <w:sz w:val="20"/>
        </w:rPr>
        <w:t xml:space="preserve">(d) furnish to any Holder, so long as the Holder owns any Registrable Securities, forthwith upon written request (i) a written statement by the Company that it has complied with the reporting requirements of SEC Rule 144 (at any time after ninety (90) days after the effective date of the Initial Public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or pursuant to such form.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Assignment of Registration Rights</w:t>
      </w:r>
      <w:r>
        <w:rPr>
          <w:rFonts w:ascii="Times New Roman" w:hAnsi="Times New Roman"/>
          <w:sz w:val="20"/>
        </w:rPr>
        <w:t xml:space="preserve">. The rights to cause the Company to register Registrable Securities pursuant to this Section 1 may be assigned (but only with all related obligations) by a Holder to a transferee, member, retired member or assignee of such securities that (i) is a subsidiary, affiliate, parent, partner, limited partner, retired partner, member, retired member, or stockholder of a Holder, (ii) is a Holders immediate family member (spouse or child) or trust for the benefit of an individual Holder, or (iii) after such assignment or transfer, holds at least 500 shares of Registrable Securities (subject to appropriate adjustment for any stock dividends, combinations, splits, recapitalizations and the like with respect to such shares),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Section 1.13 below; and (c) such assignment shall be effective only if immediately following such transfer the further disposition of such securities by the transferee or assignee is restricted under the Act. For the purposes of determining the number of shares of Registrable Securities held by a transferee or assignee, the holdings of transferees and assignees of a partnership who are partners or retired partners of such partnership (including spouses and ancestors, lineal descendants and siblings of such partners or spouses who acquire Registrable Securities by gift, will or intestate succession) shall be aggregated together and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partnership, and the holdings of transferees and assignees of a limited liability company who are members or retired members of such limited liability company (including spouses and ancestors, lineal descendants and siblings of such members or spouses who acquire Registrable Securities by gift, will or intestate succession) shall be aggregated together and with the limited liability company; provided that all assignees and transferees who would not qualify individually for assignment of registration rights shall have a single attorney-in-fact for the purpose of exercising any rights, receiving notices or taking any action under this Section 1.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Holders of at least 75% of the outstanding Registrable Securities, enter into any agreement with any holder or prospective holder of any securities of the Company that would allow such holder or prospective holder (a) to include such securities in any registration filed under Section 1.3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make a demand registration.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Market Stand-Off Agreement</w:t>
      </w:r>
      <w:r>
        <w:rPr>
          <w:rFonts w:ascii="Times New Roman" w:hAnsi="Times New Roman"/>
          <w:sz w:val="20"/>
        </w:rPr>
        <w:t>. Each Holder hereby agrees that it will not, directly or indirectly, without the prior written consent of the Company and the managing underwriter, during the period commencing on the date of the final prospectus relating to the initial public offering by the Company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provided, however, that if and to the extent that Rule 2241 of the Financial Industry Regulatory Authority, Inc. (</w:t>
      </w:r>
      <w:r>
        <w:rPr>
          <w:rFonts w:ascii="Times New Roman" w:hAnsi="Times New Roman"/>
          <w:sz w:val="20"/>
          <w:u w:val="single"/>
        </w:rPr>
        <w:t>FINRA</w:t>
      </w:r>
      <w:r>
        <w:rPr>
          <w:rFonts w:ascii="Times New Roman" w:hAnsi="Times New Roman"/>
          <w:sz w:val="20"/>
        </w:rPr>
        <w:t xml:space="preserve">) would apply to a FINRA member publishing or otherwise distributing a research report, or making a public appearance, concerning the Company, if (1) during the last 17 days of such 180-day period, the Company releases earnings results or announces material news or a material event or (2) prior to the expiration of such 180-day period, the Company announces that it will release earnings results during the 15-day period following the last day of the initial 180-day period, then in each case such 180-day period will be automatically extended until the expiration of the 18-day period beginning on the date of release of the earnings results or the announcement of the material news or material event, as applicable, unless the managing underwriter waives, in writing, such extension. The foregoing provisions of this Section 1.13 shall not apply to the sale of any shares to an underwriter pursuant to an underwriting agreement, and shall only be applicable to the Holders if all officers and directors and greater than one percent (1%) stockholders of the Company enter into similar agreements. The underwriters in connection with the initial public offering by the Company are intended third party beneficiaries of this Section 1.13 and shall have the right, power and authority to enforce the provisions hereof as though they were a party hereto; further, each Holder hereby agrees to enter into written agreement with such underwriters containing terms substantially equivalent to the terms of this Section 1.13, and each Holder hereby agrees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underwriters shall be entitled to require each such Holder to enter into such a written agreement. Any discretionary waiver or termination of the restrictions of any or all of such agreements by the Company or the underwriters shall apply pro rata to all Holders subject to such agreements, based on the number of shares subject to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order to enforce the foregoing covenant, the Company may impose stop-transfer instructions with respect to the Registrable Securities of each Holder (and the shares or securities of every other person subject to the foregoing restriction) until the end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Termination of Registration Rights</w:t>
      </w:r>
      <w:r>
        <w:rPr>
          <w:rFonts w:ascii="Times New Roman" w:hAnsi="Times New Roman"/>
          <w:sz w:val="20"/>
        </w:rPr>
        <w:t xml:space="preserve">. No Holder shall be entitled to exercise any right provided for in this Section 1 after five (5) years following the consummation of a QIPO, as defined in the Restated Certificate or, as to any Holder, such earlier time at which all Registrable Securities held by such Holder (and any affiliate of the Holder with whom such Holder must aggregate its sales under Rule 144) can be sold in any ninety (90) day period without registration in compliance with Rule 144 of the Act.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Covenants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Delivery of Financial Statements</w:t>
      </w:r>
      <w:r>
        <w:rPr>
          <w:rFonts w:ascii="Times New Roman" w:hAnsi="Times New Roman"/>
          <w:sz w:val="20"/>
        </w:rPr>
        <w:t xml:space="preserve">. The Company shall deliver to each Investor: </w:t>
      </w:r>
    </w:p>
    <w:p>
      <w:pPr>
        <w:pStyle w:val="TextBody"/>
        <w:bidi w:val="0"/>
        <w:spacing w:before="120" w:after="0"/>
        <w:jc w:val="left"/>
        <w:rPr>
          <w:rFonts w:ascii="Times New Roman" w:hAnsi="Times New Roman"/>
          <w:sz w:val="20"/>
        </w:rPr>
      </w:pPr>
      <w:r>
        <w:rPr>
          <w:rFonts w:ascii="Times New Roman" w:hAnsi="Times New Roman"/>
          <w:sz w:val="20"/>
        </w:rPr>
        <w:t>(a) as soon as practicable, but in any event within one hundred eighty (180) days after the end of each fiscal year of the Company, audited consolidated financial statements of the Company for the preceding fiscal year, including balance sheet of the Company and statement of stockholders equity as of the end of such year, and a statement of cash flows of the Company and its subsidiaries for such year, such year-end financial reports to be in reasonable detail, prepared in accordance with generally accepted accounting principles (</w:t>
      </w:r>
      <w:r>
        <w:rPr>
          <w:rFonts w:ascii="Times New Roman" w:hAnsi="Times New Roman"/>
          <w:sz w:val="20"/>
          <w:u w:val="single"/>
        </w:rPr>
        <w:t>GAAP</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but in any event within forty-five (45) days after the end of each quarter, unaudited consolidated financial statements of the Company for the preceding quarter, including a consolidated income statement, a statement of cash flows, and a balance sheet as of the end of such quarter, all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but in any event within thirty (30) days after the end of each calendar month, unaudited consolidated financial statements of the Company for the preceding calendar month, including a consolidated income statement, a statement of cash flows, and a balance sheet as of the end of such calendar month, all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but in any event at least thirty (30) days prior to the end of each fiscal year, a budget for the next fiscal year, prepared on a monthly basis, including balance sheets, income statements and statements of cash flows for such months and, as soon as prepared, any other budgets or revised budgets prepared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the financial statements called for in Sections 2.1(b) and 2.1(c), an instrument executed by the Chief Financial Officer or President of the Company certifying that such financials were prepared in accordance with GAAP consistently applied with prior practice for earlier periods (with the exception of footnotes and year-end adjustments that may be required by GAAP) and fairly present the financial condition of the Company and its results of operation for the period specified, subject to year-end audit adjustment;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such other information relating to the financial condition, business, prospects or corporate affairs of the Company as such Investor or any assignee of such Investor may from time to time reasonably request, or promptly after transmission or occurrence (but in any event within 10 days), other reports, including any non-routine communications with stockholders or the financial community, the Companys accountants and business consultants, governmental agencies and authorities, any reports filed by the Company or its officers, directors and representatives with any securities exchange or the SEC, to the extent not publicly available, and notice of any event which would have a significant effect on the Companys business prospects or financial condition or on the Investors investments, provided, however, that the Company shall not be obligated under this Section 2.1 to provide information that it deems in good faith to be a trade secret or similar confidential information, and provided further that the Company may require the Investor to execute a confidentiality and nondisclosure agreement prior to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Inspection</w:t>
      </w:r>
      <w:r>
        <w:rPr>
          <w:rFonts w:ascii="Times New Roman" w:hAnsi="Times New Roman"/>
          <w:sz w:val="20"/>
        </w:rPr>
        <w:t xml:space="preserve">. The Company shall permit each Investor, at such Investors expense, to visit and inspect the Companys properties, to examine its books of account and records and to discuss the Companys affairs, finances and accounts with its officers, all at such reasonable times as may be reasonably requested by the Investor; provided, however, that the Company shall not be obligated pursuant to this Section 2.2 to provide access to any information that it reasonably considers to be a trade secret or similar confidential information, and provided further that the Company may require the Investor to execute a confidentiality and nondisclosure agreement prior to any such visit and inspection.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Right of First Offer</w:t>
      </w:r>
      <w:r>
        <w:rPr>
          <w:rFonts w:ascii="Times New Roman" w:hAnsi="Times New Roman"/>
          <w:sz w:val="20"/>
        </w:rPr>
        <w:t>. Subject to the terms and conditions specified in this Section 2.3, the Company hereby grants to each Investor a right of first offer with respect to future sales by the Company of its Shares (as hereinafter defined). An Investor shall be entitled to apportion the right of first offer hereby granted it among itself and its partners, members and affiliates in such proportions as it deems appropriate. Each time the Company proposes to offer any shares of, or securities convertible into or exchangeable or exercisable for any shares of, any class of its capital stock (the </w:t>
      </w:r>
      <w:r>
        <w:rPr>
          <w:rFonts w:ascii="Times New Roman" w:hAnsi="Times New Roman"/>
          <w:sz w:val="20"/>
          <w:u w:val="single"/>
        </w:rPr>
        <w:t>Shares</w:t>
      </w:r>
      <w:r>
        <w:rPr>
          <w:rFonts w:ascii="Times New Roman" w:hAnsi="Times New Roman"/>
          <w:sz w:val="20"/>
        </w:rPr>
        <w:t xml:space="preserve">), the Company shall first make an offering of such Shares to each Investor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(a) The Company shall deliver a notice in accordance with Section 3.6 (the </w:t>
      </w:r>
      <w:r>
        <w:rPr>
          <w:rFonts w:ascii="Times New Roman" w:hAnsi="Times New Roman"/>
          <w:sz w:val="20"/>
          <w:u w:val="single"/>
        </w:rPr>
        <w:t>Notice</w:t>
      </w:r>
      <w:r>
        <w:rPr>
          <w:rFonts w:ascii="Times New Roman" w:hAnsi="Times New Roman"/>
          <w:sz w:val="20"/>
        </w:rPr>
        <w:t xml:space="preserve">) to each Investor stating (i) its bona fide intention to offer such Shares, (ii) the number of such Shares to be offered, and (iii) the price and general terms upon which it proposes to offer such Shares. </w:t>
      </w:r>
    </w:p>
    <w:p>
      <w:pPr>
        <w:pStyle w:val="TextBody"/>
        <w:bidi w:val="0"/>
        <w:spacing w:before="240" w:after="0"/>
        <w:jc w:val="left"/>
        <w:rPr>
          <w:rFonts w:ascii="Times New Roman" w:hAnsi="Times New Roman"/>
          <w:sz w:val="20"/>
        </w:rPr>
      </w:pPr>
      <w:r>
        <w:rPr>
          <w:rFonts w:ascii="Times New Roman" w:hAnsi="Times New Roman"/>
          <w:sz w:val="20"/>
        </w:rPr>
        <w:t xml:space="preserve">(b) By written notification received by the Company, within thirty (30) calendar days after receipt of the Notice, each Investor may elect to purchase or obtain, at the price and on the terms specified in the Notice, up to that portion of such Shares that equals the proportion that the number of shares of Common Stock issued and held, or issuable upon conversion of the Preferred Stock then held, by such Investor bears to the total number of shares of Common Stock of the Company issued or held, or issuable upon conversion of the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 then outstanding. The Company shall promptly, in writing, inform each Investor which purchases all the shares available to it (</w:t>
      </w:r>
      <w:r>
        <w:rPr>
          <w:rFonts w:ascii="Times New Roman" w:hAnsi="Times New Roman"/>
          <w:sz w:val="20"/>
          <w:u w:val="single"/>
        </w:rPr>
        <w:t>Fully-Exercising Investor</w:t>
      </w:r>
      <w:r>
        <w:rPr>
          <w:rFonts w:ascii="Times New Roman" w:hAnsi="Times New Roman"/>
          <w:sz w:val="20"/>
        </w:rPr>
        <w:t xml:space="preserve">) of any other Investors failure to do likewise. During the ten (10) day period commencing after receipt of such information, each Fully-Exercising Investor shall be entitled to obtain that portion of the Shares for which all Investors were entitled to subscribe but which were not subscribed for by the Investors which is equal to the proportion that the number of shares of Common Stock issued and held, or issuable upon conversion of Preferred Stock then held, by such Fully-Exercising Investor bears to the total number of shares of Common Stock issued and held, or issuable upon conversion of Preferred Stock then held, by all Fully-Exercising Investors who wish to purchase some of the unsubscribed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(c) If all Shares that the Investors are entitled to obtain pursuant to Section 2.3(b) are not elected to be obtained as provided in Section 2.3(b) hereof, the Company may, during the ninety (90) day period following the expiration of the period provided in Section 2.3(b) hereof, offer the remaining unsubscribed portion of such Shares to any person or persons at a price not less than,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Investors in accordance herewith. </w:t>
      </w:r>
    </w:p>
    <w:p>
      <w:pPr>
        <w:pStyle w:val="TextBody"/>
        <w:bidi w:val="0"/>
        <w:spacing w:before="240" w:after="0"/>
        <w:jc w:val="left"/>
        <w:rPr>
          <w:rFonts w:ascii="Times New Roman" w:hAnsi="Times New Roman"/>
          <w:sz w:val="20"/>
        </w:rPr>
      </w:pPr>
      <w:r>
        <w:rPr>
          <w:rFonts w:ascii="Times New Roman" w:hAnsi="Times New Roman"/>
          <w:sz w:val="20"/>
        </w:rPr>
        <w:t xml:space="preserve">(d) The right of first offer in this Section 2.3 shall not be applicable to: </w:t>
      </w:r>
    </w:p>
    <w:p>
      <w:pPr>
        <w:pStyle w:val="TextBody"/>
        <w:bidi w:val="0"/>
        <w:spacing w:before="120" w:after="0"/>
        <w:jc w:val="left"/>
        <w:rPr>
          <w:rFonts w:ascii="Times New Roman" w:hAnsi="Times New Roman"/>
          <w:sz w:val="20"/>
        </w:rPr>
      </w:pPr>
      <w:r>
        <w:rPr>
          <w:rFonts w:ascii="Times New Roman" w:hAnsi="Times New Roman"/>
          <w:sz w:val="20"/>
        </w:rPr>
        <w:t>(i) the issuance of shares of securities pursuant to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hAnsi="Times New Roman"/>
          <w:sz w:val="20"/>
          <w:u w:val="single"/>
        </w:rPr>
        <w:t>Common Stock Equivalents</w:t>
      </w:r>
      <w:r>
        <w:rPr>
          <w:rFonts w:ascii="Times New Roman" w:hAnsi="Times New Roman"/>
          <w:sz w:val="20"/>
        </w:rPr>
        <w:t xml:space="preserve">) without payment of any consideration by such holder for the additional shares of Common Stock or the Common Stock Equivalents (including the additional shares of Common Stock issuable upon conversion or exercise thereof); </w:t>
      </w:r>
    </w:p>
    <w:p>
      <w:pPr>
        <w:pStyle w:val="TextBody"/>
        <w:bidi w:val="0"/>
        <w:spacing w:before="240" w:after="0"/>
        <w:jc w:val="left"/>
        <w:rPr>
          <w:rFonts w:ascii="Times New Roman" w:hAnsi="Times New Roman"/>
          <w:sz w:val="20"/>
        </w:rPr>
      </w:pPr>
      <w:r>
        <w:rPr>
          <w:rFonts w:ascii="Times New Roman" w:hAnsi="Times New Roman"/>
          <w:sz w:val="20"/>
        </w:rPr>
        <w:t xml:space="preserve">(ii) the issuance of any shares of Common Stock (or options or rights to purchase shares of Common Stock) after the Series F Original Issue Date (as defined in the Restated Certificate), to employees, officers or directors of, or consultants or advisors to, the Company pursuant to current stock purchase plans or current stock option plans, or pursuant to similar plans that are approved by the Requisite Holders pursuant to Article IV.B.6(p) of the Restated Certificate; </w:t>
      </w:r>
    </w:p>
    <w:p>
      <w:pPr>
        <w:pStyle w:val="TextBody"/>
        <w:bidi w:val="0"/>
        <w:spacing w:before="240" w:after="0"/>
        <w:jc w:val="left"/>
        <w:rPr>
          <w:rFonts w:ascii="Times New Roman" w:hAnsi="Times New Roman"/>
          <w:sz w:val="20"/>
        </w:rPr>
      </w:pPr>
      <w:r>
        <w:rPr>
          <w:rFonts w:ascii="Times New Roman" w:hAnsi="Times New Roman"/>
          <w:sz w:val="20"/>
        </w:rPr>
        <w:t xml:space="preserve">(iii) any Common Stock Equivalents issued upon any conversion of shares of Series F Preferred Stock, Series E Preferred Stock, Series D Preferred Stock, Series C Preferred Stock, Series B Preferred Stock or Series A-1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(iv) any Common Stock Equivalents issued as a dividend or distribution on shares of Series F Preferred Stock, Series E Preferred Stock, Series D Preferred Stock, Series C Preferred Stock, Series B Preferred Stock or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issuance of shares of Common Stock (A) in a QIPO, or (B) upon exercise of warrants or rights granted to underwriters in connection with such a QIPO; or </w:t>
      </w:r>
    </w:p>
    <w:p>
      <w:pPr>
        <w:pStyle w:val="TextBody"/>
        <w:bidi w:val="0"/>
        <w:spacing w:before="240" w:after="0"/>
        <w:jc w:val="left"/>
        <w:rPr>
          <w:rFonts w:ascii="Times New Roman" w:hAnsi="Times New Roman"/>
          <w:sz w:val="20"/>
        </w:rPr>
      </w:pPr>
      <w:r>
        <w:rPr>
          <w:rFonts w:ascii="Times New Roman" w:hAnsi="Times New Roman"/>
          <w:sz w:val="20"/>
        </w:rPr>
        <w:t xml:space="preserve">(vi) the issuance of shares of Series F Preferred Stock pursuant to the Series F Stock Purchase Agreement. </w:t>
      </w:r>
    </w:p>
    <w:p>
      <w:pPr>
        <w:pStyle w:val="TextBody"/>
        <w:bidi w:val="0"/>
        <w:spacing w:before="240" w:after="0"/>
        <w:jc w:val="left"/>
        <w:rPr>
          <w:rFonts w:ascii="Times New Roman" w:hAnsi="Times New Roman"/>
          <w:sz w:val="20"/>
        </w:rPr>
      </w:pPr>
      <w:r>
        <w:rPr>
          <w:rFonts w:ascii="Times New Roman" w:hAnsi="Times New Roman"/>
          <w:sz w:val="20"/>
        </w:rPr>
        <w:t>In addition to the foregoing, the right of first offer in this Section 2.3 shall not be applicable with respect to any Investor and any subsequent securities issuance, if (i) at the time of such subsequent securities issuance, the Investor is not an </w:t>
      </w:r>
      <w:r>
        <w:rPr>
          <w:rFonts w:ascii="Times New Roman" w:hAnsi="Times New Roman"/>
          <w:sz w:val="20"/>
          <w:u w:val="single"/>
        </w:rPr>
        <w:t>accredited investor,</w:t>
      </w:r>
      <w:r>
        <w:rPr>
          <w:rFonts w:ascii="Times New Roman" w:hAnsi="Times New Roman"/>
          <w:sz w:val="20"/>
        </w:rPr>
        <w:t xml:space="preserve"> as that term is then defined in Rule 501(a) under the Act, and (ii) such subsequent securities issuance is otherwise being offered only to accredited investors.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of Directors shall meet at least quarterly, unless otherwise approved by a majority of the directors then serving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Series E Preferred Directors, Series D Preferred Director and the Series C Preferred Directors (as defined in that certain Amended and Restated Voting Agreement, dated on or about the date hereof) shall have the right to serve on any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reimburse all reasonable out-of-pocket expenses incurred by directors of the Board of Directors for attending meetings of the Board of Directors and performing their duties as directors.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Notice of Litigation</w:t>
      </w:r>
      <w:r>
        <w:rPr>
          <w:rFonts w:ascii="Times New Roman" w:hAnsi="Times New Roman"/>
          <w:sz w:val="20"/>
        </w:rPr>
        <w:t xml:space="preserve">. The Company shall provide notice to the Holders promptly upon the filing of any material action, suit or proceeding by or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 Investment Company</w:t>
      </w:r>
      <w:r>
        <w:rPr>
          <w:rFonts w:ascii="Times New Roman" w:hAnsi="Times New Roman"/>
          <w:sz w:val="20"/>
        </w:rPr>
        <w:t>. The Company shall not become an </w:t>
      </w:r>
      <w:r>
        <w:rPr>
          <w:rFonts w:ascii="Times New Roman" w:hAnsi="Times New Roman"/>
          <w:sz w:val="20"/>
          <w:u w:val="single"/>
        </w:rPr>
        <w:t>investment company</w:t>
      </w:r>
      <w:r>
        <w:rPr>
          <w:rFonts w:ascii="Times New Roman" w:hAnsi="Times New Roman"/>
          <w:sz w:val="20"/>
        </w:rPr>
        <w:t> or a company </w:t>
      </w:r>
      <w:r>
        <w:rPr>
          <w:rFonts w:ascii="Times New Roman" w:hAnsi="Times New Roman"/>
          <w:sz w:val="20"/>
          <w:u w:val="single"/>
        </w:rPr>
        <w:t>controlled</w:t>
      </w:r>
      <w:r>
        <w:rPr>
          <w:rFonts w:ascii="Times New Roman" w:hAnsi="Times New Roman"/>
          <w:sz w:val="20"/>
        </w:rPr>
        <w:t> by an </w:t>
      </w:r>
      <w:r>
        <w:rPr>
          <w:rFonts w:ascii="Times New Roman" w:hAnsi="Times New Roman"/>
          <w:sz w:val="20"/>
          <w:u w:val="single"/>
        </w:rPr>
        <w:t>investment company,</w:t>
      </w:r>
      <w:r>
        <w:rPr>
          <w:rFonts w:ascii="Times New Roman" w:hAnsi="Times New Roman"/>
          <w:sz w:val="20"/>
        </w:rPr>
        <w:t xml:space="preserve"> within the meaning of the Investment Company Act of 1940, as amended. In the event the Company breaches the foregoing, the Company shall forthwith notify the Investors and shall take immediate corrective action to remedy such breach.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Directors and Officers Insurance</w:t>
      </w:r>
      <w:r>
        <w:rPr>
          <w:rFonts w:ascii="Times New Roman" w:hAnsi="Times New Roman"/>
          <w:sz w:val="20"/>
        </w:rPr>
        <w:t xml:space="preserve">. The Company shall maintain from financially sound and reputable insurers directors and officers liability insurance in an amount and on terms and conditions satisfactory to the Board of Directors, and will use its commercially reasonable efforts to cause such insurance policy to be maintained until such time as the Board of Directors determines that such insurance should be discontinued.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Proprietary Information and Inventions Agreements</w:t>
      </w:r>
      <w:r>
        <w:rPr>
          <w:rFonts w:ascii="Times New Roman" w:hAnsi="Times New Roman"/>
          <w:sz w:val="20"/>
        </w:rPr>
        <w:t xml:space="preserve">. The Company shall require all employees and consultants with access to confidential information to execute and deliver a Proprietary Information and Inventions Agreement in substantially the form approved by the Board of Directors or a consulting agreement containing substantially similar proprietary rights assignment and confidentiality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Expenses of Counsel</w:t>
      </w:r>
      <w:r>
        <w:rPr>
          <w:rFonts w:ascii="Times New Roman" w:hAnsi="Times New Roman"/>
          <w:sz w:val="20"/>
        </w:rPr>
        <w:t>. In the event of a transaction which is a Deemed Liquidation Event (as defined in the Amended and Restated Voting Agreement of even date herewith among the Investors, the Company and the other parties named therein), the reasonable fees and disbursements, not to exceed $75,000, of one counsel for the Investors (</w:t>
      </w:r>
      <w:r>
        <w:rPr>
          <w:rFonts w:ascii="Times New Roman" w:hAnsi="Times New Roman"/>
          <w:sz w:val="20"/>
          <w:u w:val="single"/>
        </w:rPr>
        <w:t>Investor Counsel</w:t>
      </w:r>
      <w:r>
        <w:rPr>
          <w:rFonts w:ascii="Times New Roman" w:hAnsi="Times New Roman"/>
          <w:sz w:val="20"/>
        </w:rPr>
        <w:t xml:space="preserve">), in their capacities as stockholders, shall be borne and paid by the Company. At the outset of considering a transaction which, if consummated would constitute a Deemed Liquidation Event,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Deemed Liquidation Event.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(or common interest)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and the Companys counsel. In the event that one or more of the other party or parties to such transactions require the clients of Investor Counsel to enter into a confidentiality agreement and/or joint defense (or common interest)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Right to Conduct Activities</w:t>
      </w:r>
      <w:r>
        <w:rPr>
          <w:rFonts w:ascii="Times New Roman" w:hAnsi="Times New Roman"/>
          <w:sz w:val="20"/>
        </w:rPr>
        <w:t>. The Company hereby agrees and acknowledges that ABG-ColdGen Limited, ABG II-ColdGen Limited, ABG WTT-CG Limited, Acorn Bioventures, L.P., Acorn Bioventures 2, L.P., Longitude Venture Partners IV, L.P., Decheng Capital Global Life Sciences Fund IV, L.P., RA Capital Management, L.P., Foresite Capital Fund VI, L.P., BVF Partners L.P. and Avidity Private Master Fund I LP (together with their respective Affiliates) (collectively, the </w:t>
      </w:r>
      <w:r>
        <w:rPr>
          <w:rFonts w:ascii="Times New Roman" w:hAnsi="Times New Roman"/>
          <w:sz w:val="20"/>
          <w:u w:val="single"/>
        </w:rPr>
        <w:t>Funds</w:t>
      </w:r>
      <w:r>
        <w:rPr>
          <w:rFonts w:ascii="Times New Roman" w:hAnsi="Times New Roman"/>
          <w:sz w:val="20"/>
        </w:rPr>
        <w:t xml:space="preserve">) are professional investment organizations, and as such review business plans and related proprietary information of many enterprises, some of which may compete directly or indirectly with the Companys business (as currently conducted or as currently proposed to be conducted). Nothing in this Agreement shall preclude or in any way restrict the Investors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the Funds (and their Affiliates) shall not be liable to the Company for any claim arising out of, or based upon, (i) the investment by the Funds (or their Affiliates) in any entity competitive with the Company, or (ii) actions taken by any partner, officer, employee or other representative of the Funds (or their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Confidentiality</w:t>
      </w:r>
      <w:r>
        <w:rPr>
          <w:rFonts w:ascii="Times New Roman" w:hAnsi="Times New Roman"/>
          <w:sz w:val="20"/>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2.11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provided, however,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2.11; (iii) to any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regulation, rule, court order or subpoena, provided that such Investor promptly notifies the Company of such disclosure and takes reasonable steps to minimize the extent of any such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Termination of Certain Covenants</w:t>
      </w:r>
      <w:r>
        <w:rPr>
          <w:rFonts w:ascii="Times New Roman" w:hAnsi="Times New Roman"/>
          <w:sz w:val="20"/>
        </w:rPr>
        <w:t xml:space="preserve">. The covenants set forth in this Section 2, except for Section 2.9, shall terminate and be of no further force or effect upon the consummation of a QIPO or at such time as the Company is required to file reports pursuant to Section 13 or 15(d) of the 1934 Act. This Agreement shall terminate and be of no further force or effect upon the consummation of a transaction or series of related transactions which are deemed to be a Liquidation Event of the Company pursuant to the Restated Certificate, as such Restated Certificate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Subsequent Closing Investors</w:t>
      </w:r>
      <w:r>
        <w:rPr>
          <w:rFonts w:ascii="Times New Roman" w:hAnsi="Times New Roman"/>
          <w:sz w:val="20"/>
        </w:rPr>
        <w:t xml:space="preserve">. Upon the sale of shares of Series F Preferred Stock to new Investors in accordance with the subsequent closing provisions of Section 1.3 of the Series F Purchase Agreement, the Company, without prior action on the part of any Investor, shall require each such Investor to execute and deliver this Agreement. Each such Investor, upon execution and delivery of this Agreement, shall be deemed an Investor hereunder.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Successors and Assigns</w:t>
      </w:r>
      <w:r>
        <w:rPr>
          <w:rFonts w:ascii="Times New Roman" w:hAnsi="Times New Roman"/>
          <w:sz w:val="20"/>
        </w:rPr>
        <w:t xml:space="preserve">.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Governing Law; Venue</w:t>
      </w:r>
      <w:r>
        <w:rPr>
          <w:rFonts w:ascii="Times New Roman" w:hAnsi="Times New Roman"/>
          <w:sz w:val="20"/>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In the event of any dispute arising out of or relating to this Agreement, such dispute shall be resolved solely and exclusively by confidential binding arbitration with the Irvine, California branch of JAMS (</w:t>
      </w:r>
      <w:r>
        <w:rPr>
          <w:rFonts w:ascii="Times New Roman" w:hAnsi="Times New Roman"/>
          <w:sz w:val="20"/>
          <w:u w:val="single"/>
        </w:rPr>
        <w:t>JAMS</w:t>
      </w:r>
      <w:r>
        <w:rPr>
          <w:rFonts w:ascii="Times New Roman" w:hAnsi="Times New Roman"/>
          <w:sz w:val="20"/>
        </w:rPr>
        <w:t>) to be governed by JAMS Commercial Rules of Arbitration applicable at the time of the commencement of the arbitration (the </w:t>
      </w:r>
      <w:r>
        <w:rPr>
          <w:rFonts w:ascii="Times New Roman" w:hAnsi="Times New Roman"/>
          <w:sz w:val="20"/>
          <w:u w:val="single"/>
        </w:rPr>
        <w:t>JAMS Rules</w:t>
      </w:r>
      <w:r>
        <w:rPr>
          <w:rFonts w:ascii="Times New Roman" w:hAnsi="Times New Roman"/>
          <w:sz w:val="20"/>
        </w:rPr>
        <w:t xml:space="preserve">) and heard before on arbitrator. The parties shall attempt to mutually select the arbitrator. In the event they are unable to mutually agree, the arbitrator shall be selected by the procedures prescribed by the JAMS Rules. Each party shall bear its own attorneys fees, expert witness fees, and costs incurred in connection with any arbitration.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email address or address as set forth on the signature page or </w:t>
      </w:r>
      <w:r>
        <w:rPr>
          <w:rFonts w:ascii="Times New Roman" w:hAnsi="Times New Roman"/>
          <w:sz w:val="20"/>
          <w:u w:val="single"/>
        </w:rPr>
        <w:t>Schedule A</w:t>
      </w:r>
      <w:r>
        <w:rPr>
          <w:rFonts w:ascii="Times New Roman" w:hAnsi="Times New Roman"/>
          <w:sz w:val="20"/>
        </w:rPr>
        <w:t xml:space="preserve"> hereto, or in any case to such email address or address as subsequently modified by written notice given in accordance with this </w:t>
      </w:r>
      <w:r>
        <w:rPr>
          <w:rFonts w:ascii="Times New Roman" w:hAnsi="Times New Roman"/>
          <w:sz w:val="20"/>
          <w:u w:val="single"/>
        </w:rPr>
        <w:t>Section 3.6</w:t>
      </w:r>
      <w:r>
        <w:rPr>
          <w:rFonts w:ascii="Times New Roman" w:hAnsi="Times New Roman"/>
          <w:sz w:val="20"/>
        </w:rPr>
        <w:t xml:space="preserve">. If notice is given to the Company, a copy (which copy shall not constitute notice) shall also be sent to Latham &amp; Watkins LLP, 12670 High Bluff Drive, San Diego, CA 92130, Attention: Cheston J. Larson and Cheston.larson@lw.com, and if notice is given to the Investors, a copy (which copy shall not constitute notice) shall also be sent to Gunderson Dettmer Stough Villeneuve Franklin &amp; Hachigian, LLP, 3570 Carmel Mountain Rd, San Diego, CA 92130, Attention: Jonathan Spencer and jspencer@gunder.com.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sz w:val="20"/>
          <w:u w:val="single"/>
        </w:rPr>
        <w:t>DGCL</w:t>
      </w:r>
      <w:r>
        <w:rPr>
          <w:rFonts w:ascii="Times New Roman" w:hAnsi="Times New Roman"/>
          <w:sz w:val="20"/>
        </w:rPr>
        <w:t xml:space="preserve">), as amended or superseded from time to time, by electronic transmission pursuant to Section 232 of the DGCL (or any successor thereto) at the electronic mail address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Investors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Expenses</w:t>
      </w:r>
      <w:r>
        <w:rPr>
          <w:rFonts w:ascii="Times New Roman" w:hAnsi="Times New Roman"/>
          <w:sz w:val="20"/>
        </w:rPr>
        <w:t xml:space="preserve">. If any action at law or in equity is necessary to enforce or interpret the terms of this Agreement, the prevailing party shall be entitled to reasonable attorneys fees, costs and necessary disbursements in addition to any other relief to which such party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Amendments and Waivers</w:t>
      </w:r>
      <w:r>
        <w:rPr>
          <w:rFonts w:ascii="Times New Roman" w:hAnsi="Times New Roman"/>
          <w:sz w:val="20"/>
        </w:rPr>
        <w:t xml:space="preserve">. Any term of this Agreement may be amended and the observance of any term of this Agreement may be waived (either generally or in a particular instance and either retroactively or prospectively), only with the written consent of (a) the Company and (b) the holders of at least 75% of the Registrable Securities then outstanding; provided, however, that no amendment or waiver which adversely affects the holders of less than a majority of the Registrable Securities in a manner different than the holders of a majority of the Registrable Securities shall be affected without the prior written consent of at a majority of the holders in interest of such Registrable Securities so affected. Notwithstanding the foregoing, in the event that (a) the provisions of Section 2.3 are waived in accordance with this Section 3.8 in respect of a future sale by the Company of its Shares, and (b) one or more Investors or its affiliates purchases securities in such offering, then any other Investor who did not consent to such waiver shall be permitted to purchase up to the same percentage (not to exceed 100%) of its pro rata share of the Shares in such offering as the percentage of the pro rata share of the Shares so purchased by the Investor purchasing the largest portion of such Investors pro rata share in such offering. Any amendment or waiver effected in accordance with this paragraph shall be binding upon each holder of any Registrable Securities, each future holder of all such Registrable Securities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Severability</w:t>
      </w:r>
      <w:r>
        <w:rPr>
          <w:rFonts w:ascii="Times New Roman" w:hAnsi="Times New Roman"/>
          <w:sz w:val="20"/>
        </w:rPr>
        <w:t xml:space="preserve">.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Aggregation of Stock</w:t>
      </w:r>
      <w:r>
        <w:rPr>
          <w:rFonts w:ascii="Times New Roman" w:hAnsi="Times New Roman"/>
          <w:sz w:val="20"/>
        </w:rPr>
        <w:t xml:space="preserve">. All shares of Registrable Securities held or acquired by entities advised by the same investment adviser and affiliated entities or persons shall be aggregated together for the purpose of determining the availability of any rights under this Agreement and such affiliated entities or persons may apportion such rights among themselves in any manner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Entire Agreement</w:t>
      </w:r>
      <w:r>
        <w:rPr>
          <w:rFonts w:ascii="Times New Roman" w:hAnsi="Times New Roman"/>
          <w:sz w:val="20"/>
        </w:rPr>
        <w:t xml:space="preserve">. This Agreement and the documents referred to herein constitute the entire agreement among the parties with respect to the subject matter hereof and no party shall be liable or bound to any other party in any manner by any warranties, representations or covenants except as specifically set forth herein or therein. Upon the effectiveness of this Agreement, the Prior Agreement shall be superseded and replaced in its entirety by this Agreement and shall be of no further force or effect.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52"/>
        <w:gridCol w:w="112"/>
        <w:gridCol w:w="808"/>
        <w:gridCol w:w="112"/>
        <w:gridCol w:w="469"/>
        <w:gridCol w:w="112"/>
        <w:gridCol w:w="4440"/>
      </w:tblGrid>
      <w:tr>
        <w:trPr/>
        <w:tc>
          <w:tcPr>
            <w:tcW w:w="415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440" w:type="dxa"/>
            <w:tcBorders/>
            <w:vAlign w:val="center"/>
          </w:tcPr>
          <w:p>
            <w:pPr>
              <w:pStyle w:val="TableContents"/>
              <w:bidi w:val="0"/>
              <w:spacing w:before="0" w:after="283"/>
              <w:jc w:val="left"/>
              <w:rPr>
                <w:sz w:val="4"/>
                <w:szCs w:val="4"/>
              </w:rPr>
            </w:pPr>
            <w:r>
              <w:rPr>
                <w:sz w:val="4"/>
                <w:szCs w:val="4"/>
              </w:rPr>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b/>
              </w:rPr>
            </w:pPr>
            <w:r>
              <w:rPr>
                <w:b/>
              </w:rPr>
              <w:t>COMPANY:</w:t>
            </w:r>
          </w:p>
        </w:tc>
      </w:tr>
      <w:tr>
        <w:trPr>
          <w:trHeight w:val="240" w:hRule="atLeast"/>
        </w:trPr>
        <w:tc>
          <w:tcPr>
            <w:tcW w:w="4152" w:type="dxa"/>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5133" w:type="dxa"/>
            <w:gridSpan w:val="4"/>
            <w:tcBorders/>
            <w:vAlign w:val="center"/>
          </w:tcPr>
          <w:p>
            <w:pPr>
              <w:pStyle w:val="TableContents"/>
              <w:bidi w:val="0"/>
              <w:spacing w:before="0" w:after="283"/>
              <w:jc w:val="left"/>
              <w:rPr>
                <w:sz w:val="4"/>
                <w:szCs w:val="4"/>
              </w:rPr>
            </w:pPr>
            <w:r>
              <w:rPr>
                <w:sz w:val="4"/>
                <w:szCs w:val="4"/>
              </w:rPr>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b/>
              </w:rPr>
            </w:pPr>
            <w:r>
              <w:rPr>
                <w:b/>
              </w:rPr>
              <w:t>CG ONCOLOGY, INC.</w:t>
            </w:r>
          </w:p>
        </w:tc>
      </w:tr>
      <w:tr>
        <w:trPr>
          <w:trHeight w:val="240" w:hRule="atLeast"/>
        </w:trPr>
        <w:tc>
          <w:tcPr>
            <w:tcW w:w="4152" w:type="dxa"/>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4552" w:type="dxa"/>
            <w:gridSpan w:val="2"/>
            <w:tcBorders/>
            <w:vAlign w:val="center"/>
          </w:tcPr>
          <w:p>
            <w:pPr>
              <w:pStyle w:val="TableContents"/>
              <w:bidi w:val="0"/>
              <w:spacing w:before="0" w:after="283"/>
              <w:jc w:val="left"/>
              <w:rPr>
                <w:sz w:val="4"/>
                <w:szCs w:val="4"/>
              </w:rPr>
            </w:pPr>
            <w:r>
              <w:rPr>
                <w:sz w:val="4"/>
                <w:szCs w:val="4"/>
              </w:rPr>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9"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44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Kuan</w:t>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Name: Arthur Kuan</w:t>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Title: Chief Executive Officer</w:t>
            </w:r>
          </w:p>
        </w:tc>
      </w:tr>
      <w:tr>
        <w:trPr>
          <w:trHeight w:val="240" w:hRule="atLeast"/>
        </w:trPr>
        <w:tc>
          <w:tcPr>
            <w:tcW w:w="4152" w:type="dxa"/>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5133" w:type="dxa"/>
            <w:gridSpan w:val="4"/>
            <w:tcBorders/>
            <w:vAlign w:val="center"/>
          </w:tcPr>
          <w:p>
            <w:pPr>
              <w:pStyle w:val="TableContents"/>
              <w:bidi w:val="0"/>
              <w:spacing w:before="0" w:after="283"/>
              <w:jc w:val="left"/>
              <w:rPr>
                <w:sz w:val="4"/>
                <w:szCs w:val="4"/>
              </w:rPr>
            </w:pPr>
            <w:r>
              <w:rPr>
                <w:sz w:val="4"/>
                <w:szCs w:val="4"/>
              </w:rPr>
            </w:r>
          </w:p>
        </w:tc>
      </w:tr>
      <w:tr>
        <w:trPr/>
        <w:tc>
          <w:tcPr>
            <w:tcW w:w="4152"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Address:</w:t>
            </w:r>
          </w:p>
        </w:tc>
        <w:tc>
          <w:tcPr>
            <w:tcW w:w="112" w:type="dxa"/>
            <w:tcBorders/>
            <w:vAlign w:val="bottom"/>
          </w:tcPr>
          <w:p>
            <w:pPr>
              <w:pStyle w:val="TableContents"/>
              <w:bidi w:val="0"/>
              <w:spacing w:before="0" w:after="283"/>
              <w:jc w:val="left"/>
              <w:rPr/>
            </w:pPr>
            <w:r>
              <w:rPr/>
              <w:t> </w:t>
            </w:r>
          </w:p>
        </w:tc>
        <w:tc>
          <w:tcPr>
            <w:tcW w:w="5021" w:type="dxa"/>
            <w:gridSpan w:val="3"/>
            <w:tcBorders/>
            <w:vAlign w:val="bottom"/>
          </w:tcPr>
          <w:p>
            <w:pPr>
              <w:pStyle w:val="TableContents"/>
              <w:bidi w:val="0"/>
              <w:spacing w:before="0" w:after="283"/>
              <w:jc w:val="left"/>
              <w:rPr/>
            </w:pPr>
            <w:r>
              <w:rPr/>
              <w:t>400 Spectrum Center Drive, Suite 2040</w:t>
            </w:r>
          </w:p>
        </w:tc>
      </w:tr>
      <w:tr>
        <w:trPr/>
        <w:tc>
          <w:tcPr>
            <w:tcW w:w="415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0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Irvine, CA 92618 U.S.A.</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3"/>
        <w:gridCol w:w="111"/>
        <w:gridCol w:w="812"/>
        <w:gridCol w:w="111"/>
        <w:gridCol w:w="374"/>
        <w:gridCol w:w="111"/>
        <w:gridCol w:w="4643"/>
      </w:tblGrid>
      <w:tr>
        <w:trPr/>
        <w:tc>
          <w:tcPr>
            <w:tcW w:w="404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643" w:type="dxa"/>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b/>
              </w:rPr>
            </w:pPr>
            <w:r>
              <w:rPr>
                <w:b/>
              </w:rPr>
              <w:t>INVESTORS:</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5239" w:type="dxa"/>
            <w:gridSpan w:val="4"/>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b/>
              </w:rPr>
            </w:pPr>
            <w:r>
              <w:rPr>
                <w:b/>
              </w:rPr>
              <w:t>FORESITE CAPITAL FUND V, L.P.</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Foresite Capital Management V, LLC</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43" w:type="dxa"/>
            <w:tcBorders>
              <w:bottom w:val="single" w:sz="2" w:space="0" w:color="000000"/>
            </w:tcBorders>
            <w:tcMar>
              <w:bottom w:w="28" w:type="dxa"/>
            </w:tcMar>
            <w:vAlign w:val="bottom"/>
          </w:tcPr>
          <w:p>
            <w:pPr>
              <w:pStyle w:val="TableContents"/>
              <w:bidi w:val="0"/>
              <w:spacing w:before="0" w:after="283"/>
              <w:jc w:val="left"/>
              <w:rPr/>
            </w:pPr>
            <w:r>
              <w:rPr/>
              <w:t>/s/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Name: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Title: Chief Financial Officer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5239" w:type="dxa"/>
            <w:gridSpan w:val="4"/>
            <w:tcBorders/>
            <w:vAlign w:val="center"/>
          </w:tcPr>
          <w:p>
            <w:pPr>
              <w:pStyle w:val="TableContents"/>
              <w:bidi w:val="0"/>
              <w:spacing w:before="0" w:after="283"/>
              <w:jc w:val="left"/>
              <w:rPr>
                <w:sz w:val="4"/>
                <w:szCs w:val="4"/>
              </w:rPr>
            </w:pPr>
            <w:r>
              <w:rPr>
                <w:sz w:val="4"/>
                <w:szCs w:val="4"/>
              </w:rPr>
            </w:r>
          </w:p>
        </w:tc>
      </w:tr>
      <w:tr>
        <w:trPr/>
        <w:tc>
          <w:tcPr>
            <w:tcW w:w="404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b/>
              </w:rPr>
            </w:pPr>
            <w:r>
              <w:rPr>
                <w:b/>
              </w:rPr>
              <w:t>FORESITE CAPITAL OPPORTUNITY FUND V, L.P.</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Foresite Capital Opportunity Management V, LLC</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43" w:type="dxa"/>
            <w:tcBorders>
              <w:bottom w:val="single" w:sz="2" w:space="0" w:color="000000"/>
            </w:tcBorders>
            <w:tcMar>
              <w:bottom w:w="28" w:type="dxa"/>
            </w:tcMar>
            <w:vAlign w:val="bottom"/>
          </w:tcPr>
          <w:p>
            <w:pPr>
              <w:pStyle w:val="TableContents"/>
              <w:bidi w:val="0"/>
              <w:spacing w:before="0" w:after="283"/>
              <w:jc w:val="left"/>
              <w:rPr/>
            </w:pPr>
            <w:r>
              <w:rPr/>
              <w:t>/s/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Name: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Title: Chief Financial Officer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5239" w:type="dxa"/>
            <w:gridSpan w:val="4"/>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b/>
              </w:rPr>
            </w:pPr>
            <w:r>
              <w:rPr>
                <w:b/>
              </w:rPr>
              <w:t>FORESITE CAPITAL FUND VI, L.P.</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Foresite Capital Management VI, LLC</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43" w:type="dxa"/>
            <w:tcBorders>
              <w:bottom w:val="single" w:sz="2" w:space="0" w:color="000000"/>
            </w:tcBorders>
            <w:tcMar>
              <w:bottom w:w="28" w:type="dxa"/>
            </w:tcMar>
            <w:vAlign w:val="bottom"/>
          </w:tcPr>
          <w:p>
            <w:pPr>
              <w:pStyle w:val="TableContents"/>
              <w:bidi w:val="0"/>
              <w:spacing w:before="0" w:after="283"/>
              <w:jc w:val="left"/>
              <w:rPr/>
            </w:pPr>
            <w:r>
              <w:rPr/>
              <w:t>/s/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Name: Dennis D. Ryan</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Title: Chief Financial Officer</w:t>
            </w:r>
          </w:p>
        </w:tc>
      </w:tr>
      <w:tr>
        <w:trPr>
          <w:trHeight w:val="240" w:hRule="atLeast"/>
        </w:trPr>
        <w:tc>
          <w:tcPr>
            <w:tcW w:w="4043" w:type="dxa"/>
            <w:tcBorders/>
            <w:vAlign w:val="center"/>
          </w:tcPr>
          <w:p>
            <w:pPr>
              <w:pStyle w:val="TableContents"/>
              <w:bidi w:val="0"/>
              <w:spacing w:before="0" w:after="283"/>
              <w:jc w:val="left"/>
              <w:rPr>
                <w:sz w:val="4"/>
                <w:szCs w:val="4"/>
              </w:rPr>
            </w:pPr>
            <w:r>
              <w:rPr>
                <w:sz w:val="4"/>
                <w:szCs w:val="4"/>
              </w:rPr>
            </w:r>
          </w:p>
        </w:tc>
        <w:tc>
          <w:tcPr>
            <w:tcW w:w="923" w:type="dxa"/>
            <w:gridSpan w:val="2"/>
            <w:tcBorders/>
            <w:vAlign w:val="center"/>
          </w:tcPr>
          <w:p>
            <w:pPr>
              <w:pStyle w:val="TableContents"/>
              <w:bidi w:val="0"/>
              <w:spacing w:before="0" w:after="283"/>
              <w:jc w:val="left"/>
              <w:rPr>
                <w:sz w:val="4"/>
                <w:szCs w:val="4"/>
              </w:rPr>
            </w:pPr>
            <w:r>
              <w:rPr>
                <w:sz w:val="4"/>
                <w:szCs w:val="4"/>
              </w:rPr>
            </w:r>
          </w:p>
        </w:tc>
        <w:tc>
          <w:tcPr>
            <w:tcW w:w="5239" w:type="dxa"/>
            <w:gridSpan w:val="4"/>
            <w:tcBorders/>
            <w:vAlign w:val="center"/>
          </w:tcPr>
          <w:p>
            <w:pPr>
              <w:pStyle w:val="TableContents"/>
              <w:bidi w:val="0"/>
              <w:spacing w:before="0" w:after="283"/>
              <w:jc w:val="left"/>
              <w:rPr>
                <w:sz w:val="4"/>
                <w:szCs w:val="4"/>
              </w:rPr>
            </w:pPr>
            <w:r>
              <w:rPr>
                <w:sz w:val="4"/>
                <w:szCs w:val="4"/>
              </w:rPr>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Address:</w:t>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900 Larkspur Landing Circle, Suite 150</w:t>
            </w:r>
          </w:p>
        </w:tc>
      </w:tr>
      <w:tr>
        <w:trPr/>
        <w:tc>
          <w:tcPr>
            <w:tcW w:w="40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1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Larkspur, CA 94939</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06"/>
        <w:gridCol w:w="108"/>
        <w:gridCol w:w="821"/>
        <w:gridCol w:w="108"/>
        <w:gridCol w:w="347"/>
        <w:gridCol w:w="108"/>
        <w:gridCol w:w="4407"/>
      </w:tblGrid>
      <w:tr>
        <w:trPr/>
        <w:tc>
          <w:tcPr>
            <w:tcW w:w="43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07" w:type="dxa"/>
            <w:tcBorders/>
            <w:vAlign w:val="center"/>
          </w:tcPr>
          <w:p>
            <w:pPr>
              <w:pStyle w:val="TableContents"/>
              <w:bidi w:val="0"/>
              <w:spacing w:before="0" w:after="283"/>
              <w:jc w:val="left"/>
              <w:rPr>
                <w:sz w:val="4"/>
                <w:szCs w:val="4"/>
              </w:rPr>
            </w:pPr>
            <w:r>
              <w:rPr>
                <w:sz w:val="4"/>
                <w:szCs w:val="4"/>
              </w:rPr>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b/>
              </w:rPr>
            </w:pPr>
            <w:r>
              <w:rPr>
                <w:b/>
              </w:rPr>
              <w:t>INVESTOR:</w:t>
            </w:r>
          </w:p>
        </w:tc>
      </w:tr>
      <w:tr>
        <w:trPr>
          <w:trHeight w:val="240" w:hRule="atLeast"/>
        </w:trPr>
        <w:tc>
          <w:tcPr>
            <w:tcW w:w="4306" w:type="dxa"/>
            <w:tcBorders/>
            <w:vAlign w:val="center"/>
          </w:tcPr>
          <w:p>
            <w:pPr>
              <w:pStyle w:val="TableContents"/>
              <w:bidi w:val="0"/>
              <w:spacing w:before="0" w:after="283"/>
              <w:jc w:val="left"/>
              <w:rPr>
                <w:sz w:val="4"/>
                <w:szCs w:val="4"/>
              </w:rPr>
            </w:pPr>
            <w:r>
              <w:rPr>
                <w:sz w:val="4"/>
                <w:szCs w:val="4"/>
              </w:rPr>
            </w:r>
          </w:p>
        </w:tc>
        <w:tc>
          <w:tcPr>
            <w:tcW w:w="929" w:type="dxa"/>
            <w:gridSpan w:val="2"/>
            <w:tcBorders/>
            <w:vAlign w:val="center"/>
          </w:tcPr>
          <w:p>
            <w:pPr>
              <w:pStyle w:val="TableContents"/>
              <w:bidi w:val="0"/>
              <w:spacing w:before="0" w:after="283"/>
              <w:jc w:val="left"/>
              <w:rPr>
                <w:sz w:val="4"/>
                <w:szCs w:val="4"/>
              </w:rPr>
            </w:pPr>
            <w:r>
              <w:rPr>
                <w:sz w:val="4"/>
                <w:szCs w:val="4"/>
              </w:rPr>
            </w:r>
          </w:p>
        </w:tc>
        <w:tc>
          <w:tcPr>
            <w:tcW w:w="4970" w:type="dxa"/>
            <w:gridSpan w:val="4"/>
            <w:tcBorders/>
            <w:vAlign w:val="center"/>
          </w:tcPr>
          <w:p>
            <w:pPr>
              <w:pStyle w:val="TableContents"/>
              <w:bidi w:val="0"/>
              <w:spacing w:before="0" w:after="283"/>
              <w:jc w:val="left"/>
              <w:rPr>
                <w:sz w:val="4"/>
                <w:szCs w:val="4"/>
              </w:rPr>
            </w:pPr>
            <w:r>
              <w:rPr>
                <w:sz w:val="4"/>
                <w:szCs w:val="4"/>
              </w:rPr>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b/>
              </w:rPr>
            </w:pPr>
            <w:r>
              <w:rPr>
                <w:b/>
              </w:rPr>
              <w:t>TCG CROSSOVER FUND I, L.P.</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TCG Crossover GP I, LLC</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306" w:type="dxa"/>
            <w:tcBorders/>
            <w:vAlign w:val="center"/>
          </w:tcPr>
          <w:p>
            <w:pPr>
              <w:pStyle w:val="TableContents"/>
              <w:bidi w:val="0"/>
              <w:spacing w:before="0" w:after="283"/>
              <w:jc w:val="left"/>
              <w:rPr>
                <w:sz w:val="4"/>
                <w:szCs w:val="4"/>
              </w:rPr>
            </w:pPr>
            <w:r>
              <w:rPr>
                <w:sz w:val="4"/>
                <w:szCs w:val="4"/>
              </w:rPr>
            </w:r>
          </w:p>
        </w:tc>
        <w:tc>
          <w:tcPr>
            <w:tcW w:w="929"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515" w:type="dxa"/>
            <w:gridSpan w:val="2"/>
            <w:tcBorders/>
            <w:vAlign w:val="center"/>
          </w:tcPr>
          <w:p>
            <w:pPr>
              <w:pStyle w:val="TableContents"/>
              <w:bidi w:val="0"/>
              <w:spacing w:before="0" w:after="283"/>
              <w:jc w:val="left"/>
              <w:rPr>
                <w:sz w:val="4"/>
                <w:szCs w:val="4"/>
              </w:rPr>
            </w:pPr>
            <w:r>
              <w:rPr>
                <w:sz w:val="4"/>
                <w:szCs w:val="4"/>
              </w:rPr>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07" w:type="dxa"/>
            <w:tcBorders>
              <w:bottom w:val="single" w:sz="2" w:space="0" w:color="000000"/>
            </w:tcBorders>
            <w:tcMar>
              <w:bottom w:w="28" w:type="dxa"/>
            </w:tcMar>
            <w:vAlign w:val="bottom"/>
          </w:tcPr>
          <w:p>
            <w:pPr>
              <w:pStyle w:val="TableContents"/>
              <w:bidi w:val="0"/>
              <w:spacing w:before="0" w:after="283"/>
              <w:jc w:val="left"/>
              <w:rPr/>
            </w:pPr>
            <w:r>
              <w:rPr/>
              <w:t>/s/ Chen Yu</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pPr>
            <w:r>
              <w:rPr/>
              <w:t>Name: Chen Yu</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Member</w:t>
            </w:r>
          </w:p>
        </w:tc>
      </w:tr>
      <w:tr>
        <w:trPr>
          <w:trHeight w:val="240" w:hRule="atLeast"/>
        </w:trPr>
        <w:tc>
          <w:tcPr>
            <w:tcW w:w="4306" w:type="dxa"/>
            <w:tcBorders/>
            <w:vAlign w:val="center"/>
          </w:tcPr>
          <w:p>
            <w:pPr>
              <w:pStyle w:val="TableContents"/>
              <w:bidi w:val="0"/>
              <w:spacing w:before="0" w:after="283"/>
              <w:jc w:val="left"/>
              <w:rPr>
                <w:sz w:val="4"/>
                <w:szCs w:val="4"/>
              </w:rPr>
            </w:pPr>
            <w:r>
              <w:rPr>
                <w:sz w:val="4"/>
                <w:szCs w:val="4"/>
              </w:rPr>
            </w:r>
          </w:p>
        </w:tc>
        <w:tc>
          <w:tcPr>
            <w:tcW w:w="929" w:type="dxa"/>
            <w:gridSpan w:val="2"/>
            <w:tcBorders/>
            <w:vAlign w:val="center"/>
          </w:tcPr>
          <w:p>
            <w:pPr>
              <w:pStyle w:val="TableContents"/>
              <w:bidi w:val="0"/>
              <w:spacing w:before="0" w:after="283"/>
              <w:jc w:val="left"/>
              <w:rPr>
                <w:sz w:val="4"/>
                <w:szCs w:val="4"/>
              </w:rPr>
            </w:pPr>
            <w:r>
              <w:rPr>
                <w:sz w:val="4"/>
                <w:szCs w:val="4"/>
              </w:rPr>
            </w:r>
          </w:p>
        </w:tc>
        <w:tc>
          <w:tcPr>
            <w:tcW w:w="4970" w:type="dxa"/>
            <w:gridSpan w:val="4"/>
            <w:tcBorders/>
            <w:vAlign w:val="center"/>
          </w:tcPr>
          <w:p>
            <w:pPr>
              <w:pStyle w:val="TableContents"/>
              <w:bidi w:val="0"/>
              <w:spacing w:before="0" w:after="283"/>
              <w:jc w:val="left"/>
              <w:rPr>
                <w:sz w:val="4"/>
                <w:szCs w:val="4"/>
              </w:rPr>
            </w:pPr>
            <w:r>
              <w:rPr>
                <w:sz w:val="4"/>
                <w:szCs w:val="4"/>
              </w:rPr>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pPr>
            <w:r>
              <w:rPr/>
              <w:t>Address:</w:t>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pPr>
            <w:r>
              <w:rPr/>
              <w:t>TCG Crossover Management, LLC</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pPr>
            <w:r>
              <w:rPr/>
              <w:t>705 High Street</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pPr>
            <w:r>
              <w:rPr/>
              <w:t>Palo Alto, CA 94301</w:t>
            </w:r>
          </w:p>
        </w:tc>
      </w:tr>
      <w:tr>
        <w:trPr/>
        <w:tc>
          <w:tcPr>
            <w:tcW w:w="43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62" w:type="dxa"/>
            <w:gridSpan w:val="3"/>
            <w:tcBorders/>
          </w:tcPr>
          <w:p>
            <w:pPr>
              <w:pStyle w:val="TableContents"/>
              <w:bidi w:val="0"/>
              <w:spacing w:before="0" w:after="283"/>
              <w:jc w:val="left"/>
              <w:rPr/>
            </w:pPr>
            <w:r>
              <w:rPr/>
              <w:t>Attn: Craig Skaling</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0"/>
        <w:gridCol w:w="142"/>
        <w:gridCol w:w="3723"/>
        <w:gridCol w:w="106"/>
        <w:gridCol w:w="1011"/>
        <w:gridCol w:w="106"/>
        <w:gridCol w:w="627"/>
        <w:gridCol w:w="135"/>
        <w:gridCol w:w="3765"/>
      </w:tblGrid>
      <w:tr>
        <w:trPr/>
        <w:tc>
          <w:tcPr>
            <w:tcW w:w="59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372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b/>
              </w:rPr>
            </w:pPr>
            <w:r>
              <w:rPr>
                <w:b/>
              </w:rPr>
              <w:t>INVESTOR:</w:t>
            </w:r>
          </w:p>
        </w:tc>
      </w:tr>
      <w:tr>
        <w:trPr>
          <w:trHeight w:val="240" w:hRule="atLeast"/>
        </w:trPr>
        <w:tc>
          <w:tcPr>
            <w:tcW w:w="4455" w:type="dxa"/>
            <w:gridSpan w:val="3"/>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4633" w:type="dxa"/>
            <w:gridSpan w:val="4"/>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Pr>
          <w:p>
            <w:pPr>
              <w:pStyle w:val="TableContents"/>
              <w:bidi w:val="0"/>
              <w:spacing w:before="0" w:after="283"/>
              <w:jc w:val="left"/>
              <w:rPr>
                <w:b/>
              </w:rPr>
            </w:pPr>
            <w:r>
              <w:rPr>
                <w:b/>
              </w:rPr>
              <w:t>BIOTECHNOLOGY VALUE FUND, L.P.</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b/>
              </w:rPr>
            </w:pPr>
            <w:r>
              <w:rPr>
                <w:b/>
              </w:rPr>
              <w:t>BIOTECHNOLOGY VALUE FUND II, L.P</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390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723" w:type="dxa"/>
            <w:tcBorders>
              <w:bottom w:val="single" w:sz="2" w:space="0" w:color="000000"/>
            </w:tcBorders>
            <w:tcMar>
              <w:bottom w:w="28" w:type="dxa"/>
            </w:tcMar>
          </w:tcPr>
          <w:p>
            <w:pPr>
              <w:pStyle w:val="TableContents"/>
              <w:bidi w:val="0"/>
              <w:spacing w:before="0" w:after="283"/>
              <w:jc w:val="left"/>
              <w:rPr/>
            </w:pPr>
            <w:r>
              <w:rPr/>
              <w:t>/s/ Marc Lampert</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By:</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765" w:type="dxa"/>
            <w:tcBorders>
              <w:bottom w:val="single" w:sz="2" w:space="0" w:color="000000"/>
            </w:tcBorders>
            <w:tcMar>
              <w:bottom w:w="28" w:type="dxa"/>
            </w:tcMar>
          </w:tcPr>
          <w:p>
            <w:pPr>
              <w:pStyle w:val="TableContents"/>
              <w:bidi w:val="0"/>
              <w:spacing w:before="0" w:after="283"/>
              <w:jc w:val="left"/>
              <w:rPr/>
            </w:pPr>
            <w:r>
              <w:rPr/>
              <w:t>/s/ Marc Lampert</w:t>
            </w:r>
          </w:p>
        </w:tc>
      </w:tr>
      <w:tr>
        <w:trPr/>
        <w:tc>
          <w:tcPr>
            <w:tcW w:w="4455" w:type="dxa"/>
            <w:gridSpan w:val="3"/>
            <w:tcBorders/>
          </w:tcPr>
          <w:p>
            <w:pPr>
              <w:pStyle w:val="TableContents"/>
              <w:bidi w:val="0"/>
              <w:spacing w:before="0" w:after="283"/>
              <w:jc w:val="left"/>
              <w:rPr/>
            </w:pPr>
            <w:r>
              <w:rPr/>
              <w:t>Name: Mark Lampert</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Name: Mark Lampert</w:t>
            </w:r>
          </w:p>
        </w:tc>
      </w:tr>
      <w:tr>
        <w:trPr/>
        <w:tc>
          <w:tcPr>
            <w:tcW w:w="4455" w:type="dxa"/>
            <w:gridSpan w:val="3"/>
            <w:tcBorders/>
          </w:tcPr>
          <w:p>
            <w:pPr>
              <w:pStyle w:val="TableContents"/>
              <w:bidi w:val="0"/>
              <w:spacing w:before="0" w:after="283"/>
              <w:jc w:val="left"/>
              <w:rPr/>
            </w:pPr>
            <w:r>
              <w:rPr/>
              <w:t>Title: Chief Executive Officer BVF I GP LLC, itself General Partner of Biotechnology Value Fund, L.P</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Title: Chief Executive Officer BVF II GP LLC, itself General Partner of Biotechnology Value Fund II, L.P</w:t>
            </w:r>
          </w:p>
        </w:tc>
      </w:tr>
      <w:tr>
        <w:trPr>
          <w:trHeight w:val="240" w:hRule="atLeast"/>
        </w:trPr>
        <w:tc>
          <w:tcPr>
            <w:tcW w:w="4455" w:type="dxa"/>
            <w:gridSpan w:val="3"/>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4633" w:type="dxa"/>
            <w:gridSpan w:val="4"/>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Pr>
          <w:p>
            <w:pPr>
              <w:pStyle w:val="TableContents"/>
              <w:bidi w:val="0"/>
              <w:spacing w:before="0" w:after="283"/>
              <w:jc w:val="left"/>
              <w:rPr>
                <w:b/>
              </w:rPr>
            </w:pPr>
            <w:r>
              <w:rPr>
                <w:b/>
              </w:rPr>
              <w:t>BIOTECHNOLOGY VALUE TRADING FUND OS LP</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b/>
              </w:rPr>
            </w:pPr>
            <w:r>
              <w:rPr>
                <w:b/>
              </w:rPr>
              <w:t>MSI BVF SPV, LLC</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390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723" w:type="dxa"/>
            <w:tcBorders>
              <w:bottom w:val="single" w:sz="2" w:space="0" w:color="000000"/>
            </w:tcBorders>
            <w:tcMar>
              <w:bottom w:w="28" w:type="dxa"/>
            </w:tcMar>
          </w:tcPr>
          <w:p>
            <w:pPr>
              <w:pStyle w:val="TableContents"/>
              <w:bidi w:val="0"/>
              <w:spacing w:before="0" w:after="283"/>
              <w:jc w:val="left"/>
              <w:rPr/>
            </w:pPr>
            <w:r>
              <w:rPr/>
              <w:t>/s/ Marc Lampert</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By:</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765" w:type="dxa"/>
            <w:tcBorders>
              <w:bottom w:val="single" w:sz="2" w:space="0" w:color="000000"/>
            </w:tcBorders>
            <w:tcMar>
              <w:bottom w:w="28" w:type="dxa"/>
            </w:tcMar>
          </w:tcPr>
          <w:p>
            <w:pPr>
              <w:pStyle w:val="TableContents"/>
              <w:bidi w:val="0"/>
              <w:spacing w:before="0" w:after="283"/>
              <w:jc w:val="left"/>
              <w:rPr/>
            </w:pPr>
            <w:r>
              <w:rPr/>
              <w:t>/s/ Marc Lampert</w:t>
            </w:r>
          </w:p>
        </w:tc>
      </w:tr>
      <w:tr>
        <w:trPr/>
        <w:tc>
          <w:tcPr>
            <w:tcW w:w="4455" w:type="dxa"/>
            <w:gridSpan w:val="3"/>
            <w:tcBorders/>
          </w:tcPr>
          <w:p>
            <w:pPr>
              <w:pStyle w:val="TableContents"/>
              <w:bidi w:val="0"/>
              <w:spacing w:before="0" w:after="283"/>
              <w:jc w:val="left"/>
              <w:rPr/>
            </w:pPr>
            <w:r>
              <w:rPr/>
              <w:t>Name: Mark Lampert</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Name: Mark Lampert</w:t>
            </w:r>
          </w:p>
        </w:tc>
      </w:tr>
      <w:tr>
        <w:trPr/>
        <w:tc>
          <w:tcPr>
            <w:tcW w:w="4455" w:type="dxa"/>
            <w:gridSpan w:val="3"/>
            <w:tcBorders/>
          </w:tcPr>
          <w:p>
            <w:pPr>
              <w:pStyle w:val="TableContents"/>
              <w:bidi w:val="0"/>
              <w:spacing w:before="0" w:after="283"/>
              <w:jc w:val="left"/>
              <w:rPr/>
            </w:pPr>
            <w:r>
              <w:rPr/>
              <w:t>Title: President BVF Inc., General Partner of BVF Partners L.P., itself sole member of BVF Partners OS Ltd., itself GP of Biotechnology Value Trading Fund OS LP</w:t>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Title: President BVF Inc., General Partner of BVF Partners L.P., itself attorney-in-fact for MSI BVF SPV, LLC</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4633"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372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pPr>
            <w:r>
              <w:rPr/>
              <w:t>Address:</w:t>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BVF Partners LP</w:t>
            </w:r>
          </w:p>
          <w:p>
            <w:pPr>
              <w:pStyle w:val="TableContents"/>
              <w:bidi w:val="0"/>
              <w:spacing w:before="0" w:after="20"/>
              <w:jc w:val="left"/>
              <w:rPr>
                <w:rFonts w:ascii="Times New Roman" w:hAnsi="Times New Roman"/>
                <w:sz w:val="20"/>
              </w:rPr>
            </w:pPr>
            <w:r>
              <w:rPr>
                <w:rFonts w:ascii="Times New Roman" w:hAnsi="Times New Roman"/>
                <w:sz w:val="20"/>
              </w:rPr>
              <w:t>44 Montgomery Street 40th FL</w:t>
            </w:r>
          </w:p>
        </w:tc>
      </w:tr>
      <w:tr>
        <w:trPr/>
        <w:tc>
          <w:tcPr>
            <w:tcW w:w="59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372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San Francisco CA 94104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5"/>
        <w:gridCol w:w="106"/>
        <w:gridCol w:w="682"/>
        <w:gridCol w:w="106"/>
        <w:gridCol w:w="336"/>
        <w:gridCol w:w="106"/>
        <w:gridCol w:w="4574"/>
      </w:tblGrid>
      <w:tr>
        <w:trPr/>
        <w:tc>
          <w:tcPr>
            <w:tcW w:w="429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574" w:type="dxa"/>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283"/>
              <w:jc w:val="left"/>
              <w:rPr>
                <w:b/>
              </w:rPr>
            </w:pPr>
            <w:r>
              <w:rPr>
                <w:b/>
              </w:rPr>
              <w:t>INVESTOR: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512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283"/>
              <w:jc w:val="left"/>
              <w:rPr>
                <w:b/>
              </w:rPr>
            </w:pPr>
            <w:r>
              <w:rPr>
                <w:b/>
              </w:rPr>
              <w:t>AVIDITY PRIVATE MASTER FUND I LP</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Avidity Capital Partners Fund (GP) LP, its general partner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512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Avidity Capital Partners (GP) LLC, its general partner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680" w:type="dxa"/>
            <w:gridSpan w:val="2"/>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574" w:type="dxa"/>
            <w:tcBorders>
              <w:bottom w:val="single" w:sz="2" w:space="0" w:color="000000"/>
            </w:tcBorders>
            <w:tcMar>
              <w:bottom w:w="28" w:type="dxa"/>
            </w:tcMar>
            <w:vAlign w:val="bottom"/>
          </w:tcPr>
          <w:p>
            <w:pPr>
              <w:pStyle w:val="TableContents"/>
              <w:bidi w:val="0"/>
              <w:spacing w:before="0" w:after="283"/>
              <w:jc w:val="left"/>
              <w:rPr/>
            </w:pPr>
            <w:r>
              <w:rPr/>
              <w:t>/s/ Michael Gregory</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283"/>
              <w:jc w:val="left"/>
              <w:rPr/>
            </w:pPr>
            <w:r>
              <w:rPr/>
              <w:t>Name: Michael Gregory</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Member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512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Avidity Partners Management LP</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2828 N. Harwood St., Suite 1220</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Dallas, TX 75201</w:t>
            </w:r>
          </w:p>
        </w:tc>
      </w:tr>
      <w:tr>
        <w:trPr/>
        <w:tc>
          <w:tcPr>
            <w:tcW w:w="429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Attn: Michael Gregory; Andrew So</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5"/>
        <w:gridCol w:w="104"/>
        <w:gridCol w:w="669"/>
        <w:gridCol w:w="104"/>
        <w:gridCol w:w="333"/>
        <w:gridCol w:w="105"/>
        <w:gridCol w:w="4555"/>
      </w:tblGrid>
      <w:tr>
        <w:trPr/>
        <w:tc>
          <w:tcPr>
            <w:tcW w:w="433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b/>
              </w:rPr>
            </w:pPr>
            <w:r>
              <w:rPr>
                <w:b/>
              </w:rPr>
              <w:t>INVESTOR:</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5097"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b/>
              </w:rPr>
            </w:pPr>
            <w:r>
              <w:rPr>
                <w:b/>
              </w:rPr>
              <w:t>JANUS HENDERSON HORIZON FUNDBIOTECHNOLOGY FUND</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Janus Henderson Investors US LLC, its investment advisor</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37" w:type="dxa"/>
            <w:gridSpan w:val="2"/>
            <w:tcBorders/>
            <w:vAlign w:val="center"/>
          </w:tcPr>
          <w:p>
            <w:pPr>
              <w:pStyle w:val="TableContents"/>
              <w:bidi w:val="0"/>
              <w:spacing w:before="0" w:after="283"/>
              <w:jc w:val="left"/>
              <w:rPr>
                <w:sz w:val="4"/>
                <w:szCs w:val="4"/>
              </w:rPr>
            </w:pPr>
            <w:r>
              <w:rPr>
                <w:sz w:val="4"/>
                <w:szCs w:val="4"/>
              </w:rPr>
            </w:r>
          </w:p>
        </w:tc>
        <w:tc>
          <w:tcPr>
            <w:tcW w:w="4660" w:type="dxa"/>
            <w:gridSpan w:val="2"/>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3"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4555" w:type="dxa"/>
            <w:tcBorders>
              <w:bottom w:val="single" w:sz="2" w:space="0" w:color="000000"/>
            </w:tcBorders>
            <w:tcMar>
              <w:bottom w:w="28" w:type="dxa"/>
            </w:tcMar>
            <w:vAlign w:val="bottom"/>
          </w:tcPr>
          <w:p>
            <w:pPr>
              <w:pStyle w:val="TableContents"/>
              <w:bidi w:val="0"/>
              <w:spacing w:before="0" w:after="283"/>
              <w:jc w:val="left"/>
              <w:rPr/>
            </w:pPr>
            <w:r>
              <w:rPr/>
              <w:t>/s/ Andrew Acker</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pPr>
            <w:r>
              <w:rPr/>
              <w:t>Name: Andrew Acker</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pPr>
            <w:r>
              <w:rPr/>
              <w:t>Title: Authorized Signatory</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5097"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b/>
              </w:rPr>
            </w:pPr>
            <w:r>
              <w:rPr>
                <w:b/>
              </w:rPr>
              <w:t>JANUS HENDERSON BIOTECH INNOVATION MASTER FUND LIMITED</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Janus Henderson Investors US LLC, its investment advisor</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37" w:type="dxa"/>
            <w:gridSpan w:val="2"/>
            <w:tcBorders/>
            <w:vAlign w:val="center"/>
          </w:tcPr>
          <w:p>
            <w:pPr>
              <w:pStyle w:val="TableContents"/>
              <w:bidi w:val="0"/>
              <w:spacing w:before="0" w:after="283"/>
              <w:jc w:val="left"/>
              <w:rPr>
                <w:sz w:val="4"/>
                <w:szCs w:val="4"/>
              </w:rPr>
            </w:pPr>
            <w:r>
              <w:rPr>
                <w:sz w:val="4"/>
                <w:szCs w:val="4"/>
              </w:rPr>
            </w:r>
          </w:p>
        </w:tc>
        <w:tc>
          <w:tcPr>
            <w:tcW w:w="4660" w:type="dxa"/>
            <w:gridSpan w:val="2"/>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3"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4555" w:type="dxa"/>
            <w:tcBorders>
              <w:bottom w:val="single" w:sz="2" w:space="0" w:color="000000"/>
            </w:tcBorders>
            <w:tcMar>
              <w:bottom w:w="28" w:type="dxa"/>
            </w:tcMar>
            <w:vAlign w:val="bottom"/>
          </w:tcPr>
          <w:p>
            <w:pPr>
              <w:pStyle w:val="TableContents"/>
              <w:bidi w:val="0"/>
              <w:spacing w:before="0" w:after="283"/>
              <w:jc w:val="left"/>
              <w:rPr/>
            </w:pPr>
            <w:r>
              <w:rPr/>
              <w:t>/s/ Andrew Acker</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pPr>
            <w:r>
              <w:rPr/>
              <w:t>Name: Andrew Acker</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283"/>
              <w:jc w:val="left"/>
              <w:rPr/>
            </w:pPr>
            <w:r>
              <w:rPr/>
              <w:t>Title: Authorized Signatory</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5097"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151 Detroit Street</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Denver, Colorado 80206 USA</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5097"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to (which shall not constitute notice):</w:t>
            </w:r>
          </w:p>
        </w:tc>
      </w:tr>
      <w:tr>
        <w:trPr>
          <w:trHeight w:val="240" w:hRule="atLeast"/>
        </w:trPr>
        <w:tc>
          <w:tcPr>
            <w:tcW w:w="4335" w:type="dxa"/>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5097"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Stradley Ronon Stevens &amp; Young, LLP</w:t>
            </w:r>
          </w:p>
          <w:p>
            <w:pPr>
              <w:pStyle w:val="TableContents"/>
              <w:bidi w:val="0"/>
              <w:spacing w:before="0" w:after="20"/>
              <w:jc w:val="left"/>
              <w:rPr>
                <w:rFonts w:ascii="Times New Roman" w:hAnsi="Times New Roman"/>
                <w:sz w:val="20"/>
              </w:rPr>
            </w:pPr>
            <w:r>
              <w:rPr>
                <w:rFonts w:ascii="Times New Roman" w:hAnsi="Times New Roman"/>
                <w:sz w:val="20"/>
              </w:rPr>
              <w:t>2005 Market Street, Suite 2600</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Philadelphia, PA 19103</w:t>
            </w:r>
          </w:p>
        </w:tc>
      </w:tr>
      <w:tr>
        <w:trPr/>
        <w:tc>
          <w:tcPr>
            <w:tcW w:w="433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9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Attn: Kevin Kundra</w:t>
            </w:r>
          </w:p>
          <w:p>
            <w:pPr>
              <w:pStyle w:val="TableContents"/>
              <w:bidi w:val="0"/>
              <w:spacing w:before="0" w:after="20"/>
              <w:jc w:val="left"/>
              <w:rPr>
                <w:rFonts w:ascii="Times New Roman" w:hAnsi="Times New Roman"/>
                <w:sz w:val="20"/>
              </w:rPr>
            </w:pPr>
            <w:r>
              <w:rPr>
                <w:rFonts w:ascii="Times New Roman" w:hAnsi="Times New Roman"/>
                <w:sz w:val="20"/>
              </w:rPr>
              <w:t>kkundra@stradley.com</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4"/>
        <w:gridCol w:w="112"/>
        <w:gridCol w:w="824"/>
        <w:gridCol w:w="112"/>
        <w:gridCol w:w="400"/>
        <w:gridCol w:w="112"/>
        <w:gridCol w:w="4561"/>
      </w:tblGrid>
      <w:tr>
        <w:trPr/>
        <w:tc>
          <w:tcPr>
            <w:tcW w:w="408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b/>
              </w:rPr>
            </w:pPr>
            <w:r>
              <w:rPr>
                <w:b/>
              </w:rPr>
              <w:t>INVESTOR:</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85"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b/>
              </w:rPr>
            </w:pPr>
            <w:r>
              <w:rPr>
                <w:b/>
              </w:rPr>
              <w:t>ABG-COLDGEN LIMITED</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561" w:type="dxa"/>
            <w:tcBorders>
              <w:bottom w:val="single" w:sz="2" w:space="0" w:color="000000"/>
            </w:tcBorders>
            <w:tcMar>
              <w:bottom w:w="28" w:type="dxa"/>
            </w:tcMar>
          </w:tcPr>
          <w:p>
            <w:pPr>
              <w:pStyle w:val="TableContents"/>
              <w:bidi w:val="0"/>
              <w:spacing w:before="0" w:after="283"/>
              <w:jc w:val="left"/>
              <w:rPr/>
            </w:pPr>
            <w:r>
              <w:rPr/>
              <w:t>/s/ YEH Shan-ju</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pPr>
            <w:r>
              <w:rPr/>
              <w:t>Name: YEH Shan-ju</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vAlign w:val="bottom"/>
          </w:tcPr>
          <w:p>
            <w:pPr>
              <w:pStyle w:val="TableContents"/>
              <w:bidi w:val="0"/>
              <w:spacing w:before="0" w:after="283"/>
              <w:jc w:val="left"/>
              <w:rPr/>
            </w:pPr>
            <w:r>
              <w:rPr/>
              <w:t>Title: Director</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85"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b/>
              </w:rPr>
            </w:pPr>
            <w:r>
              <w:rPr>
                <w:b/>
              </w:rPr>
              <w:t>ABG II-COLDGEN LIMITED</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561" w:type="dxa"/>
            <w:tcBorders>
              <w:bottom w:val="single" w:sz="2" w:space="0" w:color="000000"/>
            </w:tcBorders>
            <w:tcMar>
              <w:bottom w:w="28" w:type="dxa"/>
            </w:tcMar>
          </w:tcPr>
          <w:p>
            <w:pPr>
              <w:pStyle w:val="TableContents"/>
              <w:bidi w:val="0"/>
              <w:spacing w:before="0" w:after="283"/>
              <w:jc w:val="left"/>
              <w:rPr/>
            </w:pPr>
            <w:r>
              <w:rPr/>
              <w:t>/s/ YEH Shan-ju</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pPr>
            <w:r>
              <w:rPr/>
              <w:t>Name: YEH Shan-ju</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vAlign w:val="bottom"/>
          </w:tcPr>
          <w:p>
            <w:pPr>
              <w:pStyle w:val="TableContents"/>
              <w:bidi w:val="0"/>
              <w:spacing w:before="0" w:after="283"/>
              <w:jc w:val="left"/>
              <w:rPr/>
            </w:pPr>
            <w:r>
              <w:rPr/>
              <w:t>Title: Director</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85"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b/>
              </w:rPr>
            </w:pPr>
            <w:r>
              <w:rPr>
                <w:b/>
              </w:rPr>
              <w:t>ABG WTT-CG LIMITED</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561" w:type="dxa"/>
            <w:tcBorders>
              <w:bottom w:val="single" w:sz="2" w:space="0" w:color="000000"/>
            </w:tcBorders>
            <w:tcMar>
              <w:bottom w:w="28" w:type="dxa"/>
            </w:tcMar>
          </w:tcPr>
          <w:p>
            <w:pPr>
              <w:pStyle w:val="TableContents"/>
              <w:bidi w:val="0"/>
              <w:spacing w:before="0" w:after="283"/>
              <w:jc w:val="left"/>
              <w:rPr/>
            </w:pPr>
            <w:r>
              <w:rPr/>
              <w:t>/s/ YEH Shan-ju</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pPr>
            <w:r>
              <w:rPr/>
              <w:t>Name: YEH Shan-ju</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vAlign w:val="bottom"/>
          </w:tcPr>
          <w:p>
            <w:pPr>
              <w:pStyle w:val="TableContents"/>
              <w:bidi w:val="0"/>
              <w:spacing w:before="0" w:after="283"/>
              <w:jc w:val="left"/>
              <w:rPr/>
            </w:pPr>
            <w:r>
              <w:rPr/>
              <w:t>Title: Director</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185"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pPr>
            <w:r>
              <w:rPr/>
              <w:t>Address:</w:t>
            </w:r>
          </w:p>
        </w:tc>
        <w:tc>
          <w:tcPr>
            <w:tcW w:w="112" w:type="dxa"/>
            <w:tcBorders/>
            <w:vAlign w:val="bottom"/>
          </w:tcPr>
          <w:p>
            <w:pPr>
              <w:pStyle w:val="TableContents"/>
              <w:bidi w:val="0"/>
              <w:spacing w:before="0" w:after="283"/>
              <w:jc w:val="left"/>
              <w:rPr/>
            </w:pPr>
            <w:r>
              <w:rPr/>
              <w:t> </w:t>
            </w:r>
          </w:p>
        </w:tc>
        <w:tc>
          <w:tcPr>
            <w:tcW w:w="5073" w:type="dxa"/>
            <w:gridSpan w:val="3"/>
            <w:tcBorders/>
            <w:vAlign w:val="bottom"/>
          </w:tcPr>
          <w:p>
            <w:pPr>
              <w:pStyle w:val="TableContents"/>
              <w:bidi w:val="0"/>
              <w:spacing w:before="0" w:after="283"/>
              <w:jc w:val="left"/>
              <w:rPr/>
            </w:pPr>
            <w:r>
              <w:rPr/>
              <w:t>c/o Unit 3002-3004</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pPr>
            <w:r>
              <w:rPr/>
              <w:t>30/F, Gloucester Tower</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Landmark</w:t>
            </w:r>
          </w:p>
          <w:p>
            <w:pPr>
              <w:pStyle w:val="TableContents"/>
              <w:bidi w:val="0"/>
              <w:spacing w:before="0" w:after="20"/>
              <w:jc w:val="left"/>
              <w:rPr>
                <w:rFonts w:ascii="Times New Roman" w:hAnsi="Times New Roman"/>
                <w:sz w:val="20"/>
              </w:rPr>
            </w:pPr>
            <w:r>
              <w:rPr>
                <w:rFonts w:ascii="Times New Roman" w:hAnsi="Times New Roman"/>
                <w:sz w:val="20"/>
              </w:rPr>
              <w:t>15 Queens Road</w:t>
            </w:r>
          </w:p>
        </w:tc>
      </w:tr>
      <w:tr>
        <w:trPr/>
        <w:tc>
          <w:tcPr>
            <w:tcW w:w="408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283"/>
              <w:jc w:val="left"/>
              <w:rPr/>
            </w:pPr>
            <w:r>
              <w:rPr/>
              <w:t>Central, Hong Kong</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59"/>
        <w:gridCol w:w="113"/>
        <w:gridCol w:w="825"/>
        <w:gridCol w:w="113"/>
        <w:gridCol w:w="400"/>
        <w:gridCol w:w="113"/>
        <w:gridCol w:w="4482"/>
      </w:tblGrid>
      <w:tr>
        <w:trPr/>
        <w:tc>
          <w:tcPr>
            <w:tcW w:w="415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482" w:type="dxa"/>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b/>
              </w:rPr>
            </w:pPr>
            <w:r>
              <w:rPr>
                <w:b/>
              </w:rPr>
              <w:t>INVESTOR:</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5108" w:type="dxa"/>
            <w:gridSpan w:val="4"/>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b/>
              </w:rPr>
            </w:pPr>
            <w:r>
              <w:rPr>
                <w:b/>
              </w:rPr>
              <w:t>ABUNDANT SUPPLY GLOBAL LIMITED</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By:</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482" w:type="dxa"/>
            <w:tcBorders>
              <w:bottom w:val="single" w:sz="2" w:space="0" w:color="000000"/>
            </w:tcBorders>
            <w:tcMar>
              <w:bottom w:w="28" w:type="dxa"/>
            </w:tcMar>
          </w:tcPr>
          <w:p>
            <w:pPr>
              <w:pStyle w:val="TableContents"/>
              <w:bidi w:val="0"/>
              <w:spacing w:before="0" w:after="283"/>
              <w:jc w:val="left"/>
              <w:rPr/>
            </w:pPr>
            <w:r>
              <w:rPr/>
              <w:t>/s/ Hong Fang Song</w:t>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pPr>
            <w:r>
              <w:rPr/>
              <w:t>Name: Hong Fang Song</w:t>
            </w:r>
          </w:p>
        </w:tc>
      </w:tr>
      <w:tr>
        <w:trPr/>
        <w:tc>
          <w:tcPr>
            <w:tcW w:w="415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vAlign w:val="bottom"/>
          </w:tcPr>
          <w:p>
            <w:pPr>
              <w:pStyle w:val="TableContents"/>
              <w:bidi w:val="0"/>
              <w:spacing w:before="0" w:after="283"/>
              <w:jc w:val="left"/>
              <w:rPr/>
            </w:pPr>
            <w:r>
              <w:rPr/>
              <w:t>Title: Director</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5108" w:type="dxa"/>
            <w:gridSpan w:val="4"/>
            <w:tcBorders/>
            <w:vAlign w:val="center"/>
          </w:tcPr>
          <w:p>
            <w:pPr>
              <w:pStyle w:val="TableContents"/>
              <w:bidi w:val="0"/>
              <w:spacing w:before="0" w:after="283"/>
              <w:jc w:val="left"/>
              <w:rPr>
                <w:sz w:val="4"/>
                <w:szCs w:val="4"/>
              </w:rPr>
            </w:pPr>
            <w:r>
              <w:rPr>
                <w:sz w:val="4"/>
                <w:szCs w:val="4"/>
              </w:rPr>
            </w:r>
          </w:p>
        </w:tc>
      </w:tr>
      <w:tr>
        <w:trPr/>
        <w:tc>
          <w:tcPr>
            <w:tcW w:w="415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pPr>
            <w:r>
              <w:rPr/>
              <w:t>Address:</w:t>
            </w:r>
          </w:p>
        </w:tc>
        <w:tc>
          <w:tcPr>
            <w:tcW w:w="113" w:type="dxa"/>
            <w:tcBorders/>
            <w:vAlign w:val="bottom"/>
          </w:tcPr>
          <w:p>
            <w:pPr>
              <w:pStyle w:val="TableContents"/>
              <w:bidi w:val="0"/>
              <w:spacing w:before="0" w:after="283"/>
              <w:jc w:val="left"/>
              <w:rPr/>
            </w:pPr>
            <w:r>
              <w:rPr/>
              <w:t> </w:t>
            </w:r>
          </w:p>
        </w:tc>
        <w:tc>
          <w:tcPr>
            <w:tcW w:w="4995" w:type="dxa"/>
            <w:gridSpan w:val="3"/>
            <w:tcBorders/>
            <w:vAlign w:val="bottom"/>
          </w:tcPr>
          <w:p>
            <w:pPr>
              <w:pStyle w:val="TableContents"/>
              <w:bidi w:val="0"/>
              <w:spacing w:before="0" w:after="283"/>
              <w:jc w:val="left"/>
              <w:rPr/>
            </w:pPr>
            <w:r>
              <w:rPr/>
              <w:t>Vistra Corporate Services Centre</w:t>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pPr>
            <w:r>
              <w:rPr/>
              <w:t>Wickhams Cay II, Road Town</w:t>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pPr>
            <w:r>
              <w:rPr/>
              <w:t>Tortola, VG1110</w:t>
            </w:r>
          </w:p>
        </w:tc>
      </w:tr>
      <w:tr>
        <w:trPr/>
        <w:tc>
          <w:tcPr>
            <w:tcW w:w="415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5" w:type="dxa"/>
            <w:gridSpan w:val="3"/>
            <w:tcBorders/>
          </w:tcPr>
          <w:p>
            <w:pPr>
              <w:pStyle w:val="TableContents"/>
              <w:bidi w:val="0"/>
              <w:spacing w:before="0" w:after="283"/>
              <w:jc w:val="left"/>
              <w:rPr/>
            </w:pPr>
            <w:r>
              <w:rPr/>
              <w:t>British Virgin Islands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4"/>
        <w:gridCol w:w="111"/>
        <w:gridCol w:w="398"/>
        <w:gridCol w:w="111"/>
        <w:gridCol w:w="375"/>
        <w:gridCol w:w="111"/>
        <w:gridCol w:w="4665"/>
      </w:tblGrid>
      <w:tr>
        <w:trPr/>
        <w:tc>
          <w:tcPr>
            <w:tcW w:w="44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665" w:type="dxa"/>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INVESTOR:</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ACORN BIOVENTURES, L.P.</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ACORN CAPITAL ADVISORS GP, LLC</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65" w:type="dxa"/>
            <w:tcBorders>
              <w:bottom w:val="single" w:sz="2" w:space="0" w:color="000000"/>
            </w:tcBorders>
            <w:tcMar>
              <w:bottom w:w="28" w:type="dxa"/>
            </w:tcMar>
          </w:tcPr>
          <w:p>
            <w:pPr>
              <w:pStyle w:val="TableContents"/>
              <w:bidi w:val="0"/>
              <w:spacing w:before="0" w:after="283"/>
              <w:jc w:val="left"/>
              <w:rPr/>
            </w:pPr>
            <w:r>
              <w:rPr/>
              <w:t>/s/ Anders Hove</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Anders Hove</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Member</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ACORN BIOVENTURES 2, L.P.</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ACORN CAPITAL ADVISORS 2 GP, LLC</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65" w:type="dxa"/>
            <w:tcBorders>
              <w:bottom w:val="single" w:sz="2" w:space="0" w:color="000000"/>
            </w:tcBorders>
            <w:tcMar>
              <w:bottom w:w="28" w:type="dxa"/>
            </w:tcMar>
          </w:tcPr>
          <w:p>
            <w:pPr>
              <w:pStyle w:val="TableContents"/>
              <w:bidi w:val="0"/>
              <w:spacing w:before="0" w:after="283"/>
              <w:jc w:val="left"/>
              <w:rPr/>
            </w:pPr>
            <w:r>
              <w:rPr/>
              <w:t>/s/ Anders Hove</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Anders Hove</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Member</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Contact information:</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Acorn Bioventures, L.P.</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Acorn Bioventures 2, L.P.</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Acorn Capital Advisors, LLC</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 Anders Hove</w:t>
            </w:r>
          </w:p>
          <w:p>
            <w:pPr>
              <w:pStyle w:val="TableContents"/>
              <w:bidi w:val="0"/>
              <w:spacing w:before="0" w:after="20"/>
              <w:jc w:val="left"/>
              <w:rPr>
                <w:rFonts w:ascii="Times New Roman" w:hAnsi="Times New Roman"/>
                <w:sz w:val="20"/>
              </w:rPr>
            </w:pPr>
            <w:r>
              <w:rPr>
                <w:rFonts w:ascii="Times New Roman" w:hAnsi="Times New Roman"/>
                <w:sz w:val="20"/>
              </w:rPr>
              <w:t>420 Lexington Avenue, Suite 2626</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York, NY 10170</w:t>
            </w:r>
          </w:p>
        </w:tc>
      </w:tr>
      <w:tr>
        <w:trPr>
          <w:trHeight w:val="240" w:hRule="atLeast"/>
        </w:trPr>
        <w:tc>
          <w:tcPr>
            <w:tcW w:w="443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262" w:type="dxa"/>
            <w:gridSpan w:val="4"/>
            <w:tcBorders/>
            <w:vAlign w:val="center"/>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(which shall not constitute notice) to:</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Schulte Roth &amp; Zabel LLP</w:t>
            </w:r>
          </w:p>
          <w:p>
            <w:pPr>
              <w:pStyle w:val="TableContents"/>
              <w:bidi w:val="0"/>
              <w:spacing w:before="0" w:after="20"/>
              <w:jc w:val="left"/>
              <w:rPr>
                <w:rFonts w:ascii="Times New Roman" w:hAnsi="Times New Roman"/>
                <w:sz w:val="20"/>
              </w:rPr>
            </w:pPr>
            <w:r>
              <w:rPr>
                <w:rFonts w:ascii="Times New Roman" w:hAnsi="Times New Roman"/>
                <w:sz w:val="20"/>
              </w:rPr>
              <w:t>919 Third Avenue</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York, NY 10022</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Attn: Michael Flynn</w:t>
            </w:r>
          </w:p>
        </w:tc>
      </w:tr>
      <w:tr>
        <w:trPr/>
        <w:tc>
          <w:tcPr>
            <w:tcW w:w="44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1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E-Mail: michael.flynn@srz.com</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3"/>
        <w:gridCol w:w="112"/>
        <w:gridCol w:w="819"/>
        <w:gridCol w:w="112"/>
        <w:gridCol w:w="398"/>
        <w:gridCol w:w="112"/>
        <w:gridCol w:w="4529"/>
      </w:tblGrid>
      <w:tr>
        <w:trPr/>
        <w:tc>
          <w:tcPr>
            <w:tcW w:w="4123"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39" w:type="dxa"/>
            <w:gridSpan w:val="3"/>
            <w:tcBorders/>
          </w:tcPr>
          <w:p>
            <w:pPr>
              <w:pStyle w:val="TableContents"/>
              <w:bidi w:val="0"/>
              <w:spacing w:before="0" w:after="283"/>
              <w:jc w:val="left"/>
              <w:rPr>
                <w:b/>
              </w:rPr>
            </w:pPr>
            <w:r>
              <w:rPr>
                <w:b/>
              </w:rPr>
              <w:t>INVESTOR:</w:t>
            </w:r>
          </w:p>
        </w:tc>
      </w:tr>
      <w:tr>
        <w:trPr>
          <w:trHeight w:val="240" w:hRule="atLeast"/>
        </w:trPr>
        <w:tc>
          <w:tcPr>
            <w:tcW w:w="4123"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151" w:type="dxa"/>
            <w:gridSpan w:val="4"/>
            <w:tcBorders/>
            <w:vAlign w:val="center"/>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39" w:type="dxa"/>
            <w:gridSpan w:val="3"/>
            <w:tcBorders/>
          </w:tcPr>
          <w:p>
            <w:pPr>
              <w:pStyle w:val="TableContents"/>
              <w:bidi w:val="0"/>
              <w:spacing w:before="0" w:after="283"/>
              <w:jc w:val="left"/>
              <w:rPr>
                <w:b/>
              </w:rPr>
            </w:pPr>
            <w:r>
              <w:rPr>
                <w:b/>
              </w:rPr>
              <w:t>AMPLEWOOD RESOURCES LIMITED</w:t>
            </w:r>
          </w:p>
        </w:tc>
      </w:tr>
      <w:tr>
        <w:trPr>
          <w:trHeight w:val="240" w:hRule="atLeast"/>
        </w:trPr>
        <w:tc>
          <w:tcPr>
            <w:tcW w:w="4123"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529" w:type="dxa"/>
            <w:tcBorders>
              <w:bottom w:val="single" w:sz="2" w:space="0" w:color="000000"/>
            </w:tcBorders>
            <w:tcMar>
              <w:bottom w:w="28" w:type="dxa"/>
            </w:tcMar>
          </w:tcPr>
          <w:p>
            <w:pPr>
              <w:pStyle w:val="TableContents"/>
              <w:bidi w:val="0"/>
              <w:spacing w:before="0" w:after="283"/>
              <w:jc w:val="left"/>
              <w:rPr/>
            </w:pPr>
            <w:r>
              <w:rPr/>
              <w:t>/s/ Marc Chan</w:t>
            </w:r>
          </w:p>
        </w:tc>
      </w:tr>
      <w:tr>
        <w:trPr/>
        <w:tc>
          <w:tcPr>
            <w:tcW w:w="412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39" w:type="dxa"/>
            <w:gridSpan w:val="3"/>
            <w:tcBorders/>
          </w:tcPr>
          <w:p>
            <w:pPr>
              <w:pStyle w:val="TableContents"/>
              <w:bidi w:val="0"/>
              <w:spacing w:before="0" w:after="283"/>
              <w:jc w:val="left"/>
              <w:rPr/>
            </w:pPr>
            <w:r>
              <w:rPr/>
              <w:t>Name: Marc Chan</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039" w:type="dxa"/>
            <w:gridSpan w:val="3"/>
            <w:tcBorders/>
            <w:vAlign w:val="bottom"/>
          </w:tcPr>
          <w:p>
            <w:pPr>
              <w:pStyle w:val="TableContents"/>
              <w:bidi w:val="0"/>
              <w:spacing w:before="0" w:after="283"/>
              <w:jc w:val="left"/>
              <w:rPr/>
            </w:pPr>
            <w:r>
              <w:rPr/>
              <w:t>Title: Director</w:t>
            </w:r>
          </w:p>
        </w:tc>
      </w:tr>
      <w:tr>
        <w:trPr>
          <w:trHeight w:val="240" w:hRule="atLeast"/>
        </w:trPr>
        <w:tc>
          <w:tcPr>
            <w:tcW w:w="4123"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151" w:type="dxa"/>
            <w:gridSpan w:val="4"/>
            <w:tcBorders/>
            <w:vAlign w:val="center"/>
          </w:tcPr>
          <w:p>
            <w:pPr>
              <w:pStyle w:val="TableContents"/>
              <w:bidi w:val="0"/>
              <w:spacing w:before="0" w:after="283"/>
              <w:jc w:val="left"/>
              <w:rPr>
                <w:sz w:val="4"/>
                <w:szCs w:val="4"/>
              </w:rPr>
            </w:pPr>
            <w:r>
              <w:rPr>
                <w:sz w:val="4"/>
                <w:szCs w:val="4"/>
              </w:rPr>
            </w:r>
          </w:p>
        </w:tc>
      </w:tr>
      <w:tr>
        <w:trPr/>
        <w:tc>
          <w:tcPr>
            <w:tcW w:w="4123"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pPr>
            <w:r>
              <w:rPr/>
              <w:t>Address:</w:t>
            </w:r>
          </w:p>
        </w:tc>
        <w:tc>
          <w:tcPr>
            <w:tcW w:w="112" w:type="dxa"/>
            <w:tcBorders/>
            <w:vAlign w:val="bottom"/>
          </w:tcPr>
          <w:p>
            <w:pPr>
              <w:pStyle w:val="TableContents"/>
              <w:bidi w:val="0"/>
              <w:spacing w:before="0" w:after="283"/>
              <w:jc w:val="left"/>
              <w:rPr/>
            </w:pPr>
            <w:r>
              <w:rPr/>
              <w:t> </w:t>
            </w:r>
          </w:p>
        </w:tc>
        <w:tc>
          <w:tcPr>
            <w:tcW w:w="503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Unit 21E, 21F, United Centre, 95 Queensway,</w:t>
            </w:r>
          </w:p>
          <w:p>
            <w:pPr>
              <w:pStyle w:val="TableContents"/>
              <w:bidi w:val="0"/>
              <w:spacing w:before="0" w:after="20"/>
              <w:jc w:val="left"/>
              <w:rPr>
                <w:rFonts w:ascii="Times New Roman" w:hAnsi="Times New Roman"/>
                <w:sz w:val="20"/>
              </w:rPr>
            </w:pPr>
            <w:r>
              <w:rPr>
                <w:rFonts w:ascii="Times New Roman" w:hAnsi="Times New Roman"/>
                <w:sz w:val="20"/>
              </w:rPr>
              <w:t>Admiralty, Hong Kong, CHN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80"/>
        <w:gridCol w:w="113"/>
        <w:gridCol w:w="826"/>
        <w:gridCol w:w="113"/>
        <w:gridCol w:w="401"/>
        <w:gridCol w:w="113"/>
        <w:gridCol w:w="4459"/>
      </w:tblGrid>
      <w:tr>
        <w:trPr/>
        <w:tc>
          <w:tcPr>
            <w:tcW w:w="418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459" w:type="dxa"/>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b/>
              </w:rPr>
            </w:pPr>
            <w:r>
              <w:rPr>
                <w:b/>
              </w:rPr>
              <w:t>INVESTOR:</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086" w:type="dxa"/>
            <w:gridSpan w:val="4"/>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b/>
              </w:rPr>
            </w:pPr>
            <w:r>
              <w:rPr>
                <w:b/>
              </w:rPr>
              <w:t>ANGELES DIRECT EQUITY FUND 1, LP</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086" w:type="dxa"/>
            <w:gridSpan w:val="4"/>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pPr>
            <w:r>
              <w:rPr/>
              <w:t>By: its General Partner,</w:t>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pPr>
            <w:r>
              <w:rPr/>
              <w:t>Angeles Direct Equity Fund 1, LP</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4572" w:type="dxa"/>
            <w:gridSpan w:val="2"/>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01" w:type="dxa"/>
            <w:tcBorders/>
          </w:tcPr>
          <w:p>
            <w:pPr>
              <w:pStyle w:val="TableContents"/>
              <w:bidi w:val="0"/>
              <w:spacing w:before="0" w:after="283"/>
              <w:jc w:val="left"/>
              <w:rPr/>
            </w:pPr>
            <w:r>
              <w:rPr/>
              <w:t>By:</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459" w:type="dxa"/>
            <w:tcBorders>
              <w:bottom w:val="single" w:sz="2" w:space="0" w:color="000000"/>
            </w:tcBorders>
            <w:tcMar>
              <w:bottom w:w="28" w:type="dxa"/>
            </w:tcMar>
          </w:tcPr>
          <w:p>
            <w:pPr>
              <w:pStyle w:val="TableContents"/>
              <w:bidi w:val="0"/>
              <w:spacing w:before="0" w:after="283"/>
              <w:jc w:val="left"/>
              <w:rPr/>
            </w:pPr>
            <w:r>
              <w:rPr/>
              <w:t>/s/ Michael Rosen</w:t>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pPr>
            <w:r>
              <w:rPr/>
              <w:t>Name: Michael Rosen</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vAlign w:val="bottom"/>
          </w:tcPr>
          <w:p>
            <w:pPr>
              <w:pStyle w:val="TableContents"/>
              <w:bidi w:val="0"/>
              <w:spacing w:before="0" w:after="283"/>
              <w:jc w:val="left"/>
              <w:rPr/>
            </w:pPr>
            <w:r>
              <w:rPr/>
              <w:t>Title: Managing Member</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086" w:type="dxa"/>
            <w:gridSpan w:val="4"/>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Address:</w:t>
            </w:r>
          </w:p>
        </w:tc>
        <w:tc>
          <w:tcPr>
            <w:tcW w:w="113" w:type="dxa"/>
            <w:tcBorders/>
            <w:vAlign w:val="bottom"/>
          </w:tcPr>
          <w:p>
            <w:pPr>
              <w:pStyle w:val="TableContents"/>
              <w:bidi w:val="0"/>
              <w:spacing w:before="0" w:after="283"/>
              <w:jc w:val="left"/>
              <w:rPr/>
            </w:pPr>
            <w:r>
              <w:rPr/>
              <w:t> </w:t>
            </w:r>
          </w:p>
        </w:tc>
        <w:tc>
          <w:tcPr>
            <w:tcW w:w="4973" w:type="dxa"/>
            <w:gridSpan w:val="3"/>
            <w:tcBorders/>
            <w:vAlign w:val="bottom"/>
          </w:tcPr>
          <w:p>
            <w:pPr>
              <w:pStyle w:val="TableContents"/>
              <w:bidi w:val="0"/>
              <w:spacing w:before="0" w:after="283"/>
              <w:jc w:val="left"/>
              <w:rPr/>
            </w:pPr>
            <w:r>
              <w:rPr/>
              <w:t>429 Santa Monica Blvd, Suite 650</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vAlign w:val="bottom"/>
          </w:tcPr>
          <w:p>
            <w:pPr>
              <w:pStyle w:val="TableContents"/>
              <w:bidi w:val="0"/>
              <w:spacing w:before="0" w:after="283"/>
              <w:jc w:val="left"/>
              <w:rPr/>
            </w:pPr>
            <w:r>
              <w:rPr/>
              <w:t>Santa Monica, CA, 90401</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67"/>
        <w:gridCol w:w="113"/>
        <w:gridCol w:w="821"/>
        <w:gridCol w:w="113"/>
        <w:gridCol w:w="399"/>
        <w:gridCol w:w="113"/>
        <w:gridCol w:w="4479"/>
      </w:tblGrid>
      <w:tr>
        <w:trPr/>
        <w:tc>
          <w:tcPr>
            <w:tcW w:w="416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479" w:type="dxa"/>
            <w:tcBorders/>
            <w:vAlign w:val="center"/>
          </w:tcPr>
          <w:p>
            <w:pPr>
              <w:pStyle w:val="TableContents"/>
              <w:bidi w:val="0"/>
              <w:spacing w:before="0" w:after="283"/>
              <w:jc w:val="left"/>
              <w:rPr>
                <w:sz w:val="4"/>
                <w:szCs w:val="4"/>
              </w:rPr>
            </w:pPr>
            <w:r>
              <w:rPr>
                <w:sz w:val="4"/>
                <w:szCs w:val="4"/>
              </w:rPr>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b/>
              </w:rPr>
            </w:pPr>
            <w:r>
              <w:rPr>
                <w:b/>
              </w:rPr>
              <w:t>INVESTOR:</w:t>
            </w:r>
          </w:p>
        </w:tc>
      </w:tr>
      <w:tr>
        <w:trPr>
          <w:trHeight w:val="240" w:hRule="atLeast"/>
        </w:trPr>
        <w:tc>
          <w:tcPr>
            <w:tcW w:w="4167"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5104" w:type="dxa"/>
            <w:gridSpan w:val="4"/>
            <w:tcBorders/>
            <w:vAlign w:val="center"/>
          </w:tcPr>
          <w:p>
            <w:pPr>
              <w:pStyle w:val="TableContents"/>
              <w:bidi w:val="0"/>
              <w:spacing w:before="0" w:after="283"/>
              <w:jc w:val="left"/>
              <w:rPr>
                <w:sz w:val="4"/>
                <w:szCs w:val="4"/>
              </w:rPr>
            </w:pPr>
            <w:r>
              <w:rPr>
                <w:sz w:val="4"/>
                <w:szCs w:val="4"/>
              </w:rPr>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b/>
              </w:rPr>
            </w:pPr>
            <w:r>
              <w:rPr>
                <w:b/>
              </w:rPr>
              <w:t>CHARMING JADE LIMITED</w:t>
            </w:r>
          </w:p>
        </w:tc>
      </w:tr>
      <w:tr>
        <w:trPr>
          <w:trHeight w:val="240" w:hRule="atLeast"/>
        </w:trPr>
        <w:tc>
          <w:tcPr>
            <w:tcW w:w="4167"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9" w:type="dxa"/>
            <w:tcBorders/>
          </w:tcPr>
          <w:p>
            <w:pPr>
              <w:pStyle w:val="TableContents"/>
              <w:bidi w:val="0"/>
              <w:spacing w:before="0" w:after="283"/>
              <w:jc w:val="left"/>
              <w:rPr/>
            </w:pPr>
            <w:r>
              <w:rPr/>
              <w:t>By:</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479" w:type="dxa"/>
            <w:tcBorders>
              <w:bottom w:val="single" w:sz="2" w:space="0" w:color="000000"/>
            </w:tcBorders>
            <w:tcMar>
              <w:bottom w:w="28" w:type="dxa"/>
            </w:tcMar>
          </w:tcPr>
          <w:p>
            <w:pPr>
              <w:pStyle w:val="TableContents"/>
              <w:bidi w:val="0"/>
              <w:spacing w:before="0" w:after="283"/>
              <w:jc w:val="left"/>
              <w:rPr/>
            </w:pPr>
            <w:r>
              <w:rPr/>
              <w:t>/s/ Hong Fang Song</w:t>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pPr>
            <w:r>
              <w:rPr/>
              <w:t>Name: Hong Fang Song</w:t>
            </w:r>
          </w:p>
        </w:tc>
      </w:tr>
      <w:tr>
        <w:trPr/>
        <w:tc>
          <w:tcPr>
            <w:tcW w:w="416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vAlign w:val="bottom"/>
          </w:tcPr>
          <w:p>
            <w:pPr>
              <w:pStyle w:val="TableContents"/>
              <w:bidi w:val="0"/>
              <w:spacing w:before="0" w:after="283"/>
              <w:jc w:val="left"/>
              <w:rPr/>
            </w:pPr>
            <w:r>
              <w:rPr/>
              <w:t>Title: Director</w:t>
            </w:r>
          </w:p>
        </w:tc>
      </w:tr>
      <w:tr>
        <w:trPr>
          <w:trHeight w:val="240" w:hRule="atLeast"/>
        </w:trPr>
        <w:tc>
          <w:tcPr>
            <w:tcW w:w="4167"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5104" w:type="dxa"/>
            <w:gridSpan w:val="4"/>
            <w:tcBorders/>
            <w:vAlign w:val="center"/>
          </w:tcPr>
          <w:p>
            <w:pPr>
              <w:pStyle w:val="TableContents"/>
              <w:bidi w:val="0"/>
              <w:spacing w:before="0" w:after="283"/>
              <w:jc w:val="left"/>
              <w:rPr>
                <w:sz w:val="4"/>
                <w:szCs w:val="4"/>
              </w:rPr>
            </w:pPr>
            <w:r>
              <w:rPr>
                <w:sz w:val="4"/>
                <w:szCs w:val="4"/>
              </w:rPr>
            </w:r>
          </w:p>
        </w:tc>
      </w:tr>
      <w:tr>
        <w:trPr/>
        <w:tc>
          <w:tcPr>
            <w:tcW w:w="416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left"/>
              <w:rPr/>
            </w:pPr>
            <w:r>
              <w:rPr/>
              <w:t>Address:</w:t>
            </w:r>
          </w:p>
        </w:tc>
        <w:tc>
          <w:tcPr>
            <w:tcW w:w="113" w:type="dxa"/>
            <w:tcBorders/>
            <w:vAlign w:val="bottom"/>
          </w:tcPr>
          <w:p>
            <w:pPr>
              <w:pStyle w:val="TableContents"/>
              <w:bidi w:val="0"/>
              <w:spacing w:before="0" w:after="283"/>
              <w:jc w:val="left"/>
              <w:rPr/>
            </w:pPr>
            <w:r>
              <w:rPr/>
              <w:t> </w:t>
            </w:r>
          </w:p>
        </w:tc>
        <w:tc>
          <w:tcPr>
            <w:tcW w:w="4991" w:type="dxa"/>
            <w:gridSpan w:val="3"/>
            <w:tcBorders/>
            <w:vAlign w:val="bottom"/>
          </w:tcPr>
          <w:p>
            <w:pPr>
              <w:pStyle w:val="TableContents"/>
              <w:bidi w:val="0"/>
              <w:spacing w:before="0" w:after="283"/>
              <w:jc w:val="left"/>
              <w:rPr/>
            </w:pPr>
            <w:r>
              <w:rPr/>
              <w:t>Ritter House</w:t>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pPr>
            <w:r>
              <w:rPr/>
              <w:t>Wickhams Cay II</w:t>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pPr>
            <w:r>
              <w:rPr/>
              <w:t>PO Box 3170</w:t>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pPr>
            <w:r>
              <w:rPr/>
              <w:t>Road Town, Tortola VG1110</w:t>
            </w:r>
          </w:p>
        </w:tc>
      </w:tr>
      <w:tr>
        <w:trPr/>
        <w:tc>
          <w:tcPr>
            <w:tcW w:w="4167"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91" w:type="dxa"/>
            <w:gridSpan w:val="3"/>
            <w:tcBorders/>
          </w:tcPr>
          <w:p>
            <w:pPr>
              <w:pStyle w:val="TableContents"/>
              <w:bidi w:val="0"/>
              <w:spacing w:before="0" w:after="283"/>
              <w:jc w:val="left"/>
              <w:rPr/>
            </w:pPr>
            <w:r>
              <w:rPr/>
              <w:t>British Virgin Islands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84"/>
        <w:gridCol w:w="106"/>
        <w:gridCol w:w="673"/>
        <w:gridCol w:w="106"/>
        <w:gridCol w:w="333"/>
        <w:gridCol w:w="106"/>
        <w:gridCol w:w="4497"/>
      </w:tblGrid>
      <w:tr>
        <w:trPr/>
        <w:tc>
          <w:tcPr>
            <w:tcW w:w="438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283"/>
              <w:jc w:val="left"/>
              <w:rPr>
                <w:b/>
              </w:rPr>
            </w:pPr>
            <w:r>
              <w:rPr>
                <w:b/>
              </w:rPr>
              <w:t>INVESTOR:</w:t>
            </w:r>
          </w:p>
        </w:tc>
      </w:tr>
      <w:tr>
        <w:trPr>
          <w:trHeight w:val="240" w:hRule="atLeast"/>
        </w:trPr>
        <w:tc>
          <w:tcPr>
            <w:tcW w:w="4384" w:type="dxa"/>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5042" w:type="dxa"/>
            <w:gridSpan w:val="4"/>
            <w:tcBorders/>
            <w:vAlign w:val="center"/>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283"/>
              <w:jc w:val="left"/>
              <w:rPr>
                <w:b/>
              </w:rPr>
            </w:pPr>
            <w:r>
              <w:rPr>
                <w:b/>
              </w:rPr>
              <w:t>DECHENG CAPITAL GLOBAL LIFE SCIENCES FUND IV, L.P.</w:t>
            </w:r>
          </w:p>
        </w:tc>
      </w:tr>
      <w:tr>
        <w:trPr>
          <w:trHeight w:val="240" w:hRule="atLeast"/>
        </w:trPr>
        <w:tc>
          <w:tcPr>
            <w:tcW w:w="4384" w:type="dxa"/>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5042" w:type="dxa"/>
            <w:gridSpan w:val="4"/>
            <w:tcBorders/>
            <w:vAlign w:val="center"/>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its General Partner,</w:t>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Decheng Capital Management IV (Cayman), LLC</w:t>
            </w:r>
          </w:p>
        </w:tc>
      </w:tr>
      <w:tr>
        <w:trPr>
          <w:trHeight w:val="240" w:hRule="atLeast"/>
        </w:trPr>
        <w:tc>
          <w:tcPr>
            <w:tcW w:w="4384" w:type="dxa"/>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39" w:type="dxa"/>
            <w:gridSpan w:val="2"/>
            <w:tcBorders/>
            <w:vAlign w:val="center"/>
          </w:tcPr>
          <w:p>
            <w:pPr>
              <w:pStyle w:val="TableContents"/>
              <w:bidi w:val="0"/>
              <w:spacing w:before="0" w:after="283"/>
              <w:jc w:val="left"/>
              <w:rPr>
                <w:sz w:val="4"/>
                <w:szCs w:val="4"/>
              </w:rPr>
            </w:pPr>
            <w:r>
              <w:rPr>
                <w:sz w:val="4"/>
                <w:szCs w:val="4"/>
              </w:rPr>
            </w:r>
          </w:p>
        </w:tc>
        <w:tc>
          <w:tcPr>
            <w:tcW w:w="4603" w:type="dxa"/>
            <w:gridSpan w:val="2"/>
            <w:tcBorders/>
            <w:vAlign w:val="center"/>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3"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97" w:type="dxa"/>
            <w:tcBorders>
              <w:bottom w:val="single" w:sz="2" w:space="0" w:color="000000"/>
            </w:tcBorders>
            <w:tcMar>
              <w:bottom w:w="28" w:type="dxa"/>
            </w:tcMar>
          </w:tcPr>
          <w:p>
            <w:pPr>
              <w:pStyle w:val="TableContents"/>
              <w:bidi w:val="0"/>
              <w:spacing w:before="0" w:after="283"/>
              <w:jc w:val="left"/>
              <w:rPr/>
            </w:pPr>
            <w:r>
              <w:rPr/>
              <w:t>Xiangmin Cui</w:t>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0"/>
              <w:jc w:val="left"/>
              <w:rPr>
                <w:rFonts w:ascii="Times New Roman" w:hAnsi="Times New Roman"/>
                <w:sz w:val="20"/>
              </w:rPr>
            </w:pPr>
            <w:r>
              <w:rPr>
                <w:rFonts w:ascii="Times New Roman" w:hAnsi="Times New Roman"/>
                <w:sz w:val="20"/>
              </w:rPr>
              <w:t>Xiangmin Cui</w:t>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3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384" w:type="dxa"/>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5042" w:type="dxa"/>
            <w:gridSpan w:val="4"/>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6" w:type="dxa"/>
            <w:tcBorders/>
            <w:vAlign w:val="bottom"/>
          </w:tcPr>
          <w:p>
            <w:pPr>
              <w:pStyle w:val="TableContents"/>
              <w:bidi w:val="0"/>
              <w:spacing w:before="0" w:after="283"/>
              <w:jc w:val="left"/>
              <w:rPr/>
            </w:pPr>
            <w:r>
              <w:rPr/>
              <w:t> </w:t>
            </w:r>
          </w:p>
        </w:tc>
        <w:tc>
          <w:tcPr>
            <w:tcW w:w="493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3000 Sand Hill Road</w:t>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Building 2, Suite 110</w:t>
            </w:r>
          </w:p>
        </w:tc>
      </w:tr>
      <w:tr>
        <w:trPr/>
        <w:tc>
          <w:tcPr>
            <w:tcW w:w="4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9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Menlo Park, CA 94025</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80"/>
        <w:gridCol w:w="113"/>
        <w:gridCol w:w="826"/>
        <w:gridCol w:w="113"/>
        <w:gridCol w:w="401"/>
        <w:gridCol w:w="113"/>
        <w:gridCol w:w="4459"/>
      </w:tblGrid>
      <w:tr>
        <w:trPr/>
        <w:tc>
          <w:tcPr>
            <w:tcW w:w="418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459" w:type="dxa"/>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b/>
              </w:rPr>
            </w:pPr>
            <w:r>
              <w:rPr>
                <w:b/>
              </w:rPr>
              <w:t>INVESTOR:</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086" w:type="dxa"/>
            <w:gridSpan w:val="4"/>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b/>
              </w:rPr>
            </w:pPr>
            <w:r>
              <w:rPr>
                <w:b/>
              </w:rPr>
              <w:t>ERCT LIFE SCIENCES LLC</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4572" w:type="dxa"/>
            <w:gridSpan w:val="2"/>
            <w:tcBorders/>
            <w:vAlign w:val="center"/>
          </w:tcPr>
          <w:p>
            <w:pPr>
              <w:pStyle w:val="TableContents"/>
              <w:bidi w:val="0"/>
              <w:spacing w:before="0" w:after="283"/>
              <w:jc w:val="left"/>
              <w:rPr>
                <w:sz w:val="4"/>
                <w:szCs w:val="4"/>
              </w:rPr>
            </w:pPr>
            <w:r>
              <w:rPr>
                <w:sz w:val="4"/>
                <w:szCs w:val="4"/>
              </w:rPr>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01" w:type="dxa"/>
            <w:tcBorders/>
          </w:tcPr>
          <w:p>
            <w:pPr>
              <w:pStyle w:val="TableContents"/>
              <w:bidi w:val="0"/>
              <w:spacing w:before="0" w:after="283"/>
              <w:jc w:val="left"/>
              <w:rPr/>
            </w:pPr>
            <w:r>
              <w:rPr/>
              <w:t>By:</w:t>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459" w:type="dxa"/>
            <w:tcBorders>
              <w:bottom w:val="single" w:sz="2" w:space="0" w:color="000000"/>
            </w:tcBorders>
            <w:tcMar>
              <w:bottom w:w="28" w:type="dxa"/>
            </w:tcMar>
          </w:tcPr>
          <w:p>
            <w:pPr>
              <w:pStyle w:val="TableContents"/>
              <w:bidi w:val="0"/>
              <w:spacing w:before="0" w:after="283"/>
              <w:jc w:val="left"/>
              <w:rPr/>
            </w:pPr>
            <w:r>
              <w:rPr/>
              <w:t>/s/ Sibel Oz</w:t>
            </w:r>
          </w:p>
        </w:tc>
      </w:tr>
      <w:tr>
        <w:trPr/>
        <w:tc>
          <w:tcPr>
            <w:tcW w:w="418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tcPr>
          <w:p>
            <w:pPr>
              <w:pStyle w:val="TableContents"/>
              <w:bidi w:val="0"/>
              <w:spacing w:before="0" w:after="283"/>
              <w:jc w:val="left"/>
              <w:rPr/>
            </w:pPr>
            <w:r>
              <w:rPr/>
              <w:t>Name: Sibel Oz</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973" w:type="dxa"/>
            <w:gridSpan w:val="3"/>
            <w:tcBorders/>
            <w:vAlign w:val="bottom"/>
          </w:tcPr>
          <w:p>
            <w:pPr>
              <w:pStyle w:val="TableContents"/>
              <w:bidi w:val="0"/>
              <w:spacing w:before="0" w:after="283"/>
              <w:jc w:val="left"/>
              <w:rPr/>
            </w:pPr>
            <w:r>
              <w:rPr/>
              <w:t>Title: Manager</w:t>
            </w:r>
          </w:p>
        </w:tc>
      </w:tr>
      <w:tr>
        <w:trPr>
          <w:trHeight w:val="240" w:hRule="atLeast"/>
        </w:trPr>
        <w:tc>
          <w:tcPr>
            <w:tcW w:w="4180" w:type="dxa"/>
            <w:tcBorders/>
            <w:vAlign w:val="center"/>
          </w:tcPr>
          <w:p>
            <w:pPr>
              <w:pStyle w:val="TableContents"/>
              <w:bidi w:val="0"/>
              <w:spacing w:before="0" w:after="283"/>
              <w:jc w:val="left"/>
              <w:rPr>
                <w:sz w:val="4"/>
                <w:szCs w:val="4"/>
              </w:rPr>
            </w:pPr>
            <w:r>
              <w:rPr>
                <w:sz w:val="4"/>
                <w:szCs w:val="4"/>
              </w:rPr>
            </w:r>
          </w:p>
        </w:tc>
        <w:tc>
          <w:tcPr>
            <w:tcW w:w="939" w:type="dxa"/>
            <w:gridSpan w:val="2"/>
            <w:tcBorders/>
            <w:vAlign w:val="center"/>
          </w:tcPr>
          <w:p>
            <w:pPr>
              <w:pStyle w:val="TableContents"/>
              <w:bidi w:val="0"/>
              <w:spacing w:before="0" w:after="283"/>
              <w:jc w:val="left"/>
              <w:rPr>
                <w:sz w:val="4"/>
                <w:szCs w:val="4"/>
              </w:rPr>
            </w:pPr>
            <w:r>
              <w:rPr>
                <w:sz w:val="4"/>
                <w:szCs w:val="4"/>
              </w:rPr>
            </w:r>
          </w:p>
        </w:tc>
        <w:tc>
          <w:tcPr>
            <w:tcW w:w="5086" w:type="dxa"/>
            <w:gridSpan w:val="4"/>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Address:</w:t>
            </w:r>
          </w:p>
        </w:tc>
        <w:tc>
          <w:tcPr>
            <w:tcW w:w="113" w:type="dxa"/>
            <w:tcBorders/>
            <w:vAlign w:val="bottom"/>
          </w:tcPr>
          <w:p>
            <w:pPr>
              <w:pStyle w:val="TableContents"/>
              <w:bidi w:val="0"/>
              <w:spacing w:before="0" w:after="283"/>
              <w:jc w:val="left"/>
              <w:rPr/>
            </w:pPr>
            <w:r>
              <w:rPr/>
              <w:t> </w:t>
            </w:r>
          </w:p>
        </w:tc>
        <w:tc>
          <w:tcPr>
            <w:tcW w:w="4973" w:type="dxa"/>
            <w:gridSpan w:val="3"/>
            <w:tcBorders/>
            <w:vAlign w:val="bottom"/>
          </w:tcPr>
          <w:p>
            <w:pPr>
              <w:pStyle w:val="TableContents"/>
              <w:bidi w:val="0"/>
              <w:spacing w:before="0" w:after="283"/>
              <w:jc w:val="left"/>
              <w:rPr/>
            </w:pPr>
            <w:r>
              <w:rPr/>
              <w:t>PO Box 1200, Montclair NJ, 07042</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50"/>
        <w:gridCol w:w="107"/>
        <w:gridCol w:w="821"/>
        <w:gridCol w:w="107"/>
        <w:gridCol w:w="590"/>
        <w:gridCol w:w="107"/>
        <w:gridCol w:w="4323"/>
      </w:tblGrid>
      <w:tr>
        <w:trPr/>
        <w:tc>
          <w:tcPr>
            <w:tcW w:w="415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23" w:type="dxa"/>
            <w:tcBorders/>
            <w:vAlign w:val="center"/>
          </w:tcPr>
          <w:p>
            <w:pPr>
              <w:pStyle w:val="TableContents"/>
              <w:bidi w:val="0"/>
              <w:spacing w:before="0" w:after="283"/>
              <w:jc w:val="left"/>
              <w:rPr>
                <w:sz w:val="4"/>
                <w:szCs w:val="4"/>
              </w:rPr>
            </w:pPr>
            <w:r>
              <w:rPr>
                <w:sz w:val="4"/>
                <w:szCs w:val="4"/>
              </w:rPr>
            </w:r>
          </w:p>
        </w:tc>
      </w:tr>
      <w:tr>
        <w:trPr/>
        <w:tc>
          <w:tcPr>
            <w:tcW w:w="41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20" w:type="dxa"/>
            <w:gridSpan w:val="3"/>
            <w:tcBorders/>
          </w:tcPr>
          <w:p>
            <w:pPr>
              <w:pStyle w:val="TableContents"/>
              <w:bidi w:val="0"/>
              <w:spacing w:before="0" w:after="283"/>
              <w:jc w:val="left"/>
              <w:rPr>
                <w:b/>
              </w:rPr>
            </w:pPr>
            <w:r>
              <w:rPr>
                <w:b/>
              </w:rPr>
              <w:t>INVESTOR:</w:t>
            </w:r>
          </w:p>
        </w:tc>
      </w:tr>
      <w:tr>
        <w:trPr>
          <w:trHeight w:val="240" w:hRule="atLeast"/>
        </w:trPr>
        <w:tc>
          <w:tcPr>
            <w:tcW w:w="4150" w:type="dxa"/>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5127" w:type="dxa"/>
            <w:gridSpan w:val="4"/>
            <w:tcBorders/>
            <w:vAlign w:val="center"/>
          </w:tcPr>
          <w:p>
            <w:pPr>
              <w:pStyle w:val="TableContents"/>
              <w:bidi w:val="0"/>
              <w:spacing w:before="0" w:after="283"/>
              <w:jc w:val="left"/>
              <w:rPr>
                <w:sz w:val="4"/>
                <w:szCs w:val="4"/>
              </w:rPr>
            </w:pPr>
            <w:r>
              <w:rPr>
                <w:sz w:val="4"/>
                <w:szCs w:val="4"/>
              </w:rPr>
            </w:r>
          </w:p>
        </w:tc>
      </w:tr>
      <w:tr>
        <w:trPr/>
        <w:tc>
          <w:tcPr>
            <w:tcW w:w="41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20" w:type="dxa"/>
            <w:gridSpan w:val="3"/>
            <w:tcBorders/>
          </w:tcPr>
          <w:p>
            <w:pPr>
              <w:pStyle w:val="TableContents"/>
              <w:bidi w:val="0"/>
              <w:spacing w:before="0" w:after="283"/>
              <w:jc w:val="left"/>
              <w:rPr>
                <w:b/>
              </w:rPr>
            </w:pPr>
            <w:r>
              <w:rPr>
                <w:b/>
              </w:rPr>
              <w:t>GAVIN RESOURCES LIMITED</w:t>
            </w:r>
          </w:p>
        </w:tc>
      </w:tr>
      <w:tr>
        <w:trPr>
          <w:trHeight w:val="240" w:hRule="atLeast"/>
        </w:trPr>
        <w:tc>
          <w:tcPr>
            <w:tcW w:w="4150" w:type="dxa"/>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4430" w:type="dxa"/>
            <w:gridSpan w:val="2"/>
            <w:tcBorders/>
            <w:vAlign w:val="center"/>
          </w:tcPr>
          <w:p>
            <w:pPr>
              <w:pStyle w:val="TableContents"/>
              <w:bidi w:val="0"/>
              <w:spacing w:before="0" w:after="283"/>
              <w:jc w:val="left"/>
              <w:rPr>
                <w:sz w:val="4"/>
                <w:szCs w:val="4"/>
              </w:rPr>
            </w:pPr>
            <w:r>
              <w:rPr>
                <w:sz w:val="4"/>
                <w:szCs w:val="4"/>
              </w:rPr>
            </w:r>
          </w:p>
        </w:tc>
      </w:tr>
      <w:tr>
        <w:trPr/>
        <w:tc>
          <w:tcPr>
            <w:tcW w:w="415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23" w:type="dxa"/>
            <w:tcBorders>
              <w:bottom w:val="single" w:sz="2" w:space="0" w:color="000000"/>
            </w:tcBorders>
            <w:tcMar>
              <w:bottom w:w="28" w:type="dxa"/>
            </w:tcMar>
            <w:vAlign w:val="bottom"/>
          </w:tcPr>
          <w:p>
            <w:pPr>
              <w:pStyle w:val="TableContents"/>
              <w:bidi w:val="0"/>
              <w:spacing w:before="0" w:after="283"/>
              <w:jc w:val="left"/>
              <w:rPr/>
            </w:pPr>
            <w:r>
              <w:rPr/>
              <w:t>/s/ LEE King Yue</w:t>
            </w:r>
          </w:p>
        </w:tc>
      </w:tr>
      <w:tr>
        <w:trPr/>
        <w:tc>
          <w:tcPr>
            <w:tcW w:w="41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LEE King Yue</w:t>
            </w:r>
          </w:p>
        </w:tc>
      </w:tr>
      <w:tr>
        <w:trPr/>
        <w:tc>
          <w:tcPr>
            <w:tcW w:w="415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Director</w:t>
            </w:r>
          </w:p>
        </w:tc>
      </w:tr>
      <w:tr>
        <w:trPr>
          <w:trHeight w:val="240" w:hRule="atLeast"/>
        </w:trPr>
        <w:tc>
          <w:tcPr>
            <w:tcW w:w="4150" w:type="dxa"/>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5127" w:type="dxa"/>
            <w:gridSpan w:val="4"/>
            <w:tcBorders/>
            <w:vAlign w:val="center"/>
          </w:tcPr>
          <w:p>
            <w:pPr>
              <w:pStyle w:val="TableContents"/>
              <w:bidi w:val="0"/>
              <w:spacing w:before="0" w:after="283"/>
              <w:jc w:val="left"/>
              <w:rPr>
                <w:sz w:val="4"/>
                <w:szCs w:val="4"/>
              </w:rPr>
            </w:pPr>
            <w:r>
              <w:rPr>
                <w:sz w:val="4"/>
                <w:szCs w:val="4"/>
              </w:rPr>
            </w:r>
          </w:p>
        </w:tc>
      </w:tr>
      <w:tr>
        <w:trPr/>
        <w:tc>
          <w:tcPr>
            <w:tcW w:w="415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left"/>
              <w:rPr/>
            </w:pPr>
            <w:r>
              <w:rPr/>
              <w:t>Address:</w:t>
            </w:r>
          </w:p>
        </w:tc>
        <w:tc>
          <w:tcPr>
            <w:tcW w:w="107" w:type="dxa"/>
            <w:tcBorders/>
            <w:vAlign w:val="bottom"/>
          </w:tcPr>
          <w:p>
            <w:pPr>
              <w:pStyle w:val="TableContents"/>
              <w:bidi w:val="0"/>
              <w:spacing w:before="0" w:after="283"/>
              <w:jc w:val="left"/>
              <w:rPr/>
            </w:pPr>
            <w:r>
              <w:rPr/>
              <w:t> </w:t>
            </w:r>
          </w:p>
        </w:tc>
        <w:tc>
          <w:tcPr>
            <w:tcW w:w="5020" w:type="dxa"/>
            <w:gridSpan w:val="3"/>
            <w:tcBorders/>
            <w:vAlign w:val="bottom"/>
          </w:tcPr>
          <w:p>
            <w:pPr>
              <w:pStyle w:val="TableContents"/>
              <w:bidi w:val="0"/>
              <w:spacing w:before="0" w:after="283"/>
              <w:jc w:val="left"/>
              <w:rPr/>
            </w:pPr>
            <w:r>
              <w:rPr/>
              <w:t>72/76F., Two International Finance Centre,</w:t>
            </w:r>
          </w:p>
        </w:tc>
      </w:tr>
      <w:tr>
        <w:trPr/>
        <w:tc>
          <w:tcPr>
            <w:tcW w:w="41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20" w:type="dxa"/>
            <w:gridSpan w:val="3"/>
            <w:tcBorders/>
          </w:tcPr>
          <w:p>
            <w:pPr>
              <w:pStyle w:val="TableContents"/>
              <w:bidi w:val="0"/>
              <w:spacing w:before="0" w:after="283"/>
              <w:jc w:val="left"/>
              <w:rPr/>
            </w:pPr>
            <w:r>
              <w:rPr/>
              <w:t>8 Finance Street, Central, Hong Kong</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30"/>
        <w:gridCol w:w="110"/>
        <w:gridCol w:w="895"/>
        <w:gridCol w:w="110"/>
        <w:gridCol w:w="664"/>
        <w:gridCol w:w="110"/>
        <w:gridCol w:w="4386"/>
      </w:tblGrid>
      <w:tr>
        <w:trPr/>
        <w:tc>
          <w:tcPr>
            <w:tcW w:w="393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r>
      <w:tr>
        <w:trPr/>
        <w:tc>
          <w:tcPr>
            <w:tcW w:w="3930"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160" w:type="dxa"/>
            <w:gridSpan w:val="3"/>
            <w:tcBorders/>
          </w:tcPr>
          <w:p>
            <w:pPr>
              <w:pStyle w:val="TableContents"/>
              <w:bidi w:val="0"/>
              <w:spacing w:before="0" w:after="283"/>
              <w:jc w:val="left"/>
              <w:rPr>
                <w:b/>
              </w:rPr>
            </w:pPr>
            <w:r>
              <w:rPr>
                <w:b/>
              </w:rPr>
              <w:t>INVESTOR:</w:t>
            </w:r>
          </w:p>
        </w:tc>
      </w:tr>
      <w:tr>
        <w:trPr>
          <w:trHeight w:val="240" w:hRule="atLeast"/>
        </w:trPr>
        <w:tc>
          <w:tcPr>
            <w:tcW w:w="3930"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before="0" w:after="283"/>
              <w:jc w:val="left"/>
              <w:rPr>
                <w:sz w:val="4"/>
                <w:szCs w:val="4"/>
              </w:rPr>
            </w:pPr>
            <w:r>
              <w:rPr>
                <w:sz w:val="4"/>
                <w:szCs w:val="4"/>
              </w:rPr>
            </w:r>
          </w:p>
        </w:tc>
        <w:tc>
          <w:tcPr>
            <w:tcW w:w="5270" w:type="dxa"/>
            <w:gridSpan w:val="4"/>
            <w:tcBorders/>
            <w:vAlign w:val="center"/>
          </w:tcPr>
          <w:p>
            <w:pPr>
              <w:pStyle w:val="TableContents"/>
              <w:bidi w:val="0"/>
              <w:spacing w:before="0" w:after="283"/>
              <w:jc w:val="left"/>
              <w:rPr>
                <w:sz w:val="4"/>
                <w:szCs w:val="4"/>
              </w:rPr>
            </w:pPr>
            <w:r>
              <w:rPr>
                <w:sz w:val="4"/>
                <w:szCs w:val="4"/>
              </w:rPr>
            </w:r>
          </w:p>
        </w:tc>
      </w:tr>
      <w:tr>
        <w:trPr/>
        <w:tc>
          <w:tcPr>
            <w:tcW w:w="3930"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160" w:type="dxa"/>
            <w:gridSpan w:val="3"/>
            <w:tcBorders/>
          </w:tcPr>
          <w:p>
            <w:pPr>
              <w:pStyle w:val="TableContents"/>
              <w:bidi w:val="0"/>
              <w:spacing w:before="0" w:after="283"/>
              <w:jc w:val="left"/>
              <w:rPr>
                <w:b/>
              </w:rPr>
            </w:pPr>
            <w:r>
              <w:rPr>
                <w:b/>
              </w:rPr>
              <w:t>KISSEI PHARMACEUTICAL CO., LTD.</w:t>
            </w:r>
          </w:p>
        </w:tc>
      </w:tr>
      <w:tr>
        <w:trPr>
          <w:trHeight w:val="240" w:hRule="atLeast"/>
        </w:trPr>
        <w:tc>
          <w:tcPr>
            <w:tcW w:w="3930"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before="0" w:after="283"/>
              <w:jc w:val="left"/>
              <w:rPr>
                <w:sz w:val="4"/>
                <w:szCs w:val="4"/>
              </w:rPr>
            </w:pPr>
            <w:r>
              <w:rPr>
                <w:sz w:val="4"/>
                <w:szCs w:val="4"/>
              </w:rPr>
            </w:r>
          </w:p>
        </w:tc>
        <w:tc>
          <w:tcPr>
            <w:tcW w:w="774" w:type="dxa"/>
            <w:gridSpan w:val="2"/>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r>
      <w:tr>
        <w:trPr/>
        <w:tc>
          <w:tcPr>
            <w:tcW w:w="3930"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386" w:type="dxa"/>
            <w:tcBorders>
              <w:bottom w:val="single" w:sz="2" w:space="0" w:color="000000"/>
            </w:tcBorders>
            <w:tcMar>
              <w:bottom w:w="28" w:type="dxa"/>
            </w:tcMar>
            <w:vAlign w:val="bottom"/>
          </w:tcPr>
          <w:p>
            <w:pPr>
              <w:pStyle w:val="TableContents"/>
              <w:bidi w:val="0"/>
              <w:spacing w:before="0" w:after="283"/>
              <w:jc w:val="left"/>
              <w:rPr/>
            </w:pPr>
            <w:r>
              <w:rPr/>
              <w:t>/s/ Mutsuo Kanzawa</w:t>
            </w:r>
          </w:p>
        </w:tc>
      </w:tr>
      <w:tr>
        <w:trPr/>
        <w:tc>
          <w:tcPr>
            <w:tcW w:w="3930"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pPr>
            <w:r>
              <w:rPr/>
              <w:t>Mutsuo Kanzawa</w:t>
            </w:r>
          </w:p>
        </w:tc>
      </w:tr>
      <w:tr>
        <w:trPr/>
        <w:tc>
          <w:tcPr>
            <w:tcW w:w="3930"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pPr>
            <w:r>
              <w:rPr/>
              <w:t>Chairman and Chief Executive Officer</w:t>
            </w:r>
          </w:p>
        </w:tc>
      </w:tr>
      <w:tr>
        <w:trPr>
          <w:trHeight w:val="240" w:hRule="atLeast"/>
        </w:trPr>
        <w:tc>
          <w:tcPr>
            <w:tcW w:w="3930"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before="0" w:after="283"/>
              <w:jc w:val="left"/>
              <w:rPr>
                <w:sz w:val="4"/>
                <w:szCs w:val="4"/>
              </w:rPr>
            </w:pPr>
            <w:r>
              <w:rPr>
                <w:sz w:val="4"/>
                <w:szCs w:val="4"/>
              </w:rPr>
            </w:r>
          </w:p>
        </w:tc>
        <w:tc>
          <w:tcPr>
            <w:tcW w:w="5270" w:type="dxa"/>
            <w:gridSpan w:val="4"/>
            <w:tcBorders/>
            <w:vAlign w:val="center"/>
          </w:tcPr>
          <w:p>
            <w:pPr>
              <w:pStyle w:val="TableContents"/>
              <w:bidi w:val="0"/>
              <w:spacing w:before="0" w:after="283"/>
              <w:jc w:val="left"/>
              <w:rPr>
                <w:sz w:val="4"/>
                <w:szCs w:val="4"/>
              </w:rPr>
            </w:pPr>
            <w:r>
              <w:rPr>
                <w:sz w:val="4"/>
                <w:szCs w:val="4"/>
              </w:rPr>
            </w:r>
          </w:p>
        </w:tc>
      </w:tr>
      <w:tr>
        <w:trPr/>
        <w:tc>
          <w:tcPr>
            <w:tcW w:w="3930"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pPr>
            <w:r>
              <w:rPr/>
              <w:t>Address:</w:t>
            </w:r>
          </w:p>
        </w:tc>
        <w:tc>
          <w:tcPr>
            <w:tcW w:w="110" w:type="dxa"/>
            <w:tcBorders/>
            <w:vAlign w:val="bottom"/>
          </w:tcPr>
          <w:p>
            <w:pPr>
              <w:pStyle w:val="TableContents"/>
              <w:bidi w:val="0"/>
              <w:spacing w:before="0" w:after="283"/>
              <w:jc w:val="left"/>
              <w:rPr/>
            </w:pPr>
            <w:r>
              <w:rPr/>
              <w:t> </w:t>
            </w:r>
          </w:p>
        </w:tc>
        <w:tc>
          <w:tcPr>
            <w:tcW w:w="5160" w:type="dxa"/>
            <w:gridSpan w:val="3"/>
            <w:tcBorders/>
            <w:vAlign w:val="bottom"/>
          </w:tcPr>
          <w:p>
            <w:pPr>
              <w:pStyle w:val="TableContents"/>
              <w:bidi w:val="0"/>
              <w:spacing w:before="0" w:after="283"/>
              <w:jc w:val="left"/>
              <w:rPr/>
            </w:pPr>
            <w:r>
              <w:rPr/>
              <w:t>19-48 Yoshino, Matsumoto-City</w:t>
            </w:r>
          </w:p>
        </w:tc>
      </w:tr>
      <w:tr>
        <w:trPr/>
        <w:tc>
          <w:tcPr>
            <w:tcW w:w="3930"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160" w:type="dxa"/>
            <w:gridSpan w:val="3"/>
            <w:tcBorders/>
          </w:tcPr>
          <w:p>
            <w:pPr>
              <w:pStyle w:val="TableContents"/>
              <w:bidi w:val="0"/>
              <w:spacing w:before="0" w:after="283"/>
              <w:jc w:val="left"/>
              <w:rPr/>
            </w:pPr>
            <w:r>
              <w:rPr/>
              <w:t>Nagano-Prefecture, 399-8710, Japan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54"/>
        <w:gridCol w:w="108"/>
        <w:gridCol w:w="841"/>
        <w:gridCol w:w="108"/>
        <w:gridCol w:w="604"/>
        <w:gridCol w:w="108"/>
        <w:gridCol w:w="4282"/>
      </w:tblGrid>
      <w:tr>
        <w:trPr/>
        <w:tc>
          <w:tcPr>
            <w:tcW w:w="41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82" w:type="dxa"/>
            <w:tcBorders/>
            <w:vAlign w:val="center"/>
          </w:tcPr>
          <w:p>
            <w:pPr>
              <w:pStyle w:val="TableContents"/>
              <w:bidi w:val="0"/>
              <w:spacing w:before="0" w:after="283"/>
              <w:jc w:val="left"/>
              <w:rPr>
                <w:sz w:val="4"/>
                <w:szCs w:val="4"/>
              </w:rPr>
            </w:pPr>
            <w:r>
              <w:rPr>
                <w:sz w:val="4"/>
                <w:szCs w:val="4"/>
              </w:rPr>
            </w:r>
          </w:p>
        </w:tc>
      </w:tr>
      <w:tr>
        <w:trPr/>
        <w:tc>
          <w:tcPr>
            <w:tcW w:w="415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94" w:type="dxa"/>
            <w:gridSpan w:val="3"/>
            <w:tcBorders/>
          </w:tcPr>
          <w:p>
            <w:pPr>
              <w:pStyle w:val="TableContents"/>
              <w:bidi w:val="0"/>
              <w:spacing w:before="0" w:after="283"/>
              <w:jc w:val="left"/>
              <w:rPr>
                <w:b/>
              </w:rPr>
            </w:pPr>
            <w:r>
              <w:rPr>
                <w:b/>
              </w:rPr>
              <w:t>INVESTOR:</w:t>
            </w:r>
          </w:p>
        </w:tc>
      </w:tr>
      <w:tr>
        <w:trPr>
          <w:trHeight w:val="240" w:hRule="atLeast"/>
        </w:trPr>
        <w:tc>
          <w:tcPr>
            <w:tcW w:w="4154" w:type="dxa"/>
            <w:tcBorders/>
            <w:vAlign w:val="center"/>
          </w:tcPr>
          <w:p>
            <w:pPr>
              <w:pStyle w:val="TableContents"/>
              <w:bidi w:val="0"/>
              <w:spacing w:before="0" w:after="283"/>
              <w:jc w:val="left"/>
              <w:rPr>
                <w:sz w:val="4"/>
                <w:szCs w:val="4"/>
              </w:rPr>
            </w:pPr>
            <w:r>
              <w:rPr>
                <w:sz w:val="4"/>
                <w:szCs w:val="4"/>
              </w:rPr>
            </w:r>
          </w:p>
        </w:tc>
        <w:tc>
          <w:tcPr>
            <w:tcW w:w="949"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15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94" w:type="dxa"/>
            <w:gridSpan w:val="3"/>
            <w:tcBorders/>
          </w:tcPr>
          <w:p>
            <w:pPr>
              <w:pStyle w:val="TableContents"/>
              <w:bidi w:val="0"/>
              <w:spacing w:before="0" w:after="283"/>
              <w:jc w:val="left"/>
              <w:rPr>
                <w:b/>
              </w:rPr>
            </w:pPr>
            <w:r>
              <w:rPr>
                <w:b/>
              </w:rPr>
              <w:t>LEPU HOLDINGS LIMITED</w:t>
            </w:r>
          </w:p>
        </w:tc>
      </w:tr>
      <w:tr>
        <w:trPr>
          <w:trHeight w:val="240" w:hRule="atLeast"/>
        </w:trPr>
        <w:tc>
          <w:tcPr>
            <w:tcW w:w="4154" w:type="dxa"/>
            <w:tcBorders/>
            <w:vAlign w:val="center"/>
          </w:tcPr>
          <w:p>
            <w:pPr>
              <w:pStyle w:val="TableContents"/>
              <w:bidi w:val="0"/>
              <w:spacing w:before="0" w:after="283"/>
              <w:jc w:val="left"/>
              <w:rPr>
                <w:sz w:val="4"/>
                <w:szCs w:val="4"/>
              </w:rPr>
            </w:pPr>
            <w:r>
              <w:rPr>
                <w:sz w:val="4"/>
                <w:szCs w:val="4"/>
              </w:rPr>
            </w:r>
          </w:p>
        </w:tc>
        <w:tc>
          <w:tcPr>
            <w:tcW w:w="949"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c>
          <w:tcPr>
            <w:tcW w:w="4390" w:type="dxa"/>
            <w:gridSpan w:val="2"/>
            <w:tcBorders/>
            <w:vAlign w:val="center"/>
          </w:tcPr>
          <w:p>
            <w:pPr>
              <w:pStyle w:val="TableContents"/>
              <w:bidi w:val="0"/>
              <w:spacing w:before="0" w:after="283"/>
              <w:jc w:val="left"/>
              <w:rPr>
                <w:sz w:val="4"/>
                <w:szCs w:val="4"/>
              </w:rPr>
            </w:pPr>
            <w:r>
              <w:rPr>
                <w:sz w:val="4"/>
                <w:szCs w:val="4"/>
              </w:rPr>
            </w:r>
          </w:p>
        </w:tc>
      </w:tr>
      <w:tr>
        <w:trPr/>
        <w:tc>
          <w:tcPr>
            <w:tcW w:w="4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282" w:type="dxa"/>
            <w:tcBorders>
              <w:bottom w:val="single" w:sz="2" w:space="0" w:color="000000"/>
            </w:tcBorders>
            <w:tcMar>
              <w:bottom w:w="28" w:type="dxa"/>
            </w:tcMar>
            <w:vAlign w:val="bottom"/>
          </w:tcPr>
          <w:p>
            <w:pPr>
              <w:pStyle w:val="TableContents"/>
              <w:bidi w:val="0"/>
              <w:spacing w:before="0" w:after="283"/>
              <w:jc w:val="left"/>
              <w:rPr/>
            </w:pPr>
            <w:r>
              <w:rPr/>
              <w:t>/s/ Xia Zhang</w:t>
            </w:r>
          </w:p>
        </w:tc>
      </w:tr>
      <w:tr>
        <w:trPr/>
        <w:tc>
          <w:tcPr>
            <w:tcW w:w="415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82" w:type="dxa"/>
            <w:tcBorders/>
            <w:vAlign w:val="bottom"/>
          </w:tcPr>
          <w:p>
            <w:pPr>
              <w:pStyle w:val="TableContents"/>
              <w:bidi w:val="0"/>
              <w:spacing w:before="0" w:after="283"/>
              <w:jc w:val="left"/>
              <w:rPr/>
            </w:pPr>
            <w:r>
              <w:rPr/>
              <w:t>Xia Zhang</w:t>
            </w:r>
          </w:p>
        </w:tc>
      </w:tr>
      <w:tr>
        <w:trPr/>
        <w:tc>
          <w:tcPr>
            <w:tcW w:w="4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82" w:type="dxa"/>
            <w:tcBorders/>
            <w:vAlign w:val="bottom"/>
          </w:tcPr>
          <w:p>
            <w:pPr>
              <w:pStyle w:val="TableContents"/>
              <w:bidi w:val="0"/>
              <w:spacing w:before="0" w:after="283"/>
              <w:jc w:val="left"/>
              <w:rPr/>
            </w:pPr>
            <w:r>
              <w:rPr/>
              <w:t>Director and Authorized Signatory</w:t>
            </w:r>
          </w:p>
        </w:tc>
      </w:tr>
      <w:tr>
        <w:trPr>
          <w:trHeight w:val="240" w:hRule="atLeast"/>
        </w:trPr>
        <w:tc>
          <w:tcPr>
            <w:tcW w:w="4154" w:type="dxa"/>
            <w:tcBorders/>
            <w:vAlign w:val="center"/>
          </w:tcPr>
          <w:p>
            <w:pPr>
              <w:pStyle w:val="TableContents"/>
              <w:bidi w:val="0"/>
              <w:spacing w:before="0" w:after="283"/>
              <w:jc w:val="left"/>
              <w:rPr>
                <w:sz w:val="4"/>
                <w:szCs w:val="4"/>
              </w:rPr>
            </w:pPr>
            <w:r>
              <w:rPr>
                <w:sz w:val="4"/>
                <w:szCs w:val="4"/>
              </w:rPr>
            </w:r>
          </w:p>
        </w:tc>
        <w:tc>
          <w:tcPr>
            <w:tcW w:w="949"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Address:</w:t>
            </w:r>
          </w:p>
        </w:tc>
        <w:tc>
          <w:tcPr>
            <w:tcW w:w="108" w:type="dxa"/>
            <w:tcBorders/>
            <w:vAlign w:val="bottom"/>
          </w:tcPr>
          <w:p>
            <w:pPr>
              <w:pStyle w:val="TableContents"/>
              <w:bidi w:val="0"/>
              <w:spacing w:before="0" w:after="283"/>
              <w:jc w:val="left"/>
              <w:rPr/>
            </w:pPr>
            <w:r>
              <w:rPr/>
              <w:t> </w:t>
            </w:r>
          </w:p>
        </w:tc>
        <w:tc>
          <w:tcPr>
            <w:tcW w:w="4994" w:type="dxa"/>
            <w:gridSpan w:val="3"/>
            <w:tcBorders/>
            <w:vAlign w:val="bottom"/>
          </w:tcPr>
          <w:p>
            <w:pPr>
              <w:pStyle w:val="TableContents"/>
              <w:bidi w:val="0"/>
              <w:spacing w:before="0" w:after="283"/>
              <w:jc w:val="left"/>
              <w:rPr/>
            </w:pPr>
            <w:r>
              <w:rPr/>
              <w:t>Vistra Corporate Services Centre</w:t>
            </w:r>
          </w:p>
        </w:tc>
      </w:tr>
      <w:tr>
        <w:trPr/>
        <w:tc>
          <w:tcPr>
            <w:tcW w:w="4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94" w:type="dxa"/>
            <w:gridSpan w:val="3"/>
            <w:tcBorders/>
            <w:vAlign w:val="bottom"/>
          </w:tcPr>
          <w:p>
            <w:pPr>
              <w:pStyle w:val="TableContents"/>
              <w:bidi w:val="0"/>
              <w:spacing w:before="0" w:after="283"/>
              <w:jc w:val="left"/>
              <w:rPr/>
            </w:pPr>
            <w:r>
              <w:rPr/>
              <w:t>Wickhams Cay II, Road Town</w:t>
            </w:r>
          </w:p>
        </w:tc>
      </w:tr>
      <w:tr>
        <w:trPr/>
        <w:tc>
          <w:tcPr>
            <w:tcW w:w="415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94" w:type="dxa"/>
            <w:gridSpan w:val="3"/>
            <w:tcBorders/>
          </w:tcPr>
          <w:p>
            <w:pPr>
              <w:pStyle w:val="TableContents"/>
              <w:bidi w:val="0"/>
              <w:spacing w:before="0" w:after="283"/>
              <w:jc w:val="left"/>
              <w:rPr/>
            </w:pPr>
            <w:r>
              <w:rPr/>
              <w:t>Tortola, VG1110, British Virgin Islands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14"/>
        <w:gridCol w:w="107"/>
        <w:gridCol w:w="839"/>
        <w:gridCol w:w="107"/>
        <w:gridCol w:w="603"/>
        <w:gridCol w:w="107"/>
        <w:gridCol w:w="4328"/>
      </w:tblGrid>
      <w:tr>
        <w:trPr/>
        <w:tc>
          <w:tcPr>
            <w:tcW w:w="411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28" w:type="dxa"/>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b/>
              </w:rPr>
            </w:pPr>
            <w:r>
              <w:rPr>
                <w:b/>
              </w:rPr>
              <w:t>INVESTOR:</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b/>
              </w:rPr>
            </w:pPr>
            <w:r>
              <w:rPr>
                <w:b/>
              </w:rPr>
              <w:t>LONGITUDE VENTURE PARTNERS IV, L.P.</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pPr>
            <w:r>
              <w:rPr>
                <w:b/>
              </w:rPr>
              <w:t>By: Longitude Capital Partners IV, LLC, its</w:t>
            </w:r>
            <w:r>
              <w:rPr/>
              <w:t xml:space="preserve"> </w:t>
            </w:r>
            <w:r>
              <w:rPr>
                <w:b/>
              </w:rPr>
              <w:t>General Partner</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435" w:type="dxa"/>
            <w:gridSpan w:val="2"/>
            <w:tcBorders/>
            <w:vAlign w:val="center"/>
          </w:tcPr>
          <w:p>
            <w:pPr>
              <w:pStyle w:val="TableContents"/>
              <w:bidi w:val="0"/>
              <w:spacing w:before="0" w:after="283"/>
              <w:jc w:val="left"/>
              <w:rPr>
                <w:sz w:val="4"/>
                <w:szCs w:val="4"/>
              </w:rPr>
            </w:pPr>
            <w:r>
              <w:rPr>
                <w:sz w:val="4"/>
                <w:szCs w:val="4"/>
              </w:rPr>
            </w:r>
          </w:p>
        </w:tc>
      </w:tr>
      <w:tr>
        <w:trPr/>
        <w:tc>
          <w:tcPr>
            <w:tcW w:w="411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28" w:type="dxa"/>
            <w:tcBorders>
              <w:bottom w:val="single" w:sz="2" w:space="0" w:color="000000"/>
            </w:tcBorders>
            <w:tcMar>
              <w:bottom w:w="28" w:type="dxa"/>
            </w:tcMar>
            <w:vAlign w:val="bottom"/>
          </w:tcPr>
          <w:p>
            <w:pPr>
              <w:pStyle w:val="TableContents"/>
              <w:bidi w:val="0"/>
              <w:spacing w:before="0" w:after="283"/>
              <w:jc w:val="left"/>
              <w:rPr/>
            </w:pPr>
            <w:r>
              <w:rPr/>
              <w:t>/s/ Patrick Enright</w:t>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328" w:type="dxa"/>
            <w:tcBorders/>
            <w:vAlign w:val="bottom"/>
          </w:tcPr>
          <w:p>
            <w:pPr>
              <w:pStyle w:val="TableContents"/>
              <w:bidi w:val="0"/>
              <w:spacing w:before="0" w:after="283"/>
              <w:jc w:val="left"/>
              <w:rPr/>
            </w:pPr>
            <w:r>
              <w:rPr/>
              <w:t>Patrick Enright</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328" w:type="dxa"/>
            <w:tcBorders/>
            <w:vAlign w:val="bottom"/>
          </w:tcPr>
          <w:p>
            <w:pPr>
              <w:pStyle w:val="TableContents"/>
              <w:bidi w:val="0"/>
              <w:spacing w:before="0" w:after="283"/>
              <w:jc w:val="left"/>
              <w:rPr/>
            </w:pPr>
            <w:r>
              <w:rPr/>
              <w:t>Managing Member</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b/>
              </w:rPr>
            </w:pPr>
            <w:r>
              <w:rPr>
                <w:b/>
              </w:rPr>
              <w:t>LONGITUDE PRIME FUND, L.P.</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pPr>
            <w:r>
              <w:rPr/>
              <w:t>By: Longitude Prime Partners, LLC, its General Partner</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435" w:type="dxa"/>
            <w:gridSpan w:val="2"/>
            <w:tcBorders/>
            <w:vAlign w:val="center"/>
          </w:tcPr>
          <w:p>
            <w:pPr>
              <w:pStyle w:val="TableContents"/>
              <w:bidi w:val="0"/>
              <w:spacing w:before="0" w:after="283"/>
              <w:jc w:val="left"/>
              <w:rPr>
                <w:sz w:val="4"/>
                <w:szCs w:val="4"/>
              </w:rPr>
            </w:pPr>
            <w:r>
              <w:rPr>
                <w:sz w:val="4"/>
                <w:szCs w:val="4"/>
              </w:rPr>
            </w:r>
          </w:p>
        </w:tc>
      </w:tr>
      <w:tr>
        <w:trPr/>
        <w:tc>
          <w:tcPr>
            <w:tcW w:w="411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28" w:type="dxa"/>
            <w:tcBorders>
              <w:bottom w:val="single" w:sz="2" w:space="0" w:color="000000"/>
            </w:tcBorders>
            <w:tcMar>
              <w:bottom w:w="28" w:type="dxa"/>
            </w:tcMar>
            <w:vAlign w:val="bottom"/>
          </w:tcPr>
          <w:p>
            <w:pPr>
              <w:pStyle w:val="TableContents"/>
              <w:bidi w:val="0"/>
              <w:spacing w:before="0" w:after="283"/>
              <w:jc w:val="left"/>
              <w:rPr/>
            </w:pPr>
            <w:r>
              <w:rPr/>
              <w:t>/s/ Patrick Enright</w:t>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328" w:type="dxa"/>
            <w:tcBorders/>
            <w:vAlign w:val="bottom"/>
          </w:tcPr>
          <w:p>
            <w:pPr>
              <w:pStyle w:val="TableContents"/>
              <w:bidi w:val="0"/>
              <w:spacing w:before="0" w:after="283"/>
              <w:jc w:val="left"/>
              <w:rPr/>
            </w:pPr>
            <w:r>
              <w:rPr/>
              <w:t>Patrick Enright</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328" w:type="dxa"/>
            <w:tcBorders/>
            <w:vAlign w:val="bottom"/>
          </w:tcPr>
          <w:p>
            <w:pPr>
              <w:pStyle w:val="TableContents"/>
              <w:bidi w:val="0"/>
              <w:spacing w:before="0" w:after="283"/>
              <w:jc w:val="left"/>
              <w:rPr/>
            </w:pPr>
            <w:r>
              <w:rPr/>
              <w:t>Managing Member</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pPr>
            <w:r>
              <w:rPr/>
              <w:t>Address:</w:t>
            </w:r>
          </w:p>
        </w:tc>
        <w:tc>
          <w:tcPr>
            <w:tcW w:w="107" w:type="dxa"/>
            <w:tcBorders/>
            <w:vAlign w:val="bottom"/>
          </w:tcPr>
          <w:p>
            <w:pPr>
              <w:pStyle w:val="TableContents"/>
              <w:bidi w:val="0"/>
              <w:spacing w:before="0" w:after="283"/>
              <w:jc w:val="left"/>
              <w:rPr/>
            </w:pPr>
            <w:r>
              <w:rPr/>
              <w:t> </w:t>
            </w:r>
          </w:p>
        </w:tc>
        <w:tc>
          <w:tcPr>
            <w:tcW w:w="5038" w:type="dxa"/>
            <w:gridSpan w:val="3"/>
            <w:tcBorders/>
            <w:vAlign w:val="bottom"/>
          </w:tcPr>
          <w:p>
            <w:pPr>
              <w:pStyle w:val="TableContents"/>
              <w:bidi w:val="0"/>
              <w:spacing w:before="0" w:after="283"/>
              <w:jc w:val="left"/>
              <w:rPr/>
            </w:pPr>
            <w:r>
              <w:rPr/>
              <w:t>2740 Sand Hill Rd, Second Floor</w:t>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283"/>
              <w:jc w:val="left"/>
              <w:rPr/>
            </w:pPr>
            <w:r>
              <w:rPr/>
              <w:t>Menlo Park, CA 94025</w:t>
            </w:r>
          </w:p>
        </w:tc>
      </w:tr>
      <w:tr>
        <w:trPr>
          <w:trHeight w:val="240" w:hRule="atLeast"/>
        </w:trPr>
        <w:tc>
          <w:tcPr>
            <w:tcW w:w="4114"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5145" w:type="dxa"/>
            <w:gridSpan w:val="4"/>
            <w:tcBorders/>
            <w:vAlign w:val="center"/>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3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(which shall not itself constitute</w:t>
            </w:r>
          </w:p>
          <w:p>
            <w:pPr>
              <w:pStyle w:val="TableContents"/>
              <w:bidi w:val="0"/>
              <w:spacing w:before="0" w:after="0"/>
              <w:jc w:val="left"/>
              <w:rPr>
                <w:rFonts w:ascii="Times New Roman" w:hAnsi="Times New Roman"/>
                <w:sz w:val="20"/>
              </w:rPr>
            </w:pPr>
            <w:r>
              <w:rPr>
                <w:rFonts w:ascii="Times New Roman" w:hAnsi="Times New Roman"/>
                <w:sz w:val="20"/>
              </w:rPr>
              <w:t>notice) to:</w:t>
            </w:r>
          </w:p>
          <w:p>
            <w:pPr>
              <w:pStyle w:val="TableContents"/>
              <w:bidi w:val="0"/>
              <w:spacing w:before="0" w:after="0"/>
              <w:jc w:val="left"/>
              <w:rPr>
                <w:rFonts w:ascii="Times New Roman" w:hAnsi="Times New Roman"/>
                <w:sz w:val="20"/>
              </w:rPr>
            </w:pPr>
            <w:r>
              <w:rPr>
                <w:rFonts w:ascii="Times New Roman" w:hAnsi="Times New Roman"/>
                <w:sz w:val="20"/>
              </w:rPr>
              <w:t>Cooley LLP</w:t>
            </w:r>
          </w:p>
          <w:p>
            <w:pPr>
              <w:pStyle w:val="TableContents"/>
              <w:bidi w:val="0"/>
              <w:spacing w:before="0" w:after="0"/>
              <w:jc w:val="left"/>
              <w:rPr>
                <w:rFonts w:ascii="Times New Roman" w:hAnsi="Times New Roman"/>
                <w:sz w:val="20"/>
              </w:rPr>
            </w:pPr>
            <w:r>
              <w:rPr>
                <w:rFonts w:ascii="Times New Roman" w:hAnsi="Times New Roman"/>
                <w:sz w:val="20"/>
              </w:rPr>
              <w:t>3175 Hanover Street</w:t>
            </w:r>
          </w:p>
          <w:p>
            <w:pPr>
              <w:pStyle w:val="TableContents"/>
              <w:bidi w:val="0"/>
              <w:spacing w:before="0" w:after="0"/>
              <w:jc w:val="left"/>
              <w:rPr>
                <w:rFonts w:ascii="Times New Roman" w:hAnsi="Times New Roman"/>
                <w:sz w:val="20"/>
              </w:rPr>
            </w:pPr>
            <w:r>
              <w:rPr>
                <w:rFonts w:ascii="Times New Roman" w:hAnsi="Times New Roman"/>
                <w:sz w:val="20"/>
              </w:rPr>
              <w:t>Palo Alto, CA 94304</w:t>
            </w:r>
          </w:p>
          <w:p>
            <w:pPr>
              <w:pStyle w:val="TableContents"/>
              <w:bidi w:val="0"/>
              <w:spacing w:before="0" w:after="0"/>
              <w:jc w:val="left"/>
              <w:rPr>
                <w:rFonts w:ascii="Times New Roman" w:hAnsi="Times New Roman"/>
                <w:sz w:val="20"/>
              </w:rPr>
            </w:pPr>
            <w:r>
              <w:rPr>
                <w:rFonts w:ascii="Times New Roman" w:hAnsi="Times New Roman"/>
                <w:sz w:val="20"/>
              </w:rPr>
              <w:t>Attention: Mark P. Tanoury</w:t>
            </w:r>
          </w:p>
          <w:p>
            <w:pPr>
              <w:pStyle w:val="TableContents"/>
              <w:bidi w:val="0"/>
              <w:spacing w:before="0" w:after="20"/>
              <w:jc w:val="left"/>
              <w:rPr>
                <w:rFonts w:ascii="Times New Roman" w:hAnsi="Times New Roman"/>
                <w:sz w:val="20"/>
              </w:rPr>
            </w:pPr>
            <w:r>
              <w:rPr>
                <w:rFonts w:ascii="Times New Roman" w:hAnsi="Times New Roman"/>
                <w:sz w:val="20"/>
              </w:rPr>
              <w:t>Email: tanourymp@cooley.com</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05"/>
        <w:gridCol w:w="108"/>
        <w:gridCol w:w="842"/>
        <w:gridCol w:w="108"/>
        <w:gridCol w:w="605"/>
        <w:gridCol w:w="108"/>
        <w:gridCol w:w="4329"/>
      </w:tblGrid>
      <w:tr>
        <w:trPr/>
        <w:tc>
          <w:tcPr>
            <w:tcW w:w="410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29" w:type="dxa"/>
            <w:tcBorders/>
            <w:vAlign w:val="center"/>
          </w:tcPr>
          <w:p>
            <w:pPr>
              <w:pStyle w:val="TableContents"/>
              <w:bidi w:val="0"/>
              <w:spacing w:before="0" w:after="283"/>
              <w:jc w:val="left"/>
              <w:rPr>
                <w:sz w:val="4"/>
                <w:szCs w:val="4"/>
              </w:rPr>
            </w:pPr>
            <w:r>
              <w:rPr>
                <w:sz w:val="4"/>
                <w:szCs w:val="4"/>
              </w:rPr>
            </w:r>
          </w:p>
        </w:tc>
      </w:tr>
      <w:tr>
        <w:trPr/>
        <w:tc>
          <w:tcPr>
            <w:tcW w:w="41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42" w:type="dxa"/>
            <w:gridSpan w:val="3"/>
            <w:tcBorders/>
          </w:tcPr>
          <w:p>
            <w:pPr>
              <w:pStyle w:val="TableContents"/>
              <w:bidi w:val="0"/>
              <w:spacing w:before="0" w:after="283"/>
              <w:jc w:val="left"/>
              <w:rPr>
                <w:b/>
              </w:rPr>
            </w:pPr>
            <w:r>
              <w:rPr>
                <w:b/>
              </w:rPr>
              <w:t>INVESTOR:</w:t>
            </w:r>
          </w:p>
        </w:tc>
      </w:tr>
      <w:tr>
        <w:trPr>
          <w:trHeight w:val="240" w:hRule="atLeast"/>
        </w:trPr>
        <w:tc>
          <w:tcPr>
            <w:tcW w:w="410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5150"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42" w:type="dxa"/>
            <w:gridSpan w:val="3"/>
            <w:tcBorders/>
          </w:tcPr>
          <w:p>
            <w:pPr>
              <w:pStyle w:val="TableContents"/>
              <w:bidi w:val="0"/>
              <w:spacing w:before="0" w:after="283"/>
              <w:jc w:val="left"/>
              <w:rPr>
                <w:b/>
              </w:rPr>
            </w:pPr>
            <w:r>
              <w:rPr>
                <w:b/>
              </w:rPr>
              <w:t>MALIN LIFE SCIENCES HOLDINGS LIMITED</w:t>
            </w:r>
          </w:p>
        </w:tc>
      </w:tr>
      <w:tr>
        <w:trPr>
          <w:trHeight w:val="240" w:hRule="atLeast"/>
        </w:trPr>
        <w:tc>
          <w:tcPr>
            <w:tcW w:w="410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713" w:type="dxa"/>
            <w:gridSpan w:val="2"/>
            <w:tcBorders/>
            <w:vAlign w:val="center"/>
          </w:tcPr>
          <w:p>
            <w:pPr>
              <w:pStyle w:val="TableContents"/>
              <w:bidi w:val="0"/>
              <w:spacing w:before="0" w:after="283"/>
              <w:jc w:val="left"/>
              <w:rPr>
                <w:sz w:val="4"/>
                <w:szCs w:val="4"/>
              </w:rPr>
            </w:pPr>
            <w:r>
              <w:rPr>
                <w:sz w:val="4"/>
                <w:szCs w:val="4"/>
              </w:rPr>
            </w:r>
          </w:p>
        </w:tc>
        <w:tc>
          <w:tcPr>
            <w:tcW w:w="4437" w:type="dxa"/>
            <w:gridSpan w:val="2"/>
            <w:tcBorders/>
            <w:vAlign w:val="center"/>
          </w:tcPr>
          <w:p>
            <w:pPr>
              <w:pStyle w:val="TableContents"/>
              <w:bidi w:val="0"/>
              <w:spacing w:before="0" w:after="283"/>
              <w:jc w:val="left"/>
              <w:rPr>
                <w:sz w:val="4"/>
                <w:szCs w:val="4"/>
              </w:rPr>
            </w:pPr>
            <w:r>
              <w:rPr>
                <w:sz w:val="4"/>
                <w:szCs w:val="4"/>
              </w:rPr>
            </w:r>
          </w:p>
        </w:tc>
      </w:tr>
      <w:tr>
        <w:trPr/>
        <w:tc>
          <w:tcPr>
            <w:tcW w:w="410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329" w:type="dxa"/>
            <w:tcBorders>
              <w:bottom w:val="single" w:sz="2" w:space="0" w:color="000000"/>
            </w:tcBorders>
            <w:tcMar>
              <w:bottom w:w="28" w:type="dxa"/>
            </w:tcMar>
            <w:vAlign w:val="bottom"/>
          </w:tcPr>
          <w:p>
            <w:pPr>
              <w:pStyle w:val="TableContents"/>
              <w:bidi w:val="0"/>
              <w:spacing w:before="0" w:after="283"/>
              <w:jc w:val="left"/>
              <w:rPr/>
            </w:pPr>
            <w:r>
              <w:rPr/>
              <w:t>/s/ Darragh Lyons</w:t>
            </w:r>
          </w:p>
        </w:tc>
      </w:tr>
      <w:tr>
        <w:trPr/>
        <w:tc>
          <w:tcPr>
            <w:tcW w:w="41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5"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329" w:type="dxa"/>
            <w:tcBorders/>
            <w:vAlign w:val="bottom"/>
          </w:tcPr>
          <w:p>
            <w:pPr>
              <w:pStyle w:val="TableContents"/>
              <w:bidi w:val="0"/>
              <w:spacing w:before="0" w:after="283"/>
              <w:jc w:val="left"/>
              <w:rPr/>
            </w:pPr>
            <w:r>
              <w:rPr/>
              <w:t>Darragh Lyons</w:t>
            </w:r>
          </w:p>
        </w:tc>
      </w:tr>
      <w:tr>
        <w:trPr/>
        <w:tc>
          <w:tcPr>
            <w:tcW w:w="410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329" w:type="dxa"/>
            <w:tcBorders/>
            <w:vAlign w:val="bottom"/>
          </w:tcPr>
          <w:p>
            <w:pPr>
              <w:pStyle w:val="TableContents"/>
              <w:bidi w:val="0"/>
              <w:spacing w:before="0" w:after="283"/>
              <w:jc w:val="left"/>
              <w:rPr/>
            </w:pPr>
            <w:r>
              <w:rPr/>
              <w:t>Director</w:t>
            </w:r>
          </w:p>
        </w:tc>
      </w:tr>
      <w:tr>
        <w:trPr>
          <w:trHeight w:val="240" w:hRule="atLeast"/>
        </w:trPr>
        <w:tc>
          <w:tcPr>
            <w:tcW w:w="410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5150" w:type="dxa"/>
            <w:gridSpan w:val="4"/>
            <w:tcBorders/>
            <w:vAlign w:val="center"/>
          </w:tcPr>
          <w:p>
            <w:pPr>
              <w:pStyle w:val="TableContents"/>
              <w:bidi w:val="0"/>
              <w:spacing w:before="0" w:after="283"/>
              <w:jc w:val="left"/>
              <w:rPr>
                <w:sz w:val="4"/>
                <w:szCs w:val="4"/>
              </w:rPr>
            </w:pPr>
            <w:r>
              <w:rPr>
                <w:sz w:val="4"/>
                <w:szCs w:val="4"/>
              </w:rPr>
            </w:r>
          </w:p>
        </w:tc>
      </w:tr>
      <w:tr>
        <w:trPr/>
        <w:tc>
          <w:tcPr>
            <w:tcW w:w="410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pPr>
            <w:r>
              <w:rPr/>
              <w:t>Address:</w:t>
            </w:r>
          </w:p>
        </w:tc>
        <w:tc>
          <w:tcPr>
            <w:tcW w:w="108" w:type="dxa"/>
            <w:tcBorders/>
            <w:vAlign w:val="bottom"/>
          </w:tcPr>
          <w:p>
            <w:pPr>
              <w:pStyle w:val="TableContents"/>
              <w:bidi w:val="0"/>
              <w:spacing w:before="0" w:after="283"/>
              <w:jc w:val="left"/>
              <w:rPr/>
            </w:pPr>
            <w:r>
              <w:rPr/>
              <w:t> </w:t>
            </w:r>
          </w:p>
        </w:tc>
        <w:tc>
          <w:tcPr>
            <w:tcW w:w="5042" w:type="dxa"/>
            <w:gridSpan w:val="3"/>
            <w:tcBorders/>
            <w:vAlign w:val="bottom"/>
          </w:tcPr>
          <w:p>
            <w:pPr>
              <w:pStyle w:val="TableContents"/>
              <w:bidi w:val="0"/>
              <w:spacing w:before="0" w:after="283"/>
              <w:jc w:val="left"/>
              <w:rPr/>
            </w:pPr>
            <w:r>
              <w:rPr/>
              <w:t>The Lennox Building</w:t>
            </w:r>
          </w:p>
        </w:tc>
      </w:tr>
      <w:tr>
        <w:trPr/>
        <w:tc>
          <w:tcPr>
            <w:tcW w:w="410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42" w:type="dxa"/>
            <w:gridSpan w:val="3"/>
            <w:tcBorders/>
            <w:vAlign w:val="bottom"/>
          </w:tcPr>
          <w:p>
            <w:pPr>
              <w:pStyle w:val="TableContents"/>
              <w:bidi w:val="0"/>
              <w:spacing w:before="0" w:after="283"/>
              <w:jc w:val="left"/>
              <w:rPr/>
            </w:pPr>
            <w:r>
              <w:rPr/>
              <w:t>50 Richmond Street South</w:t>
            </w:r>
          </w:p>
        </w:tc>
      </w:tr>
      <w:tr>
        <w:trPr/>
        <w:tc>
          <w:tcPr>
            <w:tcW w:w="41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84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Dublin 2</w:t>
            </w:r>
          </w:p>
          <w:p>
            <w:pPr>
              <w:pStyle w:val="TableContents"/>
              <w:bidi w:val="0"/>
              <w:spacing w:before="0" w:after="0"/>
              <w:jc w:val="left"/>
              <w:rPr>
                <w:rFonts w:ascii="Times New Roman" w:hAnsi="Times New Roman"/>
                <w:sz w:val="20"/>
              </w:rPr>
            </w:pPr>
            <w:r>
              <w:rPr>
                <w:rFonts w:ascii="Times New Roman" w:hAnsi="Times New Roman"/>
                <w:sz w:val="20"/>
              </w:rPr>
              <w:t>D02 FK02</w:t>
            </w:r>
          </w:p>
          <w:p>
            <w:pPr>
              <w:pStyle w:val="TableContents"/>
              <w:bidi w:val="0"/>
              <w:spacing w:before="0" w:after="20"/>
              <w:jc w:val="left"/>
              <w:rPr>
                <w:rFonts w:ascii="Times New Roman" w:hAnsi="Times New Roman"/>
                <w:sz w:val="20"/>
              </w:rPr>
            </w:pPr>
            <w:r>
              <w:rPr>
                <w:rFonts w:ascii="Times New Roman" w:hAnsi="Times New Roman"/>
                <w:sz w:val="20"/>
              </w:rPr>
              <w:t>Ireland</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39"/>
        <w:gridCol w:w="107"/>
        <w:gridCol w:w="824"/>
        <w:gridCol w:w="107"/>
        <w:gridCol w:w="345"/>
        <w:gridCol w:w="107"/>
        <w:gridCol w:w="4476"/>
      </w:tblGrid>
      <w:tr>
        <w:trPr/>
        <w:tc>
          <w:tcPr>
            <w:tcW w:w="423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b/>
              </w:rPr>
            </w:pPr>
            <w:r>
              <w:rPr>
                <w:b/>
              </w:rPr>
              <w:t>INVESTOR:</w:t>
            </w:r>
          </w:p>
        </w:tc>
      </w:tr>
      <w:tr>
        <w:trPr>
          <w:trHeight w:val="240" w:hRule="atLeast"/>
        </w:trPr>
        <w:tc>
          <w:tcPr>
            <w:tcW w:w="4239"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035" w:type="dxa"/>
            <w:gridSpan w:val="4"/>
            <w:tcBorders/>
            <w:vAlign w:val="center"/>
          </w:tcPr>
          <w:p>
            <w:pPr>
              <w:pStyle w:val="TableContents"/>
              <w:bidi w:val="0"/>
              <w:spacing w:before="0" w:after="283"/>
              <w:jc w:val="left"/>
              <w:rPr>
                <w:sz w:val="4"/>
                <w:szCs w:val="4"/>
              </w:rPr>
            </w:pPr>
            <w:r>
              <w:rPr>
                <w:sz w:val="4"/>
                <w:szCs w:val="4"/>
              </w:rPr>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b/>
              </w:rPr>
            </w:pPr>
            <w:r>
              <w:rPr>
                <w:b/>
              </w:rPr>
              <w:t>PALM DRIVE CAPITAL II LP</w:t>
            </w:r>
          </w:p>
        </w:tc>
      </w:tr>
      <w:tr>
        <w:trPr>
          <w:trHeight w:val="240" w:hRule="atLeast"/>
        </w:trPr>
        <w:tc>
          <w:tcPr>
            <w:tcW w:w="4239"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035" w:type="dxa"/>
            <w:gridSpan w:val="4"/>
            <w:tcBorders/>
            <w:vAlign w:val="center"/>
          </w:tcPr>
          <w:p>
            <w:pPr>
              <w:pStyle w:val="TableContents"/>
              <w:bidi w:val="0"/>
              <w:spacing w:before="0" w:after="283"/>
              <w:jc w:val="left"/>
              <w:rPr>
                <w:sz w:val="4"/>
                <w:szCs w:val="4"/>
              </w:rPr>
            </w:pPr>
            <w:r>
              <w:rPr>
                <w:sz w:val="4"/>
                <w:szCs w:val="4"/>
              </w:rPr>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pPr>
            <w:r>
              <w:rPr/>
              <w:t>By: Palm Drive Capital II GP LLC,</w:t>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476" w:type="dxa"/>
            <w:tcBorders/>
            <w:vAlign w:val="bottom"/>
          </w:tcPr>
          <w:p>
            <w:pPr>
              <w:pStyle w:val="TableContents"/>
              <w:bidi w:val="0"/>
              <w:spacing w:before="0" w:after="283"/>
              <w:jc w:val="left"/>
              <w:rPr/>
            </w:pPr>
            <w:r>
              <w:rPr/>
              <w:t>its General Partner</w:t>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pPr>
            <w:r>
              <w:rPr/>
              <w:t>By: Palm Drive Capital LLC,</w:t>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476" w:type="dxa"/>
            <w:tcBorders/>
            <w:vAlign w:val="bottom"/>
          </w:tcPr>
          <w:p>
            <w:pPr>
              <w:pStyle w:val="TableContents"/>
              <w:bidi w:val="0"/>
              <w:spacing w:before="0" w:after="283"/>
              <w:jc w:val="left"/>
              <w:rPr/>
            </w:pPr>
            <w:r>
              <w:rPr/>
              <w:t>its Manager</w:t>
            </w:r>
          </w:p>
        </w:tc>
      </w:tr>
      <w:tr>
        <w:trPr>
          <w:trHeight w:val="240" w:hRule="atLeast"/>
        </w:trPr>
        <w:tc>
          <w:tcPr>
            <w:tcW w:w="4239"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4583" w:type="dxa"/>
            <w:gridSpan w:val="2"/>
            <w:tcBorders/>
            <w:vAlign w:val="center"/>
          </w:tcPr>
          <w:p>
            <w:pPr>
              <w:pStyle w:val="TableContents"/>
              <w:bidi w:val="0"/>
              <w:spacing w:before="0" w:after="283"/>
              <w:jc w:val="left"/>
              <w:rPr>
                <w:sz w:val="4"/>
                <w:szCs w:val="4"/>
              </w:rPr>
            </w:pPr>
            <w:r>
              <w:rPr>
                <w:sz w:val="4"/>
                <w:szCs w:val="4"/>
              </w:rPr>
            </w:r>
          </w:p>
        </w:tc>
      </w:tr>
      <w:tr>
        <w:trPr/>
        <w:tc>
          <w:tcPr>
            <w:tcW w:w="42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476" w:type="dxa"/>
            <w:tcBorders>
              <w:bottom w:val="single" w:sz="2" w:space="0" w:color="000000"/>
            </w:tcBorders>
            <w:tcMar>
              <w:bottom w:w="28" w:type="dxa"/>
            </w:tcMar>
            <w:vAlign w:val="bottom"/>
          </w:tcPr>
          <w:p>
            <w:pPr>
              <w:pStyle w:val="TableContents"/>
              <w:bidi w:val="0"/>
              <w:spacing w:before="0" w:after="283"/>
              <w:jc w:val="left"/>
              <w:rPr/>
            </w:pPr>
            <w:r>
              <w:rPr/>
              <w:t>/s/ Seamon Chan</w:t>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pPr>
            <w:r>
              <w:rPr/>
              <w:t>Name: Seamon Chan</w:t>
            </w:r>
          </w:p>
        </w:tc>
      </w:tr>
      <w:tr>
        <w:trPr/>
        <w:tc>
          <w:tcPr>
            <w:tcW w:w="42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vAlign w:val="bottom"/>
          </w:tcPr>
          <w:p>
            <w:pPr>
              <w:pStyle w:val="TableContents"/>
              <w:bidi w:val="0"/>
              <w:spacing w:before="0" w:after="283"/>
              <w:jc w:val="left"/>
              <w:rPr/>
            </w:pPr>
            <w:r>
              <w:rPr/>
              <w:t>Title: Managing Member</w:t>
            </w:r>
          </w:p>
        </w:tc>
      </w:tr>
      <w:tr>
        <w:trPr>
          <w:trHeight w:val="240" w:hRule="atLeast"/>
        </w:trPr>
        <w:tc>
          <w:tcPr>
            <w:tcW w:w="4239" w:type="dxa"/>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c>
          <w:tcPr>
            <w:tcW w:w="5035" w:type="dxa"/>
            <w:gridSpan w:val="4"/>
            <w:tcBorders/>
            <w:vAlign w:val="center"/>
          </w:tcPr>
          <w:p>
            <w:pPr>
              <w:pStyle w:val="TableContents"/>
              <w:bidi w:val="0"/>
              <w:spacing w:before="0" w:after="283"/>
              <w:jc w:val="left"/>
              <w:rPr>
                <w:sz w:val="4"/>
                <w:szCs w:val="4"/>
              </w:rPr>
            </w:pPr>
            <w:r>
              <w:rPr>
                <w:sz w:val="4"/>
                <w:szCs w:val="4"/>
              </w:rPr>
            </w:r>
          </w:p>
        </w:tc>
      </w:tr>
      <w:tr>
        <w:trPr/>
        <w:tc>
          <w:tcPr>
            <w:tcW w:w="423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pPr>
            <w:r>
              <w:rPr/>
              <w:t>Address:</w:t>
            </w:r>
          </w:p>
        </w:tc>
        <w:tc>
          <w:tcPr>
            <w:tcW w:w="107" w:type="dxa"/>
            <w:tcBorders/>
            <w:vAlign w:val="bottom"/>
          </w:tcPr>
          <w:p>
            <w:pPr>
              <w:pStyle w:val="TableContents"/>
              <w:bidi w:val="0"/>
              <w:spacing w:before="0" w:after="283"/>
              <w:jc w:val="left"/>
              <w:rPr/>
            </w:pPr>
            <w:r>
              <w:rPr/>
              <w:t> </w:t>
            </w:r>
          </w:p>
        </w:tc>
        <w:tc>
          <w:tcPr>
            <w:tcW w:w="4928" w:type="dxa"/>
            <w:gridSpan w:val="3"/>
            <w:tcBorders/>
            <w:vAlign w:val="bottom"/>
          </w:tcPr>
          <w:p>
            <w:pPr>
              <w:pStyle w:val="TableContents"/>
              <w:bidi w:val="0"/>
              <w:spacing w:before="0" w:after="283"/>
              <w:jc w:val="left"/>
              <w:rPr/>
            </w:pPr>
            <w:r>
              <w:rPr/>
              <w:t>54 W. 21st St Suite 807</w:t>
            </w:r>
          </w:p>
        </w:tc>
      </w:tr>
      <w:tr>
        <w:trPr/>
        <w:tc>
          <w:tcPr>
            <w:tcW w:w="42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28" w:type="dxa"/>
            <w:gridSpan w:val="3"/>
            <w:tcBorders/>
          </w:tcPr>
          <w:p>
            <w:pPr>
              <w:pStyle w:val="TableContents"/>
              <w:bidi w:val="0"/>
              <w:spacing w:before="0" w:after="283"/>
              <w:jc w:val="left"/>
              <w:rPr/>
            </w:pPr>
            <w:r>
              <w:rPr/>
              <w:t>New York, NY, 10010</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79"/>
        <w:gridCol w:w="110"/>
        <w:gridCol w:w="854"/>
        <w:gridCol w:w="110"/>
        <w:gridCol w:w="371"/>
        <w:gridCol w:w="110"/>
        <w:gridCol w:w="4371"/>
      </w:tblGrid>
      <w:tr>
        <w:trPr/>
        <w:tc>
          <w:tcPr>
            <w:tcW w:w="427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42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5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52" w:type="dxa"/>
            <w:gridSpan w:val="3"/>
            <w:tcBorders/>
          </w:tcPr>
          <w:p>
            <w:pPr>
              <w:pStyle w:val="TableContents"/>
              <w:bidi w:val="0"/>
              <w:spacing w:before="0" w:after="283"/>
              <w:jc w:val="left"/>
              <w:rPr>
                <w:b/>
              </w:rPr>
            </w:pPr>
            <w:r>
              <w:rPr>
                <w:b/>
              </w:rPr>
              <w:t>INVESTOR:</w:t>
            </w:r>
          </w:p>
        </w:tc>
      </w:tr>
      <w:tr>
        <w:trPr>
          <w:trHeight w:val="240" w:hRule="atLeast"/>
        </w:trPr>
        <w:tc>
          <w:tcPr>
            <w:tcW w:w="4279" w:type="dxa"/>
            <w:tcBorders/>
            <w:vAlign w:val="center"/>
          </w:tcPr>
          <w:p>
            <w:pPr>
              <w:pStyle w:val="TableContents"/>
              <w:bidi w:val="0"/>
              <w:spacing w:before="0" w:after="283"/>
              <w:jc w:val="left"/>
              <w:rPr>
                <w:sz w:val="4"/>
                <w:szCs w:val="4"/>
              </w:rPr>
            </w:pPr>
            <w:r>
              <w:rPr>
                <w:sz w:val="4"/>
                <w:szCs w:val="4"/>
              </w:rPr>
            </w:r>
          </w:p>
        </w:tc>
        <w:tc>
          <w:tcPr>
            <w:tcW w:w="964" w:type="dxa"/>
            <w:gridSpan w:val="2"/>
            <w:tcBorders/>
            <w:vAlign w:val="center"/>
          </w:tcPr>
          <w:p>
            <w:pPr>
              <w:pStyle w:val="TableContents"/>
              <w:bidi w:val="0"/>
              <w:spacing w:before="0" w:after="283"/>
              <w:jc w:val="left"/>
              <w:rPr>
                <w:sz w:val="4"/>
                <w:szCs w:val="4"/>
              </w:rPr>
            </w:pPr>
            <w:r>
              <w:rPr>
                <w:sz w:val="4"/>
                <w:szCs w:val="4"/>
              </w:rPr>
            </w:r>
          </w:p>
        </w:tc>
        <w:tc>
          <w:tcPr>
            <w:tcW w:w="4962" w:type="dxa"/>
            <w:gridSpan w:val="4"/>
            <w:tcBorders/>
            <w:vAlign w:val="center"/>
          </w:tcPr>
          <w:p>
            <w:pPr>
              <w:pStyle w:val="TableContents"/>
              <w:bidi w:val="0"/>
              <w:spacing w:before="0" w:after="283"/>
              <w:jc w:val="left"/>
              <w:rPr>
                <w:sz w:val="4"/>
                <w:szCs w:val="4"/>
              </w:rPr>
            </w:pPr>
            <w:r>
              <w:rPr>
                <w:sz w:val="4"/>
                <w:szCs w:val="4"/>
              </w:rPr>
            </w:r>
          </w:p>
        </w:tc>
      </w:tr>
      <w:tr>
        <w:trPr/>
        <w:tc>
          <w:tcPr>
            <w:tcW w:w="42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5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52" w:type="dxa"/>
            <w:gridSpan w:val="3"/>
            <w:tcBorders/>
          </w:tcPr>
          <w:p>
            <w:pPr>
              <w:pStyle w:val="TableContents"/>
              <w:bidi w:val="0"/>
              <w:spacing w:before="0" w:after="283"/>
              <w:jc w:val="left"/>
              <w:rPr>
                <w:b/>
              </w:rPr>
            </w:pPr>
            <w:r>
              <w:rPr>
                <w:b/>
              </w:rPr>
              <w:t>PEI MIN LIU</w:t>
            </w:r>
          </w:p>
        </w:tc>
      </w:tr>
      <w:tr>
        <w:trPr>
          <w:trHeight w:val="240" w:hRule="atLeast"/>
        </w:trPr>
        <w:tc>
          <w:tcPr>
            <w:tcW w:w="4279" w:type="dxa"/>
            <w:tcBorders/>
            <w:vAlign w:val="center"/>
          </w:tcPr>
          <w:p>
            <w:pPr>
              <w:pStyle w:val="TableContents"/>
              <w:bidi w:val="0"/>
              <w:spacing w:before="0" w:after="283"/>
              <w:jc w:val="left"/>
              <w:rPr>
                <w:sz w:val="4"/>
                <w:szCs w:val="4"/>
              </w:rPr>
            </w:pPr>
            <w:r>
              <w:rPr>
                <w:sz w:val="4"/>
                <w:szCs w:val="4"/>
              </w:rPr>
            </w:r>
          </w:p>
        </w:tc>
        <w:tc>
          <w:tcPr>
            <w:tcW w:w="964" w:type="dxa"/>
            <w:gridSpan w:val="2"/>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r>
      <w:tr>
        <w:trPr/>
        <w:tc>
          <w:tcPr>
            <w:tcW w:w="4279"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371" w:type="dxa"/>
            <w:tcBorders>
              <w:bottom w:val="single" w:sz="2" w:space="0" w:color="000000"/>
            </w:tcBorders>
            <w:tcMar>
              <w:bottom w:w="28" w:type="dxa"/>
            </w:tcMar>
            <w:vAlign w:val="bottom"/>
          </w:tcPr>
          <w:p>
            <w:pPr>
              <w:pStyle w:val="TableContents"/>
              <w:bidi w:val="0"/>
              <w:spacing w:before="0" w:after="283"/>
              <w:jc w:val="left"/>
              <w:rPr/>
            </w:pPr>
            <w:r>
              <w:rPr/>
              <w:t>/s/ Pei Min Liu</w:t>
            </w:r>
          </w:p>
        </w:tc>
      </w:tr>
      <w:tr>
        <w:trPr/>
        <w:tc>
          <w:tcPr>
            <w:tcW w:w="427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5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52" w:type="dxa"/>
            <w:gridSpan w:val="3"/>
            <w:tcBorders/>
          </w:tcPr>
          <w:p>
            <w:pPr>
              <w:pStyle w:val="TableContents"/>
              <w:bidi w:val="0"/>
              <w:spacing w:before="0" w:after="283"/>
              <w:jc w:val="left"/>
              <w:rPr/>
            </w:pPr>
            <w:r>
              <w:rPr/>
              <w:t>Name: Pei Min Liu</w:t>
            </w:r>
          </w:p>
        </w:tc>
      </w:tr>
      <w:tr>
        <w:trPr>
          <w:trHeight w:val="240" w:hRule="atLeast"/>
        </w:trPr>
        <w:tc>
          <w:tcPr>
            <w:tcW w:w="4279" w:type="dxa"/>
            <w:tcBorders/>
            <w:vAlign w:val="center"/>
          </w:tcPr>
          <w:p>
            <w:pPr>
              <w:pStyle w:val="TableContents"/>
              <w:bidi w:val="0"/>
              <w:spacing w:before="0" w:after="283"/>
              <w:jc w:val="left"/>
              <w:rPr>
                <w:sz w:val="4"/>
                <w:szCs w:val="4"/>
              </w:rPr>
            </w:pPr>
            <w:r>
              <w:rPr>
                <w:sz w:val="4"/>
                <w:szCs w:val="4"/>
              </w:rPr>
            </w:r>
          </w:p>
        </w:tc>
        <w:tc>
          <w:tcPr>
            <w:tcW w:w="964" w:type="dxa"/>
            <w:gridSpan w:val="2"/>
            <w:tcBorders/>
            <w:vAlign w:val="center"/>
          </w:tcPr>
          <w:p>
            <w:pPr>
              <w:pStyle w:val="TableContents"/>
              <w:bidi w:val="0"/>
              <w:spacing w:before="0" w:after="283"/>
              <w:jc w:val="left"/>
              <w:rPr>
                <w:sz w:val="4"/>
                <w:szCs w:val="4"/>
              </w:rPr>
            </w:pPr>
            <w:r>
              <w:rPr>
                <w:sz w:val="4"/>
                <w:szCs w:val="4"/>
              </w:rPr>
            </w:r>
          </w:p>
        </w:tc>
        <w:tc>
          <w:tcPr>
            <w:tcW w:w="4962" w:type="dxa"/>
            <w:gridSpan w:val="4"/>
            <w:tcBorders/>
            <w:vAlign w:val="center"/>
          </w:tcPr>
          <w:p>
            <w:pPr>
              <w:pStyle w:val="TableContents"/>
              <w:bidi w:val="0"/>
              <w:spacing w:before="0" w:after="283"/>
              <w:jc w:val="left"/>
              <w:rPr>
                <w:sz w:val="4"/>
                <w:szCs w:val="4"/>
              </w:rPr>
            </w:pPr>
            <w:r>
              <w:rPr>
                <w:sz w:val="4"/>
                <w:szCs w:val="4"/>
              </w:rPr>
            </w:r>
          </w:p>
        </w:tc>
      </w:tr>
      <w:tr>
        <w:trPr/>
        <w:tc>
          <w:tcPr>
            <w:tcW w:w="4279"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54" w:type="dxa"/>
            <w:tcBorders/>
          </w:tcPr>
          <w:p>
            <w:pPr>
              <w:pStyle w:val="TableContents"/>
              <w:bidi w:val="0"/>
              <w:spacing w:before="0" w:after="283"/>
              <w:jc w:val="left"/>
              <w:rPr/>
            </w:pPr>
            <w:r>
              <w:rPr/>
              <w:t>Address:</w:t>
            </w:r>
          </w:p>
        </w:tc>
        <w:tc>
          <w:tcPr>
            <w:tcW w:w="110" w:type="dxa"/>
            <w:tcBorders/>
            <w:vAlign w:val="bottom"/>
          </w:tcPr>
          <w:p>
            <w:pPr>
              <w:pStyle w:val="TableContents"/>
              <w:bidi w:val="0"/>
              <w:spacing w:before="0" w:after="283"/>
              <w:jc w:val="left"/>
              <w:rPr/>
            </w:pPr>
            <w:r>
              <w:rPr/>
              <w:t> </w:t>
            </w:r>
          </w:p>
        </w:tc>
        <w:tc>
          <w:tcPr>
            <w:tcW w:w="4852" w:type="dxa"/>
            <w:gridSpan w:val="3"/>
            <w:tcBorders/>
            <w:vAlign w:val="bottom"/>
          </w:tcPr>
          <w:p>
            <w:pPr>
              <w:pStyle w:val="TableContents"/>
              <w:bidi w:val="0"/>
              <w:spacing w:before="0" w:after="283"/>
              <w:jc w:val="left"/>
              <w:rPr/>
            </w:pPr>
            <w:r>
              <w:rPr/>
              <w:t>30C Tower 3, Larvotto, 8 Apleichau Praya Road, Apleichau, Hong Kong</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5"/>
        <w:gridCol w:w="105"/>
        <w:gridCol w:w="803"/>
        <w:gridCol w:w="105"/>
        <w:gridCol w:w="343"/>
        <w:gridCol w:w="106"/>
        <w:gridCol w:w="4448"/>
      </w:tblGrid>
      <w:tr>
        <w:trPr/>
        <w:tc>
          <w:tcPr>
            <w:tcW w:w="429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48" w:type="dxa"/>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INVESTOR: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PERSEVERANCE CG LLC</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4554" w:type="dxa"/>
            <w:gridSpan w:val="2"/>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48" w:type="dxa"/>
            <w:tcBorders>
              <w:bottom w:val="single" w:sz="2" w:space="0" w:color="000000"/>
            </w:tcBorders>
            <w:tcMar>
              <w:bottom w:w="28" w:type="dxa"/>
            </w:tcMar>
            <w:vAlign w:val="bottom"/>
          </w:tcPr>
          <w:p>
            <w:pPr>
              <w:pStyle w:val="TableContents"/>
              <w:bidi w:val="0"/>
              <w:spacing w:before="0" w:after="283"/>
              <w:jc w:val="left"/>
              <w:rPr/>
            </w:pPr>
            <w:r>
              <w:rPr/>
              <w:t>/s/ Ben Shyong</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pPr>
            <w:r>
              <w:rPr/>
              <w:t>Name: Ben Shyong</w:t>
            </w:r>
          </w:p>
        </w:tc>
      </w:tr>
      <w:tr>
        <w:trPr/>
        <w:tc>
          <w:tcPr>
            <w:tcW w:w="429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vAlign w:val="bottom"/>
          </w:tcPr>
          <w:p>
            <w:pPr>
              <w:pStyle w:val="TableContents"/>
              <w:bidi w:val="0"/>
              <w:spacing w:before="0" w:after="283"/>
              <w:jc w:val="left"/>
              <w:rPr/>
            </w:pPr>
            <w:r>
              <w:rPr/>
              <w:t>Title: Partner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PERSEVERANCE CAPITAL MANAGEMENT LLC</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4554" w:type="dxa"/>
            <w:gridSpan w:val="2"/>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48" w:type="dxa"/>
            <w:tcBorders>
              <w:bottom w:val="single" w:sz="2" w:space="0" w:color="000000"/>
            </w:tcBorders>
            <w:tcMar>
              <w:bottom w:w="28" w:type="dxa"/>
            </w:tcMar>
            <w:vAlign w:val="bottom"/>
          </w:tcPr>
          <w:p>
            <w:pPr>
              <w:pStyle w:val="TableContents"/>
              <w:bidi w:val="0"/>
              <w:spacing w:before="0" w:after="283"/>
              <w:jc w:val="left"/>
              <w:rPr/>
            </w:pPr>
            <w:r>
              <w:rPr/>
              <w:t>/s/ Ben Shyong</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pPr>
            <w:r>
              <w:rPr/>
              <w:t>Name: Ben Shyong</w:t>
            </w:r>
          </w:p>
        </w:tc>
      </w:tr>
      <w:tr>
        <w:trPr/>
        <w:tc>
          <w:tcPr>
            <w:tcW w:w="429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vAlign w:val="bottom"/>
          </w:tcPr>
          <w:p>
            <w:pPr>
              <w:pStyle w:val="TableContents"/>
              <w:bidi w:val="0"/>
              <w:spacing w:before="0" w:after="283"/>
              <w:jc w:val="left"/>
              <w:rPr/>
            </w:pPr>
            <w:r>
              <w:rPr/>
              <w:t>Title: Partner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pPr>
            <w:r>
              <w:rPr/>
              <w:t>Address:</w:t>
            </w:r>
          </w:p>
        </w:tc>
        <w:tc>
          <w:tcPr>
            <w:tcW w:w="105" w:type="dxa"/>
            <w:tcBorders/>
            <w:vAlign w:val="bottom"/>
          </w:tcPr>
          <w:p>
            <w:pPr>
              <w:pStyle w:val="TableContents"/>
              <w:bidi w:val="0"/>
              <w:spacing w:before="0" w:after="283"/>
              <w:jc w:val="left"/>
              <w:rPr/>
            </w:pPr>
            <w:r>
              <w:rPr/>
              <w:t> </w:t>
            </w:r>
          </w:p>
        </w:tc>
        <w:tc>
          <w:tcPr>
            <w:tcW w:w="4897" w:type="dxa"/>
            <w:gridSpan w:val="3"/>
            <w:tcBorders/>
            <w:vAlign w:val="bottom"/>
          </w:tcPr>
          <w:p>
            <w:pPr>
              <w:pStyle w:val="TableContents"/>
              <w:bidi w:val="0"/>
              <w:spacing w:before="0" w:after="283"/>
              <w:jc w:val="left"/>
              <w:rPr/>
            </w:pPr>
            <w:r>
              <w:rPr/>
              <w:t>600 N Broad St Ste 5 #2122</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pPr>
            <w:r>
              <w:rPr/>
              <w:t>Middletown, DE 19709</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5"/>
        <w:gridCol w:w="105"/>
        <w:gridCol w:w="803"/>
        <w:gridCol w:w="105"/>
        <w:gridCol w:w="343"/>
        <w:gridCol w:w="106"/>
        <w:gridCol w:w="4448"/>
      </w:tblGrid>
      <w:tr>
        <w:trPr/>
        <w:tc>
          <w:tcPr>
            <w:tcW w:w="429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48" w:type="dxa"/>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INVESTOR: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PERSEVERANCE FUND LLCSERIES 1</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b/>
              </w:rPr>
            </w:pPr>
            <w:r>
              <w:rPr>
                <w:b/>
              </w:rPr>
              <w:t>By: Perseverance Investments LLC, its</w:t>
              <w:br/>
              <w:t>Managing member</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4554" w:type="dxa"/>
            <w:gridSpan w:val="2"/>
            <w:tcBorders/>
            <w:vAlign w:val="center"/>
          </w:tcPr>
          <w:p>
            <w:pPr>
              <w:pStyle w:val="TableContents"/>
              <w:bidi w:val="0"/>
              <w:spacing w:before="0" w:after="283"/>
              <w:jc w:val="left"/>
              <w:rPr>
                <w:sz w:val="4"/>
                <w:szCs w:val="4"/>
              </w:rPr>
            </w:pPr>
            <w:r>
              <w:rPr>
                <w:sz w:val="4"/>
                <w:szCs w:val="4"/>
              </w:rPr>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48" w:type="dxa"/>
            <w:tcBorders>
              <w:bottom w:val="single" w:sz="2" w:space="0" w:color="000000"/>
            </w:tcBorders>
            <w:tcMar>
              <w:bottom w:w="28" w:type="dxa"/>
            </w:tcMar>
            <w:vAlign w:val="bottom"/>
          </w:tcPr>
          <w:p>
            <w:pPr>
              <w:pStyle w:val="TableContents"/>
              <w:bidi w:val="0"/>
              <w:spacing w:before="0" w:after="283"/>
              <w:jc w:val="left"/>
              <w:rPr/>
            </w:pPr>
            <w:r>
              <w:rPr/>
              <w:t>/s/ Ben Shyong</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pPr>
            <w:r>
              <w:rPr/>
              <w:t>Name: Ben Shyong</w:t>
            </w:r>
          </w:p>
        </w:tc>
      </w:tr>
      <w:tr>
        <w:trPr/>
        <w:tc>
          <w:tcPr>
            <w:tcW w:w="429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vAlign w:val="bottom"/>
          </w:tcPr>
          <w:p>
            <w:pPr>
              <w:pStyle w:val="TableContents"/>
              <w:bidi w:val="0"/>
              <w:spacing w:before="0" w:after="283"/>
              <w:jc w:val="left"/>
              <w:rPr/>
            </w:pPr>
            <w:r>
              <w:rPr/>
              <w:t>Title: Authorized Signatory</w:t>
            </w:r>
          </w:p>
        </w:tc>
      </w:tr>
      <w:tr>
        <w:trPr>
          <w:trHeight w:val="240" w:hRule="atLeast"/>
        </w:trPr>
        <w:tc>
          <w:tcPr>
            <w:tcW w:w="4295"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r>
      <w:tr>
        <w:trPr/>
        <w:tc>
          <w:tcPr>
            <w:tcW w:w="429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pPr>
            <w:r>
              <w:rPr/>
              <w:t>Address:</w:t>
            </w:r>
          </w:p>
        </w:tc>
        <w:tc>
          <w:tcPr>
            <w:tcW w:w="105" w:type="dxa"/>
            <w:tcBorders/>
            <w:vAlign w:val="bottom"/>
          </w:tcPr>
          <w:p>
            <w:pPr>
              <w:pStyle w:val="TableContents"/>
              <w:bidi w:val="0"/>
              <w:spacing w:before="0" w:after="283"/>
              <w:jc w:val="left"/>
              <w:rPr/>
            </w:pPr>
            <w:r>
              <w:rPr/>
              <w:t> </w:t>
            </w:r>
          </w:p>
        </w:tc>
        <w:tc>
          <w:tcPr>
            <w:tcW w:w="4897" w:type="dxa"/>
            <w:gridSpan w:val="3"/>
            <w:tcBorders/>
            <w:vAlign w:val="bottom"/>
          </w:tcPr>
          <w:p>
            <w:pPr>
              <w:pStyle w:val="TableContents"/>
              <w:bidi w:val="0"/>
              <w:spacing w:before="0" w:after="283"/>
              <w:jc w:val="left"/>
              <w:rPr/>
            </w:pPr>
            <w:r>
              <w:rPr/>
              <w:t>Perseverance Fund LLCSeries 1</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Canopy</w:t>
            </w:r>
          </w:p>
          <w:p>
            <w:pPr>
              <w:pStyle w:val="TableContents"/>
              <w:bidi w:val="0"/>
              <w:spacing w:before="0" w:after="20"/>
              <w:jc w:val="left"/>
              <w:rPr>
                <w:rFonts w:ascii="Times New Roman" w:hAnsi="Times New Roman"/>
                <w:sz w:val="20"/>
              </w:rPr>
            </w:pPr>
            <w:r>
              <w:rPr>
                <w:rFonts w:ascii="Times New Roman" w:hAnsi="Times New Roman"/>
                <w:sz w:val="20"/>
              </w:rPr>
              <w:t>8 The Green, Suite #13283</w:t>
            </w:r>
          </w:p>
        </w:tc>
      </w:tr>
      <w:tr>
        <w:trPr/>
        <w:tc>
          <w:tcPr>
            <w:tcW w:w="429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97" w:type="dxa"/>
            <w:gridSpan w:val="3"/>
            <w:tcBorders/>
          </w:tcPr>
          <w:p>
            <w:pPr>
              <w:pStyle w:val="TableContents"/>
              <w:bidi w:val="0"/>
              <w:spacing w:before="0" w:after="283"/>
              <w:jc w:val="left"/>
              <w:rPr/>
            </w:pPr>
            <w:r>
              <w:rPr/>
              <w:t>Dover, Delaware, 19901, United States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2"/>
        <w:gridCol w:w="106"/>
        <w:gridCol w:w="813"/>
        <w:gridCol w:w="106"/>
        <w:gridCol w:w="341"/>
        <w:gridCol w:w="106"/>
        <w:gridCol w:w="4441"/>
      </w:tblGrid>
      <w:tr>
        <w:trPr/>
        <w:tc>
          <w:tcPr>
            <w:tcW w:w="429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b/>
              </w:rPr>
            </w:pPr>
            <w:r>
              <w:rPr>
                <w:b/>
              </w:rPr>
              <w:t>INVESTOR:</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994" w:type="dxa"/>
            <w:gridSpan w:val="4"/>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b/>
              </w:rPr>
            </w:pPr>
            <w:r>
              <w:rPr>
                <w:b/>
              </w:rPr>
              <w:t>RA CAPITAL HEALTHCARE FUND, L.P.</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994" w:type="dxa"/>
            <w:gridSpan w:val="4"/>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By: RA Capital Healthcare Fund GP, LLC</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Its: General Partner</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47" w:type="dxa"/>
            <w:gridSpan w:val="2"/>
            <w:tcBorders/>
            <w:vAlign w:val="center"/>
          </w:tcPr>
          <w:p>
            <w:pPr>
              <w:pStyle w:val="TableContents"/>
              <w:bidi w:val="0"/>
              <w:spacing w:before="0" w:after="283"/>
              <w:jc w:val="left"/>
              <w:rPr>
                <w:sz w:val="4"/>
                <w:szCs w:val="4"/>
              </w:rPr>
            </w:pPr>
            <w:r>
              <w:rPr>
                <w:sz w:val="4"/>
                <w:szCs w:val="4"/>
              </w:rPr>
            </w:r>
          </w:p>
        </w:tc>
        <w:tc>
          <w:tcPr>
            <w:tcW w:w="4547" w:type="dxa"/>
            <w:gridSpan w:val="2"/>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41" w:type="dxa"/>
            <w:tcBorders>
              <w:bottom w:val="single" w:sz="2" w:space="0" w:color="000000"/>
            </w:tcBorders>
            <w:tcMar>
              <w:bottom w:w="28" w:type="dxa"/>
            </w:tcMar>
            <w:vAlign w:val="bottom"/>
          </w:tcPr>
          <w:p>
            <w:pPr>
              <w:pStyle w:val="TableContents"/>
              <w:bidi w:val="0"/>
              <w:spacing w:before="0" w:after="283"/>
              <w:jc w:val="left"/>
              <w:rPr/>
            </w:pPr>
            <w:r>
              <w:rPr/>
              <w:t>/s/ Rajeev Shah</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Name: Rajeev Shah</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Title: Manager</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994" w:type="dxa"/>
            <w:gridSpan w:val="4"/>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b/>
              </w:rPr>
            </w:pPr>
            <w:r>
              <w:rPr>
                <w:b/>
              </w:rPr>
              <w:t>RA CAPITAL NEXUS FUND III, L.P.</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994" w:type="dxa"/>
            <w:gridSpan w:val="4"/>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By: RA Capital Nexus Fund III GP, LLC</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Its: General Partner</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47" w:type="dxa"/>
            <w:gridSpan w:val="2"/>
            <w:tcBorders/>
            <w:vAlign w:val="center"/>
          </w:tcPr>
          <w:p>
            <w:pPr>
              <w:pStyle w:val="TableContents"/>
              <w:bidi w:val="0"/>
              <w:spacing w:before="0" w:after="283"/>
              <w:jc w:val="left"/>
              <w:rPr>
                <w:sz w:val="4"/>
                <w:szCs w:val="4"/>
              </w:rPr>
            </w:pPr>
            <w:r>
              <w:rPr>
                <w:sz w:val="4"/>
                <w:szCs w:val="4"/>
              </w:rPr>
            </w:r>
          </w:p>
        </w:tc>
        <w:tc>
          <w:tcPr>
            <w:tcW w:w="4547" w:type="dxa"/>
            <w:gridSpan w:val="2"/>
            <w:tcBorders/>
            <w:vAlign w:val="center"/>
          </w:tcPr>
          <w:p>
            <w:pPr>
              <w:pStyle w:val="TableContents"/>
              <w:bidi w:val="0"/>
              <w:spacing w:before="0" w:after="283"/>
              <w:jc w:val="left"/>
              <w:rPr>
                <w:sz w:val="4"/>
                <w:szCs w:val="4"/>
              </w:rPr>
            </w:pPr>
            <w:r>
              <w:rPr>
                <w:sz w:val="4"/>
                <w:szCs w:val="4"/>
              </w:rPr>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41" w:type="dxa"/>
            <w:tcBorders>
              <w:bottom w:val="single" w:sz="2" w:space="0" w:color="000000"/>
            </w:tcBorders>
            <w:tcMar>
              <w:bottom w:w="28" w:type="dxa"/>
            </w:tcMar>
            <w:vAlign w:val="bottom"/>
          </w:tcPr>
          <w:p>
            <w:pPr>
              <w:pStyle w:val="TableContents"/>
              <w:bidi w:val="0"/>
              <w:spacing w:before="0" w:after="283"/>
              <w:jc w:val="left"/>
              <w:rPr/>
            </w:pPr>
            <w:r>
              <w:rPr/>
              <w:t>/s/ Rajeev Shah</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Name: Rajeev Shah</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Title: Manager</w:t>
            </w:r>
          </w:p>
        </w:tc>
      </w:tr>
      <w:tr>
        <w:trPr>
          <w:trHeight w:val="240" w:hRule="atLeast"/>
        </w:trPr>
        <w:tc>
          <w:tcPr>
            <w:tcW w:w="4292" w:type="dxa"/>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4994" w:type="dxa"/>
            <w:gridSpan w:val="4"/>
            <w:tcBorders/>
            <w:vAlign w:val="center"/>
          </w:tcPr>
          <w:p>
            <w:pPr>
              <w:pStyle w:val="TableContents"/>
              <w:bidi w:val="0"/>
              <w:spacing w:before="0" w:after="283"/>
              <w:jc w:val="left"/>
              <w:rPr>
                <w:sz w:val="4"/>
                <w:szCs w:val="4"/>
              </w:rPr>
            </w:pPr>
            <w:r>
              <w:rPr>
                <w:sz w:val="4"/>
                <w:szCs w:val="4"/>
              </w:rPr>
            </w:r>
          </w:p>
        </w:tc>
      </w:tr>
      <w:tr>
        <w:trPr/>
        <w:tc>
          <w:tcPr>
            <w:tcW w:w="4292"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Address:</w:t>
            </w:r>
          </w:p>
        </w:tc>
        <w:tc>
          <w:tcPr>
            <w:tcW w:w="106" w:type="dxa"/>
            <w:tcBorders/>
            <w:vAlign w:val="bottom"/>
          </w:tcPr>
          <w:p>
            <w:pPr>
              <w:pStyle w:val="TableContents"/>
              <w:bidi w:val="0"/>
              <w:spacing w:before="0" w:after="283"/>
              <w:jc w:val="left"/>
              <w:rPr/>
            </w:pPr>
            <w:r>
              <w:rPr/>
              <w:t> </w:t>
            </w:r>
          </w:p>
        </w:tc>
        <w:tc>
          <w:tcPr>
            <w:tcW w:w="4888" w:type="dxa"/>
            <w:gridSpan w:val="3"/>
            <w:tcBorders/>
            <w:vAlign w:val="bottom"/>
          </w:tcPr>
          <w:p>
            <w:pPr>
              <w:pStyle w:val="TableContents"/>
              <w:bidi w:val="0"/>
              <w:spacing w:before="0" w:after="283"/>
              <w:jc w:val="left"/>
              <w:rPr/>
            </w:pPr>
            <w:r>
              <w:rPr/>
              <w:t>RA Capital Management, L.P.</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200 Berkeley Street</w:t>
            </w:r>
          </w:p>
          <w:p>
            <w:pPr>
              <w:pStyle w:val="TableContents"/>
              <w:bidi w:val="0"/>
              <w:spacing w:before="0" w:after="20"/>
              <w:jc w:val="left"/>
              <w:rPr>
                <w:rFonts w:ascii="Times New Roman" w:hAnsi="Times New Roman"/>
                <w:sz w:val="20"/>
              </w:rPr>
            </w:pPr>
            <w:r>
              <w:rPr>
                <w:rFonts w:ascii="Times New Roman" w:hAnsi="Times New Roman"/>
                <w:sz w:val="20"/>
              </w:rPr>
              <w:t>18th Floor</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Boston, MA 02116</w:t>
            </w:r>
          </w:p>
        </w:tc>
      </w:tr>
      <w:tr>
        <w:trPr/>
        <w:tc>
          <w:tcPr>
            <w:tcW w:w="42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88" w:type="dxa"/>
            <w:gridSpan w:val="3"/>
            <w:tcBorders/>
          </w:tcPr>
          <w:p>
            <w:pPr>
              <w:pStyle w:val="TableContents"/>
              <w:bidi w:val="0"/>
              <w:spacing w:before="0" w:after="283"/>
              <w:jc w:val="left"/>
              <w:rPr/>
            </w:pPr>
            <w:r>
              <w:rPr/>
              <w:t>Attn: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7"/>
        <w:gridCol w:w="107"/>
        <w:gridCol w:w="826"/>
        <w:gridCol w:w="107"/>
        <w:gridCol w:w="346"/>
        <w:gridCol w:w="107"/>
        <w:gridCol w:w="4415"/>
      </w:tblGrid>
      <w:tr>
        <w:trPr/>
        <w:tc>
          <w:tcPr>
            <w:tcW w:w="429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15" w:type="dxa"/>
            <w:tcBorders/>
            <w:vAlign w:val="center"/>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68" w:type="dxa"/>
            <w:gridSpan w:val="3"/>
            <w:tcBorders/>
          </w:tcPr>
          <w:p>
            <w:pPr>
              <w:pStyle w:val="TableContents"/>
              <w:bidi w:val="0"/>
              <w:spacing w:before="0" w:after="283"/>
              <w:jc w:val="left"/>
              <w:rPr>
                <w:b/>
              </w:rPr>
            </w:pPr>
            <w:r>
              <w:rPr>
                <w:b/>
              </w:rPr>
              <w:t>INVESTOR:</w:t>
            </w:r>
          </w:p>
        </w:tc>
      </w:tr>
      <w:tr>
        <w:trPr>
          <w:trHeight w:val="240" w:hRule="atLeast"/>
        </w:trPr>
        <w:tc>
          <w:tcPr>
            <w:tcW w:w="4297"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4975" w:type="dxa"/>
            <w:gridSpan w:val="4"/>
            <w:tcBorders/>
            <w:vAlign w:val="center"/>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68" w:type="dxa"/>
            <w:gridSpan w:val="3"/>
            <w:tcBorders/>
          </w:tcPr>
          <w:p>
            <w:pPr>
              <w:pStyle w:val="TableContents"/>
              <w:bidi w:val="0"/>
              <w:spacing w:before="0" w:after="283"/>
              <w:jc w:val="left"/>
              <w:rPr>
                <w:b/>
              </w:rPr>
            </w:pPr>
            <w:r>
              <w:rPr>
                <w:b/>
              </w:rPr>
              <w:t>SHINY CROWN LIMITED</w:t>
            </w:r>
          </w:p>
        </w:tc>
      </w:tr>
      <w:tr>
        <w:trPr>
          <w:trHeight w:val="240" w:hRule="atLeast"/>
        </w:trPr>
        <w:tc>
          <w:tcPr>
            <w:tcW w:w="4297"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453" w:type="dxa"/>
            <w:gridSpan w:val="2"/>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415" w:type="dxa"/>
            <w:tcBorders>
              <w:bottom w:val="single" w:sz="2" w:space="0" w:color="000000"/>
            </w:tcBorders>
            <w:tcMar>
              <w:bottom w:w="28" w:type="dxa"/>
            </w:tcMar>
            <w:vAlign w:val="bottom"/>
          </w:tcPr>
          <w:p>
            <w:pPr>
              <w:pStyle w:val="TableContents"/>
              <w:bidi w:val="0"/>
              <w:spacing w:before="0" w:after="283"/>
              <w:jc w:val="left"/>
              <w:rPr/>
            </w:pPr>
            <w:r>
              <w:rPr/>
              <w:t>/s/ Yulan Su</w:t>
            </w:r>
          </w:p>
        </w:tc>
      </w:tr>
      <w:tr>
        <w:trPr/>
        <w:tc>
          <w:tcPr>
            <w:tcW w:w="429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68" w:type="dxa"/>
            <w:gridSpan w:val="3"/>
            <w:tcBorders/>
          </w:tcPr>
          <w:p>
            <w:pPr>
              <w:pStyle w:val="TableContents"/>
              <w:bidi w:val="0"/>
              <w:spacing w:before="0" w:after="283"/>
              <w:jc w:val="left"/>
              <w:rPr/>
            </w:pPr>
            <w:r>
              <w:rPr/>
              <w:t>Name: Yulan Su</w:t>
            </w:r>
          </w:p>
        </w:tc>
      </w:tr>
      <w:tr>
        <w:trPr/>
        <w:tc>
          <w:tcPr>
            <w:tcW w:w="429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68" w:type="dxa"/>
            <w:gridSpan w:val="3"/>
            <w:tcBorders/>
          </w:tcPr>
          <w:p>
            <w:pPr>
              <w:pStyle w:val="TableContents"/>
              <w:bidi w:val="0"/>
              <w:spacing w:before="0" w:after="283"/>
              <w:jc w:val="left"/>
              <w:rPr/>
            </w:pPr>
            <w:r>
              <w:rPr/>
              <w:t>Title: Director</w:t>
            </w:r>
          </w:p>
        </w:tc>
      </w:tr>
      <w:tr>
        <w:trPr>
          <w:trHeight w:val="240" w:hRule="atLeast"/>
        </w:trPr>
        <w:tc>
          <w:tcPr>
            <w:tcW w:w="4297"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4975" w:type="dxa"/>
            <w:gridSpan w:val="4"/>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26" w:type="dxa"/>
            <w:tcBorders/>
          </w:tcPr>
          <w:p>
            <w:pPr>
              <w:pStyle w:val="TableContents"/>
              <w:bidi w:val="0"/>
              <w:spacing w:before="0" w:after="283"/>
              <w:jc w:val="left"/>
              <w:rPr/>
            </w:pPr>
            <w:r>
              <w:rPr/>
              <w:t>Address:</w:t>
            </w:r>
          </w:p>
        </w:tc>
        <w:tc>
          <w:tcPr>
            <w:tcW w:w="107" w:type="dxa"/>
            <w:tcBorders/>
            <w:vAlign w:val="bottom"/>
          </w:tcPr>
          <w:p>
            <w:pPr>
              <w:pStyle w:val="TableContents"/>
              <w:bidi w:val="0"/>
              <w:spacing w:before="0" w:after="283"/>
              <w:jc w:val="left"/>
              <w:rPr/>
            </w:pPr>
            <w:r>
              <w:rPr/>
              <w:t> </w:t>
            </w:r>
          </w:p>
        </w:tc>
        <w:tc>
          <w:tcPr>
            <w:tcW w:w="486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6F, No. 11, Lane 186, Ren-Ai Road, Yong-He</w:t>
            </w:r>
          </w:p>
          <w:p>
            <w:pPr>
              <w:pStyle w:val="TableContents"/>
              <w:bidi w:val="0"/>
              <w:spacing w:before="0" w:after="20"/>
              <w:jc w:val="left"/>
              <w:rPr>
                <w:rFonts w:ascii="Times New Roman" w:hAnsi="Times New Roman"/>
                <w:sz w:val="20"/>
              </w:rPr>
            </w:pPr>
            <w:r>
              <w:rPr>
                <w:rFonts w:ascii="Times New Roman" w:hAnsi="Times New Roman"/>
                <w:sz w:val="20"/>
              </w:rPr>
              <w:t>District, New Taipei City, TWN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19"/>
        <w:gridCol w:w="120"/>
        <w:gridCol w:w="1048"/>
        <w:gridCol w:w="120"/>
        <w:gridCol w:w="566"/>
        <w:gridCol w:w="137"/>
        <w:gridCol w:w="4295"/>
      </w:tblGrid>
      <w:tr>
        <w:trPr/>
        <w:tc>
          <w:tcPr>
            <w:tcW w:w="39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4295" w:type="dxa"/>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98" w:type="dxa"/>
            <w:gridSpan w:val="3"/>
            <w:tcBorders/>
          </w:tcPr>
          <w:p>
            <w:pPr>
              <w:pStyle w:val="TableContents"/>
              <w:bidi w:val="0"/>
              <w:spacing w:before="0" w:after="283"/>
              <w:jc w:val="left"/>
              <w:rPr/>
            </w:pPr>
            <w:r>
              <w:rPr>
                <w:b/>
              </w:rPr>
              <w:t>INVESTOR</w:t>
            </w:r>
            <w:r>
              <w:rPr/>
              <w:t>:</w:t>
            </w:r>
          </w:p>
        </w:tc>
      </w:tr>
      <w:tr>
        <w:trPr>
          <w:trHeight w:val="240" w:hRule="atLeast"/>
        </w:trPr>
        <w:tc>
          <w:tcPr>
            <w:tcW w:w="3919" w:type="dxa"/>
            <w:tcBorders/>
            <w:vAlign w:val="center"/>
          </w:tcPr>
          <w:p>
            <w:pPr>
              <w:pStyle w:val="TableContents"/>
              <w:bidi w:val="0"/>
              <w:spacing w:before="0" w:after="283"/>
              <w:jc w:val="left"/>
              <w:rPr>
                <w:sz w:val="4"/>
                <w:szCs w:val="4"/>
              </w:rPr>
            </w:pPr>
            <w:r>
              <w:rPr>
                <w:sz w:val="4"/>
                <w:szCs w:val="4"/>
              </w:rPr>
            </w:r>
          </w:p>
        </w:tc>
        <w:tc>
          <w:tcPr>
            <w:tcW w:w="1168" w:type="dxa"/>
            <w:gridSpan w:val="2"/>
            <w:tcBorders/>
            <w:vAlign w:val="center"/>
          </w:tcPr>
          <w:p>
            <w:pPr>
              <w:pStyle w:val="TableContents"/>
              <w:bidi w:val="0"/>
              <w:spacing w:before="0" w:after="283"/>
              <w:jc w:val="left"/>
              <w:rPr>
                <w:sz w:val="4"/>
                <w:szCs w:val="4"/>
              </w:rPr>
            </w:pPr>
            <w:r>
              <w:rPr>
                <w:sz w:val="4"/>
                <w:szCs w:val="4"/>
              </w:rPr>
            </w:r>
          </w:p>
        </w:tc>
        <w:tc>
          <w:tcPr>
            <w:tcW w:w="5118"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98" w:type="dxa"/>
            <w:gridSpan w:val="3"/>
            <w:tcBorders/>
          </w:tcPr>
          <w:p>
            <w:pPr>
              <w:pStyle w:val="TableContents"/>
              <w:bidi w:val="0"/>
              <w:spacing w:before="0" w:after="283"/>
              <w:jc w:val="left"/>
              <w:rPr>
                <w:b/>
              </w:rPr>
            </w:pPr>
            <w:r>
              <w:rPr>
                <w:b/>
              </w:rPr>
              <w:t>SLEEPING BEAUTY LIMITED</w:t>
            </w:r>
          </w:p>
        </w:tc>
      </w:tr>
      <w:tr>
        <w:trPr>
          <w:trHeight w:val="240" w:hRule="atLeast"/>
        </w:trPr>
        <w:tc>
          <w:tcPr>
            <w:tcW w:w="3919" w:type="dxa"/>
            <w:tcBorders/>
            <w:vAlign w:val="center"/>
          </w:tcPr>
          <w:p>
            <w:pPr>
              <w:pStyle w:val="TableContents"/>
              <w:bidi w:val="0"/>
              <w:spacing w:before="0" w:after="283"/>
              <w:jc w:val="left"/>
              <w:rPr>
                <w:sz w:val="4"/>
                <w:szCs w:val="4"/>
              </w:rPr>
            </w:pPr>
            <w:r>
              <w:rPr>
                <w:sz w:val="4"/>
                <w:szCs w:val="4"/>
              </w:rPr>
            </w:r>
          </w:p>
        </w:tc>
        <w:tc>
          <w:tcPr>
            <w:tcW w:w="1168" w:type="dxa"/>
            <w:gridSpan w:val="2"/>
            <w:tcBorders/>
            <w:vAlign w:val="center"/>
          </w:tcPr>
          <w:p>
            <w:pPr>
              <w:pStyle w:val="TableContents"/>
              <w:bidi w:val="0"/>
              <w:spacing w:before="0" w:after="283"/>
              <w:jc w:val="left"/>
              <w:rPr>
                <w:sz w:val="4"/>
                <w:szCs w:val="4"/>
              </w:rPr>
            </w:pPr>
            <w:r>
              <w:rPr>
                <w:sz w:val="4"/>
                <w:szCs w:val="4"/>
              </w:rPr>
            </w:r>
          </w:p>
        </w:tc>
        <w:tc>
          <w:tcPr>
            <w:tcW w:w="686" w:type="dxa"/>
            <w:gridSpan w:val="2"/>
            <w:tcBorders/>
            <w:vAlign w:val="center"/>
          </w:tcPr>
          <w:p>
            <w:pPr>
              <w:pStyle w:val="TableContents"/>
              <w:bidi w:val="0"/>
              <w:spacing w:before="0" w:after="283"/>
              <w:jc w:val="left"/>
              <w:rPr>
                <w:sz w:val="4"/>
                <w:szCs w:val="4"/>
              </w:rPr>
            </w:pPr>
            <w:r>
              <w:rPr>
                <w:sz w:val="4"/>
                <w:szCs w:val="4"/>
              </w:rPr>
            </w:r>
          </w:p>
        </w:tc>
        <w:tc>
          <w:tcPr>
            <w:tcW w:w="4432" w:type="dxa"/>
            <w:gridSpan w:val="2"/>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By:</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4295" w:type="dxa"/>
            <w:tcBorders>
              <w:bottom w:val="single" w:sz="2" w:space="0" w:color="000000"/>
            </w:tcBorders>
            <w:tcMar>
              <w:bottom w:w="28" w:type="dxa"/>
            </w:tcMar>
            <w:vAlign w:val="bottom"/>
          </w:tcPr>
          <w:p>
            <w:pPr>
              <w:pStyle w:val="TableContents"/>
              <w:bidi w:val="0"/>
              <w:spacing w:before="0" w:after="283"/>
              <w:jc w:val="left"/>
              <w:rPr/>
            </w:pPr>
            <w:r>
              <w:rPr/>
              <w:t>/s/ Cheng Ying Pin</w:t>
            </w:r>
          </w:p>
        </w:tc>
      </w:tr>
      <w:tr>
        <w:trPr/>
        <w:tc>
          <w:tcPr>
            <w:tcW w:w="391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98" w:type="dxa"/>
            <w:gridSpan w:val="3"/>
            <w:tcBorders/>
            <w:vAlign w:val="bottom"/>
          </w:tcPr>
          <w:p>
            <w:pPr>
              <w:pStyle w:val="TableContents"/>
              <w:bidi w:val="0"/>
              <w:spacing w:before="0" w:after="283"/>
              <w:jc w:val="left"/>
              <w:rPr/>
            </w:pPr>
            <w:r>
              <w:rPr/>
              <w:t>Name: Cheng Ying Pin</w:t>
            </w:r>
          </w:p>
        </w:tc>
      </w:tr>
      <w:tr>
        <w:trPr/>
        <w:tc>
          <w:tcPr>
            <w:tcW w:w="39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98" w:type="dxa"/>
            <w:gridSpan w:val="3"/>
            <w:tcBorders/>
          </w:tcPr>
          <w:p>
            <w:pPr>
              <w:pStyle w:val="TableContents"/>
              <w:bidi w:val="0"/>
              <w:spacing w:before="0" w:after="283"/>
              <w:jc w:val="left"/>
              <w:rPr/>
            </w:pPr>
            <w:r>
              <w:rPr/>
              <w:t>Title: Sole Director</w:t>
            </w:r>
          </w:p>
        </w:tc>
      </w:tr>
      <w:tr>
        <w:trPr>
          <w:trHeight w:val="240" w:hRule="atLeast"/>
        </w:trPr>
        <w:tc>
          <w:tcPr>
            <w:tcW w:w="3919" w:type="dxa"/>
            <w:tcBorders/>
            <w:vAlign w:val="center"/>
          </w:tcPr>
          <w:p>
            <w:pPr>
              <w:pStyle w:val="TableContents"/>
              <w:bidi w:val="0"/>
              <w:spacing w:before="0" w:after="283"/>
              <w:jc w:val="left"/>
              <w:rPr>
                <w:sz w:val="4"/>
                <w:szCs w:val="4"/>
              </w:rPr>
            </w:pPr>
            <w:r>
              <w:rPr>
                <w:sz w:val="4"/>
                <w:szCs w:val="4"/>
              </w:rPr>
            </w:r>
          </w:p>
        </w:tc>
        <w:tc>
          <w:tcPr>
            <w:tcW w:w="1168" w:type="dxa"/>
            <w:gridSpan w:val="2"/>
            <w:tcBorders/>
            <w:vAlign w:val="center"/>
          </w:tcPr>
          <w:p>
            <w:pPr>
              <w:pStyle w:val="TableContents"/>
              <w:bidi w:val="0"/>
              <w:spacing w:before="0" w:after="283"/>
              <w:jc w:val="left"/>
              <w:rPr>
                <w:sz w:val="4"/>
                <w:szCs w:val="4"/>
              </w:rPr>
            </w:pPr>
            <w:r>
              <w:rPr>
                <w:sz w:val="4"/>
                <w:szCs w:val="4"/>
              </w:rPr>
            </w:r>
          </w:p>
        </w:tc>
        <w:tc>
          <w:tcPr>
            <w:tcW w:w="5118"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998" w:type="dxa"/>
            <w:gridSpan w:val="3"/>
            <w:tcBorders/>
          </w:tcPr>
          <w:p>
            <w:pPr>
              <w:pStyle w:val="TableContents"/>
              <w:bidi w:val="0"/>
              <w:spacing w:before="0" w:after="283"/>
              <w:jc w:val="left"/>
              <w:rPr/>
            </w:pPr>
            <w:r>
              <w:rPr/>
              <w:t>10F, No.337, Fuxing North Road</w:t>
            </w:r>
          </w:p>
        </w:tc>
      </w:tr>
      <w:tr>
        <w:trPr/>
        <w:tc>
          <w:tcPr>
            <w:tcW w:w="39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98" w:type="dxa"/>
            <w:gridSpan w:val="3"/>
            <w:tcBorders/>
          </w:tcPr>
          <w:p>
            <w:pPr>
              <w:pStyle w:val="TableContents"/>
              <w:bidi w:val="0"/>
              <w:spacing w:before="0" w:after="283"/>
              <w:jc w:val="left"/>
              <w:rPr/>
            </w:pPr>
            <w:r>
              <w:rPr/>
              <w:t>Song-shan Dist. Taipei City, Taiwan 10544</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89"/>
        <w:gridCol w:w="101"/>
        <w:gridCol w:w="408"/>
        <w:gridCol w:w="102"/>
        <w:gridCol w:w="714"/>
        <w:gridCol w:w="101"/>
        <w:gridCol w:w="4390"/>
      </w:tblGrid>
      <w:tr>
        <w:trPr/>
        <w:tc>
          <w:tcPr>
            <w:tcW w:w="43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90" w:type="dxa"/>
            <w:tcBorders/>
            <w:vAlign w:val="center"/>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90"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INVESTOR</w:t>
            </w:r>
            <w:r>
              <w:rPr>
                <w:rFonts w:ascii="Times New Roman" w:hAnsi="Times New Roman"/>
                <w:sz w:val="20"/>
              </w:rPr>
              <w:t>:</w:t>
            </w:r>
          </w:p>
        </w:tc>
      </w:tr>
      <w:tr>
        <w:trPr>
          <w:trHeight w:val="240" w:hRule="atLeast"/>
        </w:trPr>
        <w:tc>
          <w:tcPr>
            <w:tcW w:w="438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90" w:type="dxa"/>
            <w:tcBorders/>
          </w:tcPr>
          <w:p>
            <w:pPr>
              <w:pStyle w:val="TableContents"/>
              <w:bidi w:val="0"/>
              <w:spacing w:before="0" w:after="0"/>
              <w:jc w:val="left"/>
              <w:rPr>
                <w:rFonts w:ascii="Times New Roman" w:hAnsi="Times New Roman"/>
                <w:b/>
                <w:sz w:val="20"/>
              </w:rPr>
            </w:pPr>
            <w:r>
              <w:rPr>
                <w:rFonts w:ascii="Times New Roman" w:hAnsi="Times New Roman"/>
                <w:b/>
                <w:sz w:val="20"/>
              </w:rPr>
              <w:t>SONG HONG FANG</w:t>
            </w:r>
          </w:p>
        </w:tc>
      </w:tr>
      <w:tr>
        <w:trPr>
          <w:trHeight w:val="240" w:hRule="atLeast"/>
        </w:trPr>
        <w:tc>
          <w:tcPr>
            <w:tcW w:w="438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39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Song Hong Fang</w:t>
            </w:r>
          </w:p>
        </w:tc>
      </w:tr>
      <w:tr>
        <w:trPr>
          <w:trHeight w:val="240" w:hRule="atLeast"/>
        </w:trPr>
        <w:tc>
          <w:tcPr>
            <w:tcW w:w="438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1" w:type="dxa"/>
            <w:tcBorders/>
            <w:vAlign w:val="bottom"/>
          </w:tcPr>
          <w:p>
            <w:pPr>
              <w:pStyle w:val="TableContents"/>
              <w:bidi w:val="0"/>
              <w:spacing w:before="0" w:after="283"/>
              <w:jc w:val="left"/>
              <w:rPr/>
            </w:pPr>
            <w:r>
              <w:rPr/>
              <w:t> </w:t>
            </w:r>
          </w:p>
        </w:tc>
        <w:tc>
          <w:tcPr>
            <w:tcW w:w="43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4"/>
        <w:gridCol w:w="101"/>
        <w:gridCol w:w="408"/>
        <w:gridCol w:w="101"/>
        <w:gridCol w:w="714"/>
        <w:gridCol w:w="101"/>
        <w:gridCol w:w="510"/>
        <w:gridCol w:w="101"/>
        <w:gridCol w:w="4085"/>
      </w:tblGrid>
      <w:tr>
        <w:trPr/>
        <w:tc>
          <w:tcPr>
            <w:tcW w:w="408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INVESTOR</w:t>
            </w:r>
            <w:r>
              <w:rPr>
                <w:rFonts w:ascii="Times New Roman" w:hAnsi="Times New Roman"/>
                <w:sz w:val="20"/>
              </w:rPr>
              <w:t>:</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4797"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SUPER STRATEGY LIMITED</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KaiYuan Kuo</w:t>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KaiYuan Kuo</w:t>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CEO</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4797" w:type="dxa"/>
            <w:gridSpan w:val="4"/>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0"/>
              <w:jc w:val="left"/>
              <w:rPr>
                <w:rFonts w:ascii="Times New Roman" w:hAnsi="Times New Roman"/>
                <w:sz w:val="20"/>
              </w:rPr>
            </w:pPr>
            <w:r>
              <w:rPr>
                <w:rFonts w:ascii="Times New Roman" w:hAnsi="Times New Roman"/>
                <w:sz w:val="20"/>
              </w:rPr>
              <w:t>Address:</w:t>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16F, 325 JenAi Road, Section 4</w:t>
            </w:r>
          </w:p>
          <w:p>
            <w:pPr>
              <w:pStyle w:val="TableContents"/>
              <w:bidi w:val="0"/>
              <w:spacing w:before="0" w:after="20"/>
              <w:jc w:val="left"/>
              <w:rPr>
                <w:rFonts w:ascii="Times New Roman" w:hAnsi="Times New Roman"/>
                <w:sz w:val="20"/>
              </w:rPr>
            </w:pPr>
            <w:r>
              <w:rPr>
                <w:rFonts w:ascii="Times New Roman" w:hAnsi="Times New Roman"/>
                <w:sz w:val="20"/>
              </w:rPr>
              <w:t>Taipei, TWN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2"/>
        <w:gridCol w:w="408"/>
        <w:gridCol w:w="101"/>
        <w:gridCol w:w="714"/>
        <w:gridCol w:w="101"/>
        <w:gridCol w:w="510"/>
        <w:gridCol w:w="102"/>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INVESTOR</w:t>
            </w:r>
            <w:r>
              <w:rPr>
                <w:rFonts w:ascii="Times New Roman" w:hAnsi="Times New Roman"/>
                <w:sz w:val="20"/>
              </w:rPr>
              <w:t>:</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4797" w:type="dxa"/>
            <w:gridSpan w:val="4"/>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WELLCHAMP FUND LIMITED</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Ronald Yan Tak Angus Cheng</w:t>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2"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Ronald Yan Tak Angus Cheng</w:t>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2"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4797" w:type="dxa"/>
            <w:gridSpan w:val="4"/>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0"/>
              <w:jc w:val="left"/>
              <w:rPr>
                <w:rFonts w:ascii="Times New Roman" w:hAnsi="Times New Roman"/>
                <w:sz w:val="20"/>
              </w:rPr>
            </w:pPr>
            <w:r>
              <w:rPr>
                <w:rFonts w:ascii="Times New Roman" w:hAnsi="Times New Roman"/>
                <w:sz w:val="20"/>
              </w:rPr>
              <w:t>Address:</w:t>
            </w:r>
          </w:p>
        </w:tc>
        <w:tc>
          <w:tcPr>
            <w:tcW w:w="101" w:type="dxa"/>
            <w:tcBorders/>
            <w:vAlign w:val="bottom"/>
          </w:tcPr>
          <w:p>
            <w:pPr>
              <w:pStyle w:val="TableContents"/>
              <w:bidi w:val="0"/>
              <w:spacing w:before="0" w:after="283"/>
              <w:jc w:val="left"/>
              <w:rPr/>
            </w:pPr>
            <w:r>
              <w:rPr/>
              <w:t> </w:t>
            </w:r>
          </w:p>
        </w:tc>
        <w:tc>
          <w:tcPr>
            <w:tcW w:w="469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804A, 81F, Worldwide House,</w:t>
            </w:r>
          </w:p>
          <w:p>
            <w:pPr>
              <w:pStyle w:val="TableContents"/>
              <w:bidi w:val="0"/>
              <w:spacing w:before="0" w:after="0"/>
              <w:jc w:val="left"/>
              <w:rPr>
                <w:rFonts w:ascii="Times New Roman" w:hAnsi="Times New Roman"/>
                <w:sz w:val="20"/>
              </w:rPr>
            </w:pPr>
            <w:r>
              <w:rPr>
                <w:rFonts w:ascii="Times New Roman" w:hAnsi="Times New Roman"/>
                <w:sz w:val="20"/>
              </w:rPr>
              <w:t>19 Des Voeux Road Central, Hong Kong</w:t>
            </w:r>
          </w:p>
          <w:p>
            <w:pPr>
              <w:pStyle w:val="TableContents"/>
              <w:bidi w:val="0"/>
              <w:spacing w:before="0" w:after="20"/>
              <w:jc w:val="left"/>
              <w:rPr>
                <w:rFonts w:ascii="Times New Roman" w:hAnsi="Times New Roman"/>
                <w:sz w:val="20"/>
              </w:rPr>
            </w:pPr>
            <w:r>
              <w:rPr>
                <w:rFonts w:ascii="Times New Roman" w:hAnsi="Times New Roman"/>
                <w:sz w:val="20"/>
              </w:rPr>
              <w:t>Central Hong Kong, CHN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OF INVESTORS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u w:val="single"/>
              </w:rPr>
            </w:pPr>
            <w:r>
              <w:rPr>
                <w:u w:val="single"/>
              </w:rPr>
              <w:t>Investor Names</w:t>
            </w:r>
          </w:p>
        </w:tc>
      </w:tr>
      <w:tr>
        <w:trPr/>
        <w:tc>
          <w:tcPr>
            <w:tcW w:w="10205" w:type="dxa"/>
            <w:tcBorders/>
            <w:vAlign w:val="bottom"/>
          </w:tcPr>
          <w:p>
            <w:pPr>
              <w:pStyle w:val="TableContents"/>
              <w:bidi w:val="0"/>
              <w:spacing w:before="0" w:after="283"/>
              <w:jc w:val="left"/>
              <w:rPr/>
            </w:pPr>
            <w:r>
              <w:rPr/>
              <w:t>Aaron Chi-Yu Ni</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ABG II-ColdGen Limited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ABG WTT-CG Limited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ABG-ColdGen Limited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Abundant Supply Global Limited</w:t>
            </w:r>
          </w:p>
        </w:tc>
      </w:tr>
      <w:tr>
        <w:trPr/>
        <w:tc>
          <w:tcPr>
            <w:tcW w:w="10205" w:type="dxa"/>
            <w:tcBorders/>
            <w:vAlign w:val="bottom"/>
          </w:tcPr>
          <w:p>
            <w:pPr>
              <w:pStyle w:val="TableContents"/>
              <w:bidi w:val="0"/>
              <w:spacing w:before="0" w:after="283"/>
              <w:jc w:val="left"/>
              <w:rPr/>
            </w:pPr>
            <w:r>
              <w:rPr/>
              <w:t>Acorn Bioventures 2, L.P.</w:t>
            </w:r>
          </w:p>
        </w:tc>
      </w:tr>
      <w:tr>
        <w:trPr/>
        <w:tc>
          <w:tcPr>
            <w:tcW w:w="10205" w:type="dxa"/>
            <w:tcBorders/>
            <w:vAlign w:val="bottom"/>
          </w:tcPr>
          <w:p>
            <w:pPr>
              <w:pStyle w:val="TableContents"/>
              <w:bidi w:val="0"/>
              <w:spacing w:before="0" w:after="283"/>
              <w:jc w:val="left"/>
              <w:rPr/>
            </w:pPr>
            <w:r>
              <w:rPr/>
              <w:t>Acorn Bioventures, 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Aestas Capital LLC</w:t>
            </w:r>
          </w:p>
        </w:tc>
      </w:tr>
      <w:tr>
        <w:trPr/>
        <w:tc>
          <w:tcPr>
            <w:tcW w:w="10205" w:type="dxa"/>
            <w:tcBorders/>
            <w:vAlign w:val="bottom"/>
          </w:tcPr>
          <w:p>
            <w:pPr>
              <w:pStyle w:val="TableContents"/>
              <w:bidi w:val="0"/>
              <w:spacing w:before="0" w:after="283"/>
              <w:jc w:val="left"/>
              <w:rPr/>
            </w:pPr>
            <w:r>
              <w:rPr/>
              <w:t>AIG DECO Fund II, 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Alex Wah Hin Yeung</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Amazing Key Investments Limited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American Estate &amp; Trust, LC FBO Philip Bendlers IRA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Amplewood Resources Limited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Angeles Direct Equity Fund 1 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Avidity Private Master Fund I LP</w:t>
            </w:r>
          </w:p>
        </w:tc>
      </w:tr>
      <w:tr>
        <w:trPr/>
        <w:tc>
          <w:tcPr>
            <w:tcW w:w="10205" w:type="dxa"/>
            <w:tcBorders/>
            <w:vAlign w:val="bottom"/>
          </w:tcPr>
          <w:p>
            <w:pPr>
              <w:pStyle w:val="TableContents"/>
              <w:bidi w:val="0"/>
              <w:spacing w:before="0" w:after="283"/>
              <w:jc w:val="left"/>
              <w:rPr/>
            </w:pPr>
            <w:r>
              <w:rPr/>
              <w:t>Best Prosper Limited</w:t>
            </w:r>
          </w:p>
        </w:tc>
      </w:tr>
      <w:tr>
        <w:trPr/>
        <w:tc>
          <w:tcPr>
            <w:tcW w:w="10205" w:type="dxa"/>
            <w:tcBorders/>
            <w:vAlign w:val="bottom"/>
          </w:tcPr>
          <w:p>
            <w:pPr>
              <w:pStyle w:val="TableContents"/>
              <w:bidi w:val="0"/>
              <w:spacing w:before="0" w:after="283"/>
              <w:jc w:val="left"/>
              <w:rPr/>
            </w:pPr>
            <w:r>
              <w:rPr/>
              <w:t>Biotechnology Value Fund, L.P.</w:t>
            </w:r>
          </w:p>
        </w:tc>
      </w:tr>
      <w:tr>
        <w:trPr/>
        <w:tc>
          <w:tcPr>
            <w:tcW w:w="10205" w:type="dxa"/>
            <w:tcBorders/>
            <w:vAlign w:val="bottom"/>
          </w:tcPr>
          <w:p>
            <w:pPr>
              <w:pStyle w:val="TableContents"/>
              <w:bidi w:val="0"/>
              <w:spacing w:before="0" w:after="283"/>
              <w:jc w:val="left"/>
              <w:rPr/>
            </w:pPr>
            <w:r>
              <w:rPr/>
              <w:t>Biotechnology Value Fund II, L.P.</w:t>
            </w:r>
          </w:p>
        </w:tc>
      </w:tr>
      <w:tr>
        <w:trPr/>
        <w:tc>
          <w:tcPr>
            <w:tcW w:w="10205" w:type="dxa"/>
            <w:tcBorders/>
            <w:vAlign w:val="bottom"/>
          </w:tcPr>
          <w:p>
            <w:pPr>
              <w:pStyle w:val="TableContents"/>
              <w:bidi w:val="0"/>
              <w:spacing w:before="0" w:after="283"/>
              <w:jc w:val="left"/>
              <w:rPr/>
            </w:pPr>
            <w:r>
              <w:rPr/>
              <w:t>Biotechnology Value Trading Fund OS LP</w:t>
            </w:r>
          </w:p>
        </w:tc>
      </w:tr>
      <w:tr>
        <w:trPr/>
        <w:tc>
          <w:tcPr>
            <w:tcW w:w="10205" w:type="dxa"/>
            <w:tcBorders/>
            <w:vAlign w:val="bottom"/>
          </w:tcPr>
          <w:p>
            <w:pPr>
              <w:pStyle w:val="TableContents"/>
              <w:bidi w:val="0"/>
              <w:spacing w:before="0" w:after="283"/>
              <w:jc w:val="left"/>
              <w:rPr/>
            </w:pPr>
            <w:r>
              <w:rPr/>
              <w:t>MSI BVF SPV, LLC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Charming Jade Limited</w:t>
            </w:r>
          </w:p>
        </w:tc>
      </w:tr>
      <w:tr>
        <w:trPr/>
        <w:tc>
          <w:tcPr>
            <w:tcW w:w="10205" w:type="dxa"/>
            <w:tcBorders/>
            <w:vAlign w:val="bottom"/>
          </w:tcPr>
          <w:p>
            <w:pPr>
              <w:pStyle w:val="TableContents"/>
              <w:bidi w:val="0"/>
              <w:spacing w:before="0" w:after="283"/>
              <w:jc w:val="left"/>
              <w:rPr/>
            </w:pPr>
            <w:r>
              <w:rPr/>
              <w:t>Chih-Wei Wu</w:t>
            </w:r>
          </w:p>
        </w:tc>
      </w:tr>
      <w:tr>
        <w:trPr/>
        <w:tc>
          <w:tcPr>
            <w:tcW w:w="10205" w:type="dxa"/>
            <w:tcBorders/>
            <w:vAlign w:val="bottom"/>
          </w:tcPr>
          <w:p>
            <w:pPr>
              <w:pStyle w:val="TableContents"/>
              <w:bidi w:val="0"/>
              <w:spacing w:before="0" w:after="283"/>
              <w:jc w:val="left"/>
              <w:rPr/>
            </w:pPr>
            <w:r>
              <w:rPr/>
              <w:t>Danhua Capital II LP</w:t>
            </w:r>
          </w:p>
        </w:tc>
      </w:tr>
      <w:tr>
        <w:trPr/>
        <w:tc>
          <w:tcPr>
            <w:tcW w:w="10205" w:type="dxa"/>
            <w:tcBorders/>
            <w:vAlign w:val="bottom"/>
          </w:tcPr>
          <w:p>
            <w:pPr>
              <w:pStyle w:val="TableContents"/>
              <w:bidi w:val="0"/>
              <w:spacing w:before="0" w:after="283"/>
              <w:jc w:val="left"/>
              <w:rPr/>
            </w:pPr>
            <w:r>
              <w:rPr/>
              <w:t>Decheng Capital Global Life Sciences Fund IV, L.P.</w:t>
            </w:r>
          </w:p>
        </w:tc>
      </w:tr>
      <w:tr>
        <w:trPr/>
        <w:tc>
          <w:tcPr>
            <w:tcW w:w="10205" w:type="dxa"/>
            <w:tcBorders/>
            <w:vAlign w:val="bottom"/>
          </w:tcPr>
          <w:p>
            <w:pPr>
              <w:pStyle w:val="TableContents"/>
              <w:bidi w:val="0"/>
              <w:spacing w:before="0" w:after="283"/>
              <w:jc w:val="left"/>
              <w:rPr/>
            </w:pPr>
            <w:r>
              <w:rPr/>
              <w:t>ERCT Life Sciences LLC</w:t>
            </w:r>
          </w:p>
        </w:tc>
      </w:tr>
      <w:tr>
        <w:trPr/>
        <w:tc>
          <w:tcPr>
            <w:tcW w:w="10205" w:type="dxa"/>
            <w:tcBorders/>
            <w:vAlign w:val="bottom"/>
          </w:tcPr>
          <w:p>
            <w:pPr>
              <w:pStyle w:val="TableContents"/>
              <w:bidi w:val="0"/>
              <w:spacing w:before="0" w:after="283"/>
              <w:jc w:val="left"/>
              <w:rPr/>
            </w:pPr>
            <w:r>
              <w:rPr/>
              <w:t>Focus Way Developments Limited</w:t>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Focus Way Developments Limited</w:t>
            </w:r>
          </w:p>
          <w:p>
            <w:pPr>
              <w:pStyle w:val="TableContents"/>
              <w:bidi w:val="0"/>
              <w:spacing w:before="0" w:after="0"/>
              <w:jc w:val="left"/>
              <w:rPr>
                <w:rFonts w:ascii="Times New Roman" w:hAnsi="Times New Roman"/>
                <w:sz w:val="20"/>
              </w:rPr>
            </w:pPr>
            <w:r>
              <w:rPr>
                <w:rFonts w:ascii="Times New Roman" w:hAnsi="Times New Roman"/>
                <w:sz w:val="20"/>
              </w:rPr>
              <w:t>Foresite Capital Fund V, L.P.</w:t>
            </w:r>
          </w:p>
          <w:p>
            <w:pPr>
              <w:pStyle w:val="TableContents"/>
              <w:bidi w:val="0"/>
              <w:spacing w:before="0" w:after="0"/>
              <w:jc w:val="left"/>
              <w:rPr>
                <w:rFonts w:ascii="Times New Roman" w:hAnsi="Times New Roman"/>
                <w:sz w:val="20"/>
              </w:rPr>
            </w:pPr>
            <w:r>
              <w:rPr>
                <w:rFonts w:ascii="Times New Roman" w:hAnsi="Times New Roman"/>
                <w:sz w:val="20"/>
              </w:rPr>
              <w:t>Foresite Capital Opportunity Fund V, L.P.</w:t>
            </w:r>
          </w:p>
          <w:p>
            <w:pPr>
              <w:pStyle w:val="TableContents"/>
              <w:bidi w:val="0"/>
              <w:spacing w:before="0" w:after="20"/>
              <w:jc w:val="left"/>
              <w:rPr>
                <w:rFonts w:ascii="Times New Roman" w:hAnsi="Times New Roman"/>
                <w:sz w:val="20"/>
              </w:rPr>
            </w:pPr>
            <w:r>
              <w:rPr>
                <w:rFonts w:ascii="Times New Roman" w:hAnsi="Times New Roman"/>
                <w:sz w:val="20"/>
              </w:rPr>
              <w:t>Foresite Capital Fund VI, L.P.</w:t>
            </w:r>
          </w:p>
        </w:tc>
      </w:tr>
      <w:tr>
        <w:trPr/>
        <w:tc>
          <w:tcPr>
            <w:tcW w:w="10205" w:type="dxa"/>
            <w:tcBorders/>
            <w:vAlign w:val="bottom"/>
          </w:tcPr>
          <w:p>
            <w:pPr>
              <w:pStyle w:val="TableContents"/>
              <w:bidi w:val="0"/>
              <w:spacing w:before="0" w:after="283"/>
              <w:jc w:val="left"/>
              <w:rPr/>
            </w:pPr>
            <w:r>
              <w:rPr/>
              <w:t>Fortress International Inc.</w:t>
            </w:r>
          </w:p>
        </w:tc>
      </w:tr>
      <w:tr>
        <w:trPr/>
        <w:tc>
          <w:tcPr>
            <w:tcW w:w="10205" w:type="dxa"/>
            <w:tcBorders/>
            <w:vAlign w:val="bottom"/>
          </w:tcPr>
          <w:p>
            <w:pPr>
              <w:pStyle w:val="TableContents"/>
              <w:bidi w:val="0"/>
              <w:spacing w:before="0" w:after="283"/>
              <w:jc w:val="left"/>
              <w:rPr/>
            </w:pPr>
            <w:r>
              <w:rPr/>
              <w:t>Freedom Enterprises Limited</w:t>
            </w:r>
          </w:p>
        </w:tc>
      </w:tr>
      <w:tr>
        <w:trPr/>
        <w:tc>
          <w:tcPr>
            <w:tcW w:w="10205" w:type="dxa"/>
            <w:tcBorders/>
            <w:vAlign w:val="bottom"/>
          </w:tcPr>
          <w:p>
            <w:pPr>
              <w:pStyle w:val="TableContents"/>
              <w:bidi w:val="0"/>
              <w:spacing w:before="0" w:after="283"/>
              <w:jc w:val="left"/>
              <w:rPr/>
            </w:pPr>
            <w:r>
              <w:rPr/>
              <w:t>Gavin Resources Limited</w:t>
            </w:r>
          </w:p>
        </w:tc>
      </w:tr>
      <w:tr>
        <w:trPr/>
        <w:tc>
          <w:tcPr>
            <w:tcW w:w="10205" w:type="dxa"/>
            <w:tcBorders/>
            <w:vAlign w:val="bottom"/>
          </w:tcPr>
          <w:p>
            <w:pPr>
              <w:pStyle w:val="TableContents"/>
              <w:bidi w:val="0"/>
              <w:spacing w:before="0" w:after="283"/>
              <w:jc w:val="left"/>
              <w:rPr/>
            </w:pPr>
            <w:r>
              <w:rPr/>
              <w:t>Hank CK Wuh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u w:val="single"/>
              </w:rPr>
            </w:pPr>
            <w:r>
              <w:rPr>
                <w:u w:val="single"/>
              </w:rPr>
              <w:t>Investor Names</w:t>
            </w:r>
          </w:p>
        </w:tc>
      </w:tr>
      <w:tr>
        <w:trPr/>
        <w:tc>
          <w:tcPr>
            <w:tcW w:w="10205" w:type="dxa"/>
            <w:tcBorders/>
            <w:vAlign w:val="bottom"/>
          </w:tcPr>
          <w:p>
            <w:pPr>
              <w:pStyle w:val="TableContents"/>
              <w:bidi w:val="0"/>
              <w:spacing w:before="0" w:after="283"/>
              <w:jc w:val="left"/>
              <w:rPr/>
            </w:pPr>
            <w:r>
              <w:rPr/>
              <w:t>Ipolis Commercial Ltd.</w:t>
            </w:r>
          </w:p>
        </w:tc>
      </w:tr>
      <w:tr>
        <w:trPr/>
        <w:tc>
          <w:tcPr>
            <w:tcW w:w="10205" w:type="dxa"/>
            <w:tcBorders/>
            <w:vAlign w:val="bottom"/>
          </w:tcPr>
          <w:p>
            <w:pPr>
              <w:pStyle w:val="TableContents"/>
              <w:bidi w:val="0"/>
              <w:spacing w:before="0" w:after="283"/>
              <w:jc w:val="left"/>
              <w:rPr/>
            </w:pPr>
            <w:r>
              <w:rPr/>
              <w:t>Janus Henderson Horizon FundBiotechnology Fund</w:t>
            </w:r>
          </w:p>
        </w:tc>
      </w:tr>
      <w:tr>
        <w:trPr/>
        <w:tc>
          <w:tcPr>
            <w:tcW w:w="10205" w:type="dxa"/>
            <w:tcBorders/>
            <w:vAlign w:val="bottom"/>
          </w:tcPr>
          <w:p>
            <w:pPr>
              <w:pStyle w:val="TableContents"/>
              <w:bidi w:val="0"/>
              <w:spacing w:before="0" w:after="283"/>
              <w:jc w:val="left"/>
              <w:rPr/>
            </w:pPr>
            <w:r>
              <w:rPr/>
              <w:t>Janus Henderson Biotech Innovation Master Fund Limited</w:t>
            </w:r>
          </w:p>
        </w:tc>
      </w:tr>
      <w:tr>
        <w:trPr/>
        <w:tc>
          <w:tcPr>
            <w:tcW w:w="10205" w:type="dxa"/>
            <w:tcBorders/>
            <w:vAlign w:val="bottom"/>
          </w:tcPr>
          <w:p>
            <w:pPr>
              <w:pStyle w:val="TableContents"/>
              <w:bidi w:val="0"/>
              <w:spacing w:before="0" w:after="283"/>
              <w:jc w:val="left"/>
              <w:rPr/>
            </w:pPr>
            <w:r>
              <w:rPr/>
              <w:t>Jason Kung Yi Koo</w:t>
            </w:r>
          </w:p>
        </w:tc>
      </w:tr>
      <w:tr>
        <w:trPr/>
        <w:tc>
          <w:tcPr>
            <w:tcW w:w="10205" w:type="dxa"/>
            <w:tcBorders/>
            <w:vAlign w:val="bottom"/>
          </w:tcPr>
          <w:p>
            <w:pPr>
              <w:pStyle w:val="TableContents"/>
              <w:bidi w:val="0"/>
              <w:spacing w:before="0" w:after="283"/>
              <w:jc w:val="left"/>
              <w:rPr/>
            </w:pPr>
            <w:r>
              <w:rPr/>
              <w:t>Jennifer Cho-Chun Lee</w:t>
            </w:r>
          </w:p>
        </w:tc>
      </w:tr>
      <w:tr>
        <w:trPr/>
        <w:tc>
          <w:tcPr>
            <w:tcW w:w="10205" w:type="dxa"/>
            <w:tcBorders/>
            <w:vAlign w:val="bottom"/>
          </w:tcPr>
          <w:p>
            <w:pPr>
              <w:pStyle w:val="TableContents"/>
              <w:bidi w:val="0"/>
              <w:spacing w:before="0" w:after="283"/>
              <w:jc w:val="left"/>
              <w:rPr/>
            </w:pPr>
            <w:r>
              <w:rPr/>
              <w:t>Jordon Wang</w:t>
            </w:r>
          </w:p>
        </w:tc>
      </w:tr>
      <w:tr>
        <w:trPr/>
        <w:tc>
          <w:tcPr>
            <w:tcW w:w="10205" w:type="dxa"/>
            <w:tcBorders/>
            <w:vAlign w:val="bottom"/>
          </w:tcPr>
          <w:p>
            <w:pPr>
              <w:pStyle w:val="TableContents"/>
              <w:bidi w:val="0"/>
              <w:spacing w:before="0" w:after="283"/>
              <w:jc w:val="left"/>
              <w:rPr/>
            </w:pPr>
            <w:r>
              <w:rPr/>
              <w:t>Keen Browne</w:t>
            </w:r>
          </w:p>
        </w:tc>
      </w:tr>
      <w:tr>
        <w:trPr/>
        <w:tc>
          <w:tcPr>
            <w:tcW w:w="10205" w:type="dxa"/>
            <w:tcBorders/>
            <w:vAlign w:val="bottom"/>
          </w:tcPr>
          <w:p>
            <w:pPr>
              <w:pStyle w:val="TableContents"/>
              <w:bidi w:val="0"/>
              <w:spacing w:before="0" w:after="283"/>
              <w:jc w:val="left"/>
              <w:rPr/>
            </w:pPr>
            <w:r>
              <w:rPr/>
              <w:t>Kissei Pharmaceutical Co., Ltd.</w:t>
            </w:r>
          </w:p>
        </w:tc>
      </w:tr>
      <w:tr>
        <w:trPr/>
        <w:tc>
          <w:tcPr>
            <w:tcW w:w="10205" w:type="dxa"/>
            <w:tcBorders/>
            <w:vAlign w:val="bottom"/>
          </w:tcPr>
          <w:p>
            <w:pPr>
              <w:pStyle w:val="TableContents"/>
              <w:bidi w:val="0"/>
              <w:spacing w:before="0" w:after="283"/>
              <w:jc w:val="left"/>
              <w:rPr/>
            </w:pPr>
            <w:r>
              <w:rPr/>
              <w:t>Kuang-Hui Pai</w:t>
            </w:r>
          </w:p>
        </w:tc>
      </w:tr>
      <w:tr>
        <w:trPr/>
        <w:tc>
          <w:tcPr>
            <w:tcW w:w="10205" w:type="dxa"/>
            <w:tcBorders/>
            <w:vAlign w:val="bottom"/>
          </w:tcPr>
          <w:p>
            <w:pPr>
              <w:pStyle w:val="TableContents"/>
              <w:bidi w:val="0"/>
              <w:spacing w:before="0" w:after="283"/>
              <w:jc w:val="left"/>
              <w:rPr/>
            </w:pPr>
            <w:r>
              <w:rPr/>
              <w:t>Lepu Holdings Limited</w:t>
            </w:r>
          </w:p>
        </w:tc>
      </w:tr>
      <w:tr>
        <w:trPr/>
        <w:tc>
          <w:tcPr>
            <w:tcW w:w="10205" w:type="dxa"/>
            <w:tcBorders/>
            <w:vAlign w:val="bottom"/>
          </w:tcPr>
          <w:p>
            <w:pPr>
              <w:pStyle w:val="TableContents"/>
              <w:bidi w:val="0"/>
              <w:spacing w:before="0" w:after="283"/>
              <w:jc w:val="left"/>
              <w:rPr/>
            </w:pPr>
            <w:r>
              <w:rPr/>
              <w:t>Longitude Venture Partners IV, L.P.</w:t>
            </w:r>
          </w:p>
        </w:tc>
      </w:tr>
      <w:tr>
        <w:trPr/>
        <w:tc>
          <w:tcPr>
            <w:tcW w:w="10205" w:type="dxa"/>
            <w:tcBorders/>
            <w:vAlign w:val="bottom"/>
          </w:tcPr>
          <w:p>
            <w:pPr>
              <w:pStyle w:val="TableContents"/>
              <w:bidi w:val="0"/>
              <w:spacing w:before="0" w:after="283"/>
              <w:jc w:val="left"/>
              <w:rPr/>
            </w:pPr>
            <w:r>
              <w:rPr/>
              <w:t>Longitude Prime Fund, L.P.</w:t>
            </w:r>
          </w:p>
        </w:tc>
      </w:tr>
      <w:tr>
        <w:trPr/>
        <w:tc>
          <w:tcPr>
            <w:tcW w:w="10205" w:type="dxa"/>
            <w:tcBorders/>
            <w:vAlign w:val="bottom"/>
          </w:tcPr>
          <w:p>
            <w:pPr>
              <w:pStyle w:val="TableContents"/>
              <w:bidi w:val="0"/>
              <w:spacing w:before="0" w:after="283"/>
              <w:jc w:val="left"/>
              <w:rPr/>
            </w:pPr>
            <w:r>
              <w:rPr/>
              <w:t>Longling Capital Ltd</w:t>
            </w:r>
          </w:p>
        </w:tc>
      </w:tr>
      <w:tr>
        <w:trPr/>
        <w:tc>
          <w:tcPr>
            <w:tcW w:w="10205" w:type="dxa"/>
            <w:tcBorders/>
            <w:vAlign w:val="bottom"/>
          </w:tcPr>
          <w:p>
            <w:pPr>
              <w:pStyle w:val="TableContents"/>
              <w:bidi w:val="0"/>
              <w:spacing w:before="0" w:after="283"/>
              <w:jc w:val="left"/>
              <w:rPr/>
            </w:pPr>
            <w:r>
              <w:rPr/>
              <w:t>Lyra Capital Management Limited</w:t>
            </w:r>
          </w:p>
        </w:tc>
      </w:tr>
      <w:tr>
        <w:trPr/>
        <w:tc>
          <w:tcPr>
            <w:tcW w:w="10205" w:type="dxa"/>
            <w:tcBorders/>
            <w:vAlign w:val="bottom"/>
          </w:tcPr>
          <w:p>
            <w:pPr>
              <w:pStyle w:val="TableContents"/>
              <w:bidi w:val="0"/>
              <w:spacing w:before="0" w:after="283"/>
              <w:jc w:val="left"/>
              <w:rPr/>
            </w:pPr>
            <w:r>
              <w:rPr/>
              <w:t>Malin Life Sciences Holdings Limited</w:t>
            </w:r>
          </w:p>
        </w:tc>
      </w:tr>
      <w:tr>
        <w:trPr/>
        <w:tc>
          <w:tcPr>
            <w:tcW w:w="10205" w:type="dxa"/>
            <w:tcBorders/>
            <w:vAlign w:val="bottom"/>
          </w:tcPr>
          <w:p>
            <w:pPr>
              <w:pStyle w:val="TableContents"/>
              <w:bidi w:val="0"/>
              <w:spacing w:before="0" w:after="283"/>
              <w:jc w:val="left"/>
              <w:rPr/>
            </w:pPr>
            <w:r>
              <w:rPr/>
              <w:t>Noble Eagle Holdings Limited</w:t>
            </w:r>
          </w:p>
        </w:tc>
      </w:tr>
      <w:tr>
        <w:trPr/>
        <w:tc>
          <w:tcPr>
            <w:tcW w:w="10205" w:type="dxa"/>
            <w:tcBorders/>
            <w:vAlign w:val="bottom"/>
          </w:tcPr>
          <w:p>
            <w:pPr>
              <w:pStyle w:val="TableContents"/>
              <w:bidi w:val="0"/>
              <w:spacing w:before="0" w:after="283"/>
              <w:jc w:val="left"/>
              <w:rPr/>
            </w:pPr>
            <w:r>
              <w:rPr/>
              <w:t>Palm Drive Capital II LP</w:t>
            </w:r>
          </w:p>
        </w:tc>
      </w:tr>
      <w:tr>
        <w:trPr/>
        <w:tc>
          <w:tcPr>
            <w:tcW w:w="10205" w:type="dxa"/>
            <w:tcBorders/>
            <w:vAlign w:val="bottom"/>
          </w:tcPr>
          <w:p>
            <w:pPr>
              <w:pStyle w:val="TableContents"/>
              <w:bidi w:val="0"/>
              <w:spacing w:before="0" w:after="283"/>
              <w:jc w:val="left"/>
              <w:rPr/>
            </w:pPr>
            <w:r>
              <w:rPr/>
              <w:t>Panlabs Biologics Inc.</w:t>
            </w:r>
          </w:p>
        </w:tc>
      </w:tr>
      <w:tr>
        <w:trPr/>
        <w:tc>
          <w:tcPr>
            <w:tcW w:w="10205" w:type="dxa"/>
            <w:tcBorders/>
            <w:vAlign w:val="bottom"/>
          </w:tcPr>
          <w:p>
            <w:pPr>
              <w:pStyle w:val="TableContents"/>
              <w:bidi w:val="0"/>
              <w:spacing w:before="0" w:after="283"/>
              <w:jc w:val="left"/>
              <w:rPr/>
            </w:pPr>
            <w:r>
              <w:rPr/>
              <w:t>Pei Min Liu</w:t>
            </w:r>
          </w:p>
        </w:tc>
      </w:tr>
      <w:tr>
        <w:trPr/>
        <w:tc>
          <w:tcPr>
            <w:tcW w:w="10205" w:type="dxa"/>
            <w:tcBorders/>
            <w:vAlign w:val="bottom"/>
          </w:tcPr>
          <w:p>
            <w:pPr>
              <w:pStyle w:val="TableContents"/>
              <w:bidi w:val="0"/>
              <w:spacing w:before="0" w:after="283"/>
              <w:jc w:val="left"/>
              <w:rPr/>
            </w:pPr>
            <w:r>
              <w:rPr/>
              <w:t>Pentepebble Holdings Limited</w:t>
            </w:r>
          </w:p>
        </w:tc>
      </w:tr>
      <w:tr>
        <w:trPr/>
        <w:tc>
          <w:tcPr>
            <w:tcW w:w="10205" w:type="dxa"/>
            <w:tcBorders/>
            <w:vAlign w:val="bottom"/>
          </w:tcPr>
          <w:p>
            <w:pPr>
              <w:pStyle w:val="TableContents"/>
              <w:bidi w:val="0"/>
              <w:spacing w:before="0" w:after="283"/>
              <w:jc w:val="left"/>
              <w:rPr/>
            </w:pPr>
            <w:r>
              <w:rPr/>
              <w:t>Perseverance Capital Management LLC</w:t>
            </w:r>
          </w:p>
        </w:tc>
      </w:tr>
      <w:tr>
        <w:trPr/>
        <w:tc>
          <w:tcPr>
            <w:tcW w:w="10205" w:type="dxa"/>
            <w:tcBorders/>
            <w:vAlign w:val="bottom"/>
          </w:tcPr>
          <w:p>
            <w:pPr>
              <w:pStyle w:val="TableContents"/>
              <w:bidi w:val="0"/>
              <w:spacing w:before="0" w:after="283"/>
              <w:jc w:val="left"/>
              <w:rPr/>
            </w:pPr>
            <w:r>
              <w:rPr/>
              <w:t>Perseverance CG LLC</w:t>
            </w:r>
          </w:p>
        </w:tc>
      </w:tr>
      <w:tr>
        <w:trPr/>
        <w:tc>
          <w:tcPr>
            <w:tcW w:w="10205" w:type="dxa"/>
            <w:tcBorders/>
            <w:vAlign w:val="bottom"/>
          </w:tcPr>
          <w:p>
            <w:pPr>
              <w:pStyle w:val="TableContents"/>
              <w:bidi w:val="0"/>
              <w:spacing w:before="0" w:after="283"/>
              <w:jc w:val="left"/>
              <w:rPr/>
            </w:pPr>
            <w:r>
              <w:rPr/>
              <w:t>Perseverance Fund LLCSeries 1</w:t>
            </w:r>
          </w:p>
        </w:tc>
      </w:tr>
      <w:tr>
        <w:trPr/>
        <w:tc>
          <w:tcPr>
            <w:tcW w:w="10205" w:type="dxa"/>
            <w:tcBorders/>
            <w:vAlign w:val="bottom"/>
          </w:tcPr>
          <w:p>
            <w:pPr>
              <w:pStyle w:val="TableContents"/>
              <w:bidi w:val="0"/>
              <w:spacing w:before="0" w:after="283"/>
              <w:jc w:val="left"/>
              <w:rPr/>
            </w:pPr>
            <w:r>
              <w:rPr/>
              <w:t>PRSS Capital Limited</w:t>
            </w:r>
          </w:p>
        </w:tc>
      </w:tr>
      <w:tr>
        <w:trPr/>
        <w:tc>
          <w:tcPr>
            <w:tcW w:w="10205" w:type="dxa"/>
            <w:tcBorders/>
            <w:vAlign w:val="bottom"/>
          </w:tcPr>
          <w:p>
            <w:pPr>
              <w:pStyle w:val="TableContents"/>
              <w:bidi w:val="0"/>
              <w:spacing w:before="0" w:after="283"/>
              <w:jc w:val="left"/>
              <w:rPr/>
            </w:pPr>
            <w:r>
              <w:rPr/>
              <w:t>RA Capital Healthcare Fund, LP</w:t>
            </w:r>
          </w:p>
        </w:tc>
      </w:tr>
      <w:tr>
        <w:trPr/>
        <w:tc>
          <w:tcPr>
            <w:tcW w:w="10205" w:type="dxa"/>
            <w:tcBorders/>
            <w:vAlign w:val="bottom"/>
          </w:tcPr>
          <w:p>
            <w:pPr>
              <w:pStyle w:val="TableContents"/>
              <w:bidi w:val="0"/>
              <w:spacing w:before="0" w:after="283"/>
              <w:jc w:val="left"/>
              <w:rPr/>
            </w:pPr>
            <w:r>
              <w:rPr/>
              <w:t>RA Capital Nexus Fund III, LP</w:t>
            </w:r>
          </w:p>
        </w:tc>
      </w:tr>
      <w:tr>
        <w:trPr/>
        <w:tc>
          <w:tcPr>
            <w:tcW w:w="10205" w:type="dxa"/>
            <w:tcBorders/>
            <w:vAlign w:val="bottom"/>
          </w:tcPr>
          <w:p>
            <w:pPr>
              <w:pStyle w:val="TableContents"/>
              <w:bidi w:val="0"/>
              <w:spacing w:before="0" w:after="283"/>
              <w:jc w:val="left"/>
              <w:rPr/>
            </w:pPr>
            <w:r>
              <w:rPr/>
              <w:t>Rick Delamarter</w:t>
            </w:r>
          </w:p>
        </w:tc>
      </w:tr>
      <w:tr>
        <w:trPr/>
        <w:tc>
          <w:tcPr>
            <w:tcW w:w="10205" w:type="dxa"/>
            <w:tcBorders/>
            <w:vAlign w:val="bottom"/>
          </w:tcPr>
          <w:p>
            <w:pPr>
              <w:pStyle w:val="TableContents"/>
              <w:bidi w:val="0"/>
              <w:spacing w:before="0" w:after="283"/>
              <w:jc w:val="left"/>
              <w:rPr/>
            </w:pPr>
            <w:r>
              <w:rPr/>
              <w:t>Shiny Crown Limited</w:t>
            </w:r>
          </w:p>
        </w:tc>
      </w:tr>
      <w:tr>
        <w:trPr/>
        <w:tc>
          <w:tcPr>
            <w:tcW w:w="10205" w:type="dxa"/>
            <w:tcBorders/>
            <w:vAlign w:val="bottom"/>
          </w:tcPr>
          <w:p>
            <w:pPr>
              <w:pStyle w:val="TableContents"/>
              <w:bidi w:val="0"/>
              <w:spacing w:before="0" w:after="283"/>
              <w:jc w:val="left"/>
              <w:rPr/>
            </w:pPr>
            <w:r>
              <w:rPr/>
              <w:t>Shu Fai So</w:t>
            </w:r>
          </w:p>
        </w:tc>
      </w:tr>
      <w:tr>
        <w:trPr/>
        <w:tc>
          <w:tcPr>
            <w:tcW w:w="10205" w:type="dxa"/>
            <w:tcBorders/>
            <w:vAlign w:val="bottom"/>
          </w:tcPr>
          <w:p>
            <w:pPr>
              <w:pStyle w:val="TableContents"/>
              <w:bidi w:val="0"/>
              <w:spacing w:before="0" w:after="283"/>
              <w:jc w:val="left"/>
              <w:rPr/>
            </w:pPr>
            <w:r>
              <w:rPr/>
              <w:t>Sleeping Beauty Limited</w:t>
            </w:r>
          </w:p>
        </w:tc>
      </w:tr>
      <w:tr>
        <w:trPr/>
        <w:tc>
          <w:tcPr>
            <w:tcW w:w="10205" w:type="dxa"/>
            <w:tcBorders/>
            <w:vAlign w:val="bottom"/>
          </w:tcPr>
          <w:p>
            <w:pPr>
              <w:pStyle w:val="TableContents"/>
              <w:bidi w:val="0"/>
              <w:spacing w:before="0" w:after="283"/>
              <w:jc w:val="left"/>
              <w:rPr/>
            </w:pPr>
            <w:r>
              <w:rPr/>
              <w:t>Song Hong Fang</w:t>
            </w:r>
          </w:p>
        </w:tc>
      </w:tr>
      <w:tr>
        <w:trPr/>
        <w:tc>
          <w:tcPr>
            <w:tcW w:w="10205" w:type="dxa"/>
            <w:tcBorders/>
            <w:vAlign w:val="bottom"/>
          </w:tcPr>
          <w:p>
            <w:pPr>
              <w:pStyle w:val="TableContents"/>
              <w:bidi w:val="0"/>
              <w:spacing w:before="0" w:after="283"/>
              <w:jc w:val="left"/>
              <w:rPr/>
            </w:pPr>
            <w:r>
              <w:rPr/>
              <w:t>Spring Investments Holding LP</w:t>
            </w:r>
          </w:p>
        </w:tc>
      </w:tr>
      <w:tr>
        <w:trPr/>
        <w:tc>
          <w:tcPr>
            <w:tcW w:w="10205" w:type="dxa"/>
            <w:tcBorders/>
            <w:vAlign w:val="bottom"/>
          </w:tcPr>
          <w:p>
            <w:pPr>
              <w:pStyle w:val="TableContents"/>
              <w:bidi w:val="0"/>
              <w:spacing w:before="0" w:after="283"/>
              <w:jc w:val="left"/>
              <w:rPr/>
            </w:pPr>
            <w:r>
              <w:rPr/>
              <w:t>Super Strategy Limited</w:t>
            </w:r>
          </w:p>
        </w:tc>
      </w:tr>
      <w:tr>
        <w:trPr/>
        <w:tc>
          <w:tcPr>
            <w:tcW w:w="10205" w:type="dxa"/>
            <w:tcBorders/>
            <w:vAlign w:val="bottom"/>
          </w:tcPr>
          <w:p>
            <w:pPr>
              <w:pStyle w:val="TableContents"/>
              <w:bidi w:val="0"/>
              <w:spacing w:before="0" w:after="283"/>
              <w:jc w:val="left"/>
              <w:rPr/>
            </w:pPr>
            <w:r>
              <w:rPr/>
              <w:t>Tanya Marie Lee</w:t>
            </w:r>
          </w:p>
        </w:tc>
      </w:tr>
      <w:tr>
        <w:trPr/>
        <w:tc>
          <w:tcPr>
            <w:tcW w:w="10205" w:type="dxa"/>
            <w:tcBorders/>
            <w:vAlign w:val="bottom"/>
          </w:tcPr>
          <w:p>
            <w:pPr>
              <w:pStyle w:val="TableContents"/>
              <w:bidi w:val="0"/>
              <w:spacing w:before="0" w:after="283"/>
              <w:jc w:val="left"/>
              <w:rPr/>
            </w:pPr>
            <w:r>
              <w:rPr/>
              <w:t>TCG Crossover Fund I, L.P.</w:t>
            </w:r>
          </w:p>
        </w:tc>
      </w:tr>
      <w:tr>
        <w:trPr/>
        <w:tc>
          <w:tcPr>
            <w:tcW w:w="10205" w:type="dxa"/>
            <w:tcBorders/>
            <w:vAlign w:val="bottom"/>
          </w:tcPr>
          <w:p>
            <w:pPr>
              <w:pStyle w:val="TableContents"/>
              <w:bidi w:val="0"/>
              <w:spacing w:before="0" w:after="283"/>
              <w:jc w:val="left"/>
              <w:rPr/>
            </w:pPr>
            <w:r>
              <w:rPr/>
              <w:t>Visual Systems International Limited</w:t>
            </w:r>
          </w:p>
        </w:tc>
      </w:tr>
      <w:tr>
        <w:trPr/>
        <w:tc>
          <w:tcPr>
            <w:tcW w:w="10205" w:type="dxa"/>
            <w:tcBorders/>
            <w:vAlign w:val="bottom"/>
          </w:tcPr>
          <w:p>
            <w:pPr>
              <w:pStyle w:val="TableContents"/>
              <w:bidi w:val="0"/>
              <w:spacing w:before="0" w:after="283"/>
              <w:jc w:val="left"/>
              <w:rPr/>
            </w:pPr>
            <w:r>
              <w:rPr/>
              <w:t>War Capital LLC</w:t>
            </w:r>
          </w:p>
        </w:tc>
      </w:tr>
      <w:tr>
        <w:trPr/>
        <w:tc>
          <w:tcPr>
            <w:tcW w:w="10205" w:type="dxa"/>
            <w:tcBorders/>
            <w:vAlign w:val="bottom"/>
          </w:tcPr>
          <w:p>
            <w:pPr>
              <w:pStyle w:val="TableContents"/>
              <w:bidi w:val="0"/>
              <w:spacing w:before="0" w:after="283"/>
              <w:jc w:val="left"/>
              <w:rPr/>
            </w:pPr>
            <w:r>
              <w:rPr/>
              <w:t>Wellchamp Fund Limited</w:t>
            </w:r>
          </w:p>
        </w:tc>
      </w:tr>
      <w:tr>
        <w:trPr/>
        <w:tc>
          <w:tcPr>
            <w:tcW w:w="10205" w:type="dxa"/>
            <w:tcBorders/>
            <w:vAlign w:val="bottom"/>
          </w:tcPr>
          <w:p>
            <w:pPr>
              <w:pStyle w:val="TableContents"/>
              <w:bidi w:val="0"/>
              <w:spacing w:before="0" w:after="283"/>
              <w:jc w:val="left"/>
              <w:rPr/>
            </w:pPr>
            <w:r>
              <w:rPr/>
              <w:t>Zen Spirit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p>
    <w:p>
      <w:pPr>
        <w:pStyle w:val="TextBody"/>
        <w:bidi w:val="0"/>
        <w:spacing w:before="0" w:after="0"/>
        <w:jc w:val="right"/>
        <w:rPr>
          <w:rFonts w:ascii="Times New Roman" w:hAnsi="Times New Roman"/>
          <w:b/>
          <w:sz w:val="20"/>
        </w:rPr>
      </w:pPr>
      <w:bookmarkStart w:id="48" w:name="d551455dex51.htm"/>
      <w:bookmarkStart w:id="49" w:name="ksd551455dex51"/>
      <w:bookmarkEnd w:id="48"/>
      <w:bookmarkEnd w:id="4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60"/>
        <w:gridCol w:w="120"/>
        <w:gridCol w:w="1990"/>
        <w:gridCol w:w="120"/>
        <w:gridCol w:w="1715"/>
      </w:tblGrid>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825" w:type="dxa"/>
            <w:gridSpan w:val="3"/>
            <w:tcBorders/>
          </w:tcPr>
          <w:p>
            <w:pPr>
              <w:pStyle w:val="TableContents"/>
              <w:bidi w:val="0"/>
              <w:spacing w:before="0" w:after="283"/>
              <w:jc w:val="left"/>
              <w:rPr/>
            </w:pPr>
            <w:r>
              <w:rPr/>
              <w:t>12670 High Bluff Drive</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825" w:type="dxa"/>
            <w:gridSpan w:val="3"/>
            <w:tcBorders/>
          </w:tcPr>
          <w:p>
            <w:pPr>
              <w:pStyle w:val="TableContents"/>
              <w:bidi w:val="0"/>
              <w:spacing w:before="0" w:after="283"/>
              <w:jc w:val="left"/>
              <w:rPr/>
            </w:pPr>
            <w:r>
              <w:rPr/>
              <w:t>San Diego, California 92130</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825" w:type="dxa"/>
            <w:gridSpan w:val="3"/>
            <w:tcBorders/>
          </w:tcPr>
          <w:p>
            <w:pPr>
              <w:pStyle w:val="TableContents"/>
              <w:bidi w:val="0"/>
              <w:spacing w:before="0" w:after="283"/>
              <w:jc w:val="left"/>
              <w:rPr/>
            </w:pPr>
            <w:r>
              <w:rPr/>
              <w:t>Tel: +1.858.523.5400 Fax: +1.858.523.5450</w:t>
            </w:r>
          </w:p>
        </w:tc>
      </w:tr>
      <w:tr>
        <w:trPr/>
        <w:tc>
          <w:tcPr>
            <w:tcW w:w="6260" w:type="dxa"/>
            <w:vMerge w:val="restart"/>
            <w:tcBorders/>
          </w:tcPr>
          <w:p>
            <w:pPr>
              <w:pStyle w:val="TableContents"/>
              <w:bidi w:val="0"/>
              <w:spacing w:before="0" w:after="283"/>
              <w:jc w:val="left"/>
              <w:rPr/>
            </w:pPr>
            <w:r>
              <w:rPr/>
              <w:drawing>
                <wp:inline distT="0" distB="0" distL="0" distR="0">
                  <wp:extent cx="2257425" cy="152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36"/>
                          <a:stretch>
                            <a:fillRect/>
                          </a:stretch>
                        </pic:blipFill>
                        <pic:spPr bwMode="auto">
                          <a:xfrm>
                            <a:off x="0" y="0"/>
                            <a:ext cx="2257425" cy="152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825" w:type="dxa"/>
            <w:gridSpan w:val="3"/>
            <w:tcBorders/>
          </w:tcPr>
          <w:p>
            <w:pPr>
              <w:pStyle w:val="TableContents"/>
              <w:bidi w:val="0"/>
              <w:spacing w:before="0" w:after="283"/>
              <w:jc w:val="left"/>
              <w:rPr/>
            </w:pPr>
            <w:r>
              <w:rPr/>
              <w:t>www.lw.com</w:t>
            </w:r>
          </w:p>
        </w:tc>
      </w:tr>
      <w:tr>
        <w:trPr/>
        <w:tc>
          <w:tcPr>
            <w:tcW w:w="626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3825"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626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Milan</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Munich</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New York</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Orange County</w:t>
            </w:r>
          </w:p>
        </w:tc>
      </w:tr>
      <w:tr>
        <w:trPr/>
        <w:tc>
          <w:tcPr>
            <w:tcW w:w="6260" w:type="dxa"/>
            <w:tcBorders/>
          </w:tcPr>
          <w:p>
            <w:pPr>
              <w:pStyle w:val="TableContents"/>
              <w:bidi w:val="0"/>
              <w:spacing w:before="0" w:after="283"/>
              <w:jc w:val="left"/>
              <w:rPr/>
            </w:pPr>
            <w:r>
              <w:rPr/>
              <w:t>January 18, 2024</w:t>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Century City</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Paris</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Riyadh</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San Diego</w:t>
            </w:r>
          </w:p>
        </w:tc>
      </w:tr>
      <w:tr>
        <w:trPr/>
        <w:tc>
          <w:tcPr>
            <w:tcW w:w="6260" w:type="dxa"/>
            <w:tcBorders/>
          </w:tcPr>
          <w:p>
            <w:pPr>
              <w:pStyle w:val="TableContents"/>
              <w:bidi w:val="0"/>
              <w:spacing w:before="0" w:after="283"/>
              <w:jc w:val="left"/>
              <w:rPr/>
            </w:pPr>
            <w:r>
              <w:rPr/>
              <w:t>CG Oncology, Inc.</w:t>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San Francisco</w:t>
            </w:r>
          </w:p>
        </w:tc>
      </w:tr>
      <w:tr>
        <w:trPr/>
        <w:tc>
          <w:tcPr>
            <w:tcW w:w="6260" w:type="dxa"/>
            <w:tcBorders/>
          </w:tcPr>
          <w:p>
            <w:pPr>
              <w:pStyle w:val="TableContents"/>
              <w:bidi w:val="0"/>
              <w:spacing w:before="0" w:after="283"/>
              <w:jc w:val="left"/>
              <w:rPr/>
            </w:pPr>
            <w:r>
              <w:rPr/>
              <w:t>400 Spectrum Center Drive, Suite 2040</w:t>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Seoul</w:t>
            </w:r>
          </w:p>
        </w:tc>
      </w:tr>
      <w:tr>
        <w:trPr/>
        <w:tc>
          <w:tcPr>
            <w:tcW w:w="6260" w:type="dxa"/>
            <w:tcBorders/>
          </w:tcPr>
          <w:p>
            <w:pPr>
              <w:pStyle w:val="TableContents"/>
              <w:bidi w:val="0"/>
              <w:spacing w:before="0" w:after="283"/>
              <w:jc w:val="left"/>
              <w:rPr/>
            </w:pPr>
            <w:r>
              <w:rPr/>
              <w:t>Irvine, California 92618</w:t>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Silicon Valley</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Singapore</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Tel Aviv</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Tokyo</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Washington, D.C.</w:t>
            </w:r>
          </w:p>
        </w:tc>
      </w:tr>
      <w:tr>
        <w:trPr/>
        <w:tc>
          <w:tcPr>
            <w:tcW w:w="6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No. 333-276350; 13,570,000 shares of Common Stock, par value $0.0001 per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addressees set forth above: </w:t>
      </w:r>
    </w:p>
    <w:p>
      <w:pPr>
        <w:pStyle w:val="TextBody"/>
        <w:bidi w:val="0"/>
        <w:spacing w:before="240" w:after="0"/>
        <w:jc w:val="left"/>
        <w:rPr>
          <w:rFonts w:ascii="Times New Roman" w:hAnsi="Times New Roman"/>
          <w:sz w:val="20"/>
        </w:rPr>
      </w:pPr>
      <w:r>
        <w:rPr>
          <w:rFonts w:ascii="Times New Roman" w:hAnsi="Times New Roman"/>
          <w:sz w:val="20"/>
        </w:rPr>
        <w:t>We have acted as special counsel to CG Oncology, Inc., a Delaware corporation (the </w:t>
      </w:r>
      <w:r>
        <w:rPr>
          <w:rFonts w:ascii="Times New Roman" w:hAnsi="Times New Roman"/>
          <w:b/>
          <w:i/>
          <w:sz w:val="20"/>
        </w:rPr>
        <w:t>Company</w:t>
      </w:r>
      <w:r>
        <w:rPr>
          <w:rFonts w:ascii="Times New Roman" w:hAnsi="Times New Roman"/>
          <w:sz w:val="20"/>
        </w:rPr>
        <w:t>), in connection with the proposed issuance of up to 13,570,000 shares (including up to 1,770,000 shares subject to the underwriters option to purchase additional shares) of common stock, $0.0001 par value per share (the </w:t>
      </w:r>
      <w:r>
        <w:rPr>
          <w:rFonts w:ascii="Times New Roman" w:hAnsi="Times New Roman"/>
          <w:b/>
          <w:i/>
          <w:sz w:val="20"/>
        </w:rPr>
        <w:t>Shares</w:t>
      </w:r>
      <w:r>
        <w:rPr>
          <w:rFonts w:ascii="Times New Roman" w:hAnsi="Times New Roman"/>
          <w:sz w:val="20"/>
        </w:rPr>
        <w:t>). The Shares are included in a registration statement on Form S1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January 2, 2024 (File No. 333-276350) (as amended, the </w:t>
      </w:r>
      <w:r>
        <w:rPr>
          <w:rFonts w:ascii="Times New Roman" w:hAnsi="Times New Roman"/>
          <w:b/>
          <w:i/>
          <w:sz w:val="20"/>
        </w:rPr>
        <w:t>Registration Statement</w:t>
      </w:r>
      <w:r>
        <w:rPr>
          <w:rFonts w:ascii="Times New Roman" w:hAnsi="Times New Roman"/>
          <w:sz w:val="20"/>
        </w:rPr>
        <w:t xml:space="preserve">).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January 18, 2024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37"/>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0" w:name="d551455dex103.htm"/>
      <w:bookmarkStart w:id="51" w:name="ksd551455dex103"/>
      <w:bookmarkEnd w:id="50"/>
      <w:bookmarkEnd w:id="51"/>
      <w:r>
        <w:rPr>
          <w:rFonts w:ascii="Times New Roman" w:hAnsi="Times New Roman"/>
          <w:b/>
          <w:sz w:val="20"/>
        </w:rPr>
        <w:t xml:space="preserve">Exhibit 10.3 </w:t>
      </w:r>
      <w:r>
        <w:br w:type="page"/>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CG ONCOLOGY, INC.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2024 INCENTIVE AWARD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both"/>
        <w:rPr>
          <w:rFonts w:ascii="Times New Roman" w:hAnsi="Times New Roman"/>
          <w:sz w:val="20"/>
        </w:rPr>
      </w:pPr>
      <w:r>
        <w:rPr>
          <w:rFonts w:ascii="Times New Roman" w:hAnsi="Times New Roman"/>
          <w:sz w:val="20"/>
        </w:rPr>
        <w:t xml:space="preserve">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both"/>
        <w:rPr>
          <w:rFonts w:ascii="Times New Roman" w:hAnsi="Times New Roman"/>
          <w:sz w:val="20"/>
        </w:rPr>
      </w:pPr>
      <w:r>
        <w:rPr>
          <w:rFonts w:ascii="Times New Roman" w:hAnsi="Times New Roman"/>
          <w:sz w:val="20"/>
        </w:rPr>
        <w:t xml:space="preserve">Service Providers are eligible to be granted Awards under the Plan, subject to the limitations described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AND DELEGATION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Administration</w:t>
      </w:r>
      <w:r>
        <w:rPr>
          <w:rFonts w:ascii="Times New Roman" w:hAnsi="Times New Roman"/>
          <w:sz w:val="20"/>
        </w:rPr>
        <w:t xml:space="preserve">.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Appointment of Committees</w:t>
      </w:r>
      <w:r>
        <w:rPr>
          <w:rFonts w:ascii="Times New Roman" w:hAnsi="Times New Roman"/>
          <w:sz w:val="20"/>
        </w:rPr>
        <w:t xml:space="preserve">.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STOCK AVAILABLE FOR AWARDS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Number of Shares</w:t>
      </w:r>
      <w:r>
        <w:rPr>
          <w:rFonts w:ascii="Times New Roman" w:hAnsi="Times New Roman"/>
          <w:sz w:val="20"/>
        </w:rPr>
        <w:t xml:space="preserve">. Subject to adjustment under Article VIII and the terms of this Article IV, Awards may be made under the Plan covering up to the Overall Share Limit. As of the Plans effective date, the Company will cease granting awards under the Prior Plans; however, the Prior Plan Awards will remain subject to the terms of the applicable Prior Plan. Shares issued under the Plan may consist of authorized but unissued Shares, Shares purchased on the open market or treasury Shares.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Share Recycling</w:t>
      </w:r>
      <w:r>
        <w:rPr>
          <w:rFonts w:ascii="Times New Roman" w:hAnsi="Times New Roman"/>
          <w:sz w:val="20"/>
        </w:rPr>
        <w:t xml:space="preserve">.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w:t>
      </w:r>
    </w:p>
    <w:p>
      <w:pPr>
        <w:pStyle w:val="TextBody"/>
        <w:bidi w:val="0"/>
        <w:spacing w:before="240" w:after="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Incentive Stock Option Limitations</w:t>
      </w:r>
      <w:r>
        <w:rPr>
          <w:rFonts w:ascii="Times New Roman" w:hAnsi="Times New Roman"/>
          <w:sz w:val="20"/>
        </w:rPr>
        <w:t xml:space="preserve">. Notwithstanding anything to the contrary herein, no more than 200,000,000 Shares may be issued pursuant to the exercise of Incentive Stock Options. </w:t>
      </w:r>
    </w:p>
    <w:p>
      <w:pPr>
        <w:pStyle w:val="TextBody"/>
        <w:bidi w:val="0"/>
        <w:spacing w:before="240" w:after="0"/>
        <w:jc w:val="both"/>
        <w:rPr>
          <w:rFonts w:ascii="Times New Roman" w:hAnsi="Times New Roman"/>
          <w:sz w:val="20"/>
        </w:rPr>
      </w:pPr>
      <w:r>
        <w:rPr>
          <w:rFonts w:ascii="Times New Roman" w:hAnsi="Times New Roman"/>
          <w:sz w:val="20"/>
        </w:rPr>
        <w:t xml:space="preserve">4.4 </w:t>
      </w:r>
      <w:r>
        <w:rPr>
          <w:rFonts w:ascii="Times New Roman" w:hAnsi="Times New Roman"/>
          <w:sz w:val="20"/>
          <w:u w:val="single"/>
        </w:rPr>
        <w:t>Substitute Awards</w:t>
      </w:r>
      <w:r>
        <w:rPr>
          <w:rFonts w:ascii="Times New Roman" w:hAnsi="Times New Roman"/>
          <w:sz w:val="20"/>
        </w:rPr>
        <w:t xml:space="preserve">.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 </w:t>
      </w:r>
    </w:p>
    <w:p>
      <w:pPr>
        <w:pStyle w:val="TextBody"/>
        <w:bidi w:val="0"/>
        <w:spacing w:before="240" w:after="0"/>
        <w:jc w:val="both"/>
        <w:rPr>
          <w:rFonts w:ascii="Times New Roman" w:hAnsi="Times New Roman"/>
          <w:sz w:val="20"/>
        </w:rPr>
      </w:pPr>
      <w:r>
        <w:rPr>
          <w:rFonts w:ascii="Times New Roman" w:hAnsi="Times New Roman"/>
          <w:sz w:val="20"/>
        </w:rPr>
        <w:t xml:space="preserve">4.5 </w:t>
      </w:r>
      <w:r>
        <w:rPr>
          <w:rFonts w:ascii="Times New Roman" w:hAnsi="Times New Roman"/>
          <w:sz w:val="20"/>
          <w:u w:val="single"/>
        </w:rPr>
        <w:t>Non-Employee Director Compensation</w:t>
      </w:r>
      <w:r>
        <w:rPr>
          <w:rFonts w:ascii="Times New Roman" w:hAnsi="Times New Roman"/>
          <w:sz w:val="20"/>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calendar year of the Company may not exceed $1,000,000 (increased to $1,500,000 in the calendar year of a non-employee Directors initial service as a non-employee director or any calendar year during which a non-employee Director serves as chairman of the Board or lead independent Director), which limits shall not apply to the compensation for any non-employee Director of the Company who serves in any capacity in addition to that of a non-employee Director for which he or she receives additional compensation or any compensation paid to any non-employee Director prior to the calendar year following the calendar year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which the Plans effective date occurs. The Administrator may make exceptions to this limit for individual non-employee Directors, as the Administrator may determine in its discretion.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AND STOCK APPRECIATION RIGHTS </w:t>
      </w:r>
    </w:p>
    <w:p>
      <w:pPr>
        <w:pStyle w:val="TextBody"/>
        <w:bidi w:val="0"/>
        <w:spacing w:before="240" w:after="0"/>
        <w:jc w:val="both"/>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w:t>
      </w:r>
      <w:r>
        <w:rPr>
          <w:rFonts w:ascii="Times New Roman" w:hAnsi="Times New Roman"/>
          <w:sz w:val="20"/>
        </w:rPr>
        <w:t xml:space="preserve">.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5.2 </w:t>
      </w:r>
      <w:r>
        <w:rPr>
          <w:rFonts w:ascii="Times New Roman" w:hAnsi="Times New Roman"/>
          <w:sz w:val="20"/>
          <w:u w:val="single"/>
        </w:rPr>
        <w:t>Exercise Price</w:t>
      </w:r>
      <w:r>
        <w:rPr>
          <w:rFonts w:ascii="Times New Roman" w:hAnsi="Times New Roman"/>
          <w:sz w:val="20"/>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 </w:t>
      </w:r>
    </w:p>
    <w:p>
      <w:pPr>
        <w:pStyle w:val="TextBody"/>
        <w:bidi w:val="0"/>
        <w:spacing w:before="240" w:after="0"/>
        <w:jc w:val="both"/>
        <w:rPr>
          <w:rFonts w:ascii="Times New Roman" w:hAnsi="Times New Roman"/>
          <w:sz w:val="20"/>
        </w:rPr>
      </w:pPr>
      <w:r>
        <w:rPr>
          <w:rFonts w:ascii="Times New Roman" w:hAnsi="Times New Roman"/>
          <w:sz w:val="20"/>
        </w:rPr>
        <w:t xml:space="preserve">5.3 </w:t>
      </w:r>
      <w:r>
        <w:rPr>
          <w:rFonts w:ascii="Times New Roman" w:hAnsi="Times New Roman"/>
          <w:sz w:val="20"/>
          <w:u w:val="single"/>
        </w:rPr>
        <w:t>Duration</w:t>
      </w:r>
      <w:r>
        <w:rPr>
          <w:rFonts w:ascii="Times New Roman" w:hAnsi="Times New Roman"/>
          <w:sz w:val="20"/>
        </w:rPr>
        <w:t xml:space="preserve">. Each Option or Stock Appreciation Right will be exercisable at such times and as specified in the Award Agreement, provided that, subject to Section 5.6, the term of an Option or Stock Appreciation Right will not exceed ten (10) years. Notwithstanding the foregoing and unless determined otherwise by the Company,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w:t>
      </w:r>
    </w:p>
    <w:p>
      <w:pPr>
        <w:pStyle w:val="TextBody"/>
        <w:bidi w:val="0"/>
        <w:spacing w:before="240" w:after="0"/>
        <w:jc w:val="both"/>
        <w:rPr>
          <w:rFonts w:ascii="Times New Roman" w:hAnsi="Times New Roman"/>
          <w:sz w:val="20"/>
        </w:rPr>
      </w:pPr>
      <w:r>
        <w:rPr>
          <w:rFonts w:ascii="Times New Roman" w:hAnsi="Times New Roman"/>
          <w:sz w:val="20"/>
        </w:rPr>
        <w:t xml:space="preserve">5.4 </w:t>
      </w:r>
      <w:r>
        <w:rPr>
          <w:rFonts w:ascii="Times New Roman" w:hAnsi="Times New Roman"/>
          <w:sz w:val="20"/>
          <w:u w:val="single"/>
        </w:rPr>
        <w:t>Exercise</w:t>
      </w:r>
      <w:r>
        <w:rPr>
          <w:rFonts w:ascii="Times New Roman" w:hAnsi="Times New Roman"/>
          <w:sz w:val="20"/>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 </w:t>
      </w:r>
    </w:p>
    <w:p>
      <w:pPr>
        <w:pStyle w:val="TextBody"/>
        <w:bidi w:val="0"/>
        <w:spacing w:before="240" w:after="0"/>
        <w:jc w:val="both"/>
        <w:rPr>
          <w:rFonts w:ascii="Times New Roman" w:hAnsi="Times New Roman"/>
          <w:sz w:val="20"/>
        </w:rPr>
      </w:pPr>
      <w:r>
        <w:rPr>
          <w:rFonts w:ascii="Times New Roman" w:hAnsi="Times New Roman"/>
          <w:sz w:val="20"/>
        </w:rPr>
        <w:t xml:space="preserve">5.5 </w:t>
      </w:r>
      <w:r>
        <w:rPr>
          <w:rFonts w:ascii="Times New Roman" w:hAnsi="Times New Roman"/>
          <w:sz w:val="20"/>
          <w:u w:val="single"/>
        </w:rPr>
        <w:t>Payment Upon Exercise</w:t>
      </w:r>
      <w:r>
        <w:rPr>
          <w:rFonts w:ascii="Times New Roman" w:hAnsi="Times New Roman"/>
          <w:sz w:val="20"/>
        </w:rPr>
        <w:t xml:space="preserve">. Subject to Section 10.8, any Company insider trading policy (including blackout periods) and Applicable Laws, the exercise price of an Option must be paid by: </w:t>
      </w:r>
    </w:p>
    <w:p>
      <w:pPr>
        <w:pStyle w:val="TextBody"/>
        <w:bidi w:val="0"/>
        <w:spacing w:before="240" w:after="0"/>
        <w:jc w:val="both"/>
        <w:rPr>
          <w:rFonts w:ascii="Times New Roman" w:hAnsi="Times New Roman"/>
          <w:sz w:val="20"/>
        </w:rPr>
      </w:pPr>
      <w:r>
        <w:rPr>
          <w:rFonts w:ascii="Times New Roman" w:hAnsi="Times New Roman"/>
          <w:sz w:val="20"/>
        </w:rPr>
        <w:t xml:space="preserve">(a) cash, wire transfer of immediately available funds or by check payable to the order of the Company, provided that the Company may limit the use of one of the foregoing payment forms if one or more of the payment forms below is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(c) to the extent permitted by the Administrator, delivery (either by actual delivery or attestation) of Shares owned by the Participant valued at their fair market value; </w:t>
      </w:r>
    </w:p>
    <w:p>
      <w:pPr>
        <w:pStyle w:val="TextBody"/>
        <w:bidi w:val="0"/>
        <w:spacing w:before="240" w:after="0"/>
        <w:jc w:val="both"/>
        <w:rPr>
          <w:rFonts w:ascii="Times New Roman" w:hAnsi="Times New Roman"/>
          <w:sz w:val="20"/>
        </w:rPr>
      </w:pPr>
      <w:r>
        <w:rPr>
          <w:rFonts w:ascii="Times New Roman" w:hAnsi="Times New Roman"/>
          <w:sz w:val="20"/>
        </w:rPr>
        <w:t xml:space="preserve">(d) to the extent permitted by the Administrator, surrendering Shares then issuable upon the Options exercise valued at their fair market value on the exercise date; </w:t>
      </w:r>
    </w:p>
    <w:p>
      <w:pPr>
        <w:pStyle w:val="TextBody"/>
        <w:bidi w:val="0"/>
        <w:spacing w:before="240" w:after="0"/>
        <w:jc w:val="both"/>
        <w:rPr>
          <w:rFonts w:ascii="Times New Roman" w:hAnsi="Times New Roman"/>
          <w:sz w:val="20"/>
        </w:rPr>
      </w:pPr>
      <w:r>
        <w:rPr>
          <w:rFonts w:ascii="Times New Roman" w:hAnsi="Times New Roman"/>
          <w:sz w:val="20"/>
        </w:rPr>
        <w:t xml:space="preserve">(e) to the extent permitted by the Administrator, delivery of a promissory note or any other property that the Administrator determines is good and valuable consideration; or </w:t>
      </w:r>
    </w:p>
    <w:p>
      <w:pPr>
        <w:pStyle w:val="TextBody"/>
        <w:bidi w:val="0"/>
        <w:spacing w:before="240" w:after="0"/>
        <w:jc w:val="both"/>
        <w:rPr>
          <w:rFonts w:ascii="Times New Roman" w:hAnsi="Times New Roman"/>
          <w:sz w:val="20"/>
        </w:rPr>
      </w:pPr>
      <w:r>
        <w:rPr>
          <w:rFonts w:ascii="Times New Roman" w:hAnsi="Times New Roman"/>
          <w:sz w:val="20"/>
        </w:rPr>
        <w:t xml:space="preserve">(f) to the extent permitted by the Company, any combination of the above payment forms approved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5.6 </w:t>
      </w:r>
      <w:r>
        <w:rPr>
          <w:rFonts w:ascii="Times New Roman" w:hAnsi="Times New Roman"/>
          <w:sz w:val="20"/>
          <w:u w:val="single"/>
        </w:rPr>
        <w:t>Additional Terms of Incentive Stock Options</w:t>
      </w:r>
      <w:r>
        <w:rPr>
          <w:rFonts w:ascii="Times New Roman" w:hAnsi="Times New Roman"/>
          <w:sz w:val="20"/>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(2) years from the grant date of the Option or (ii)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The foregoing terms shall be incorporated into any Award Agreement evidencing an Option intended to be an Incentive Stock Option to the extent necessary to cause such Award to so qualify.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both"/>
        <w:rPr>
          <w:rFonts w:ascii="Times New Roman" w:hAnsi="Times New Roman"/>
          <w:sz w:val="20"/>
        </w:rPr>
      </w:pPr>
      <w:r>
        <w:rPr>
          <w:rFonts w:ascii="Times New Roman" w:hAnsi="Times New Roman"/>
          <w:sz w:val="20"/>
        </w:rPr>
        <w:t xml:space="preserve">6.1 </w:t>
      </w:r>
      <w:r>
        <w:rPr>
          <w:rFonts w:ascii="Times New Roman" w:hAnsi="Times New Roman"/>
          <w:sz w:val="20"/>
          <w:u w:val="single"/>
        </w:rPr>
        <w:t>General</w:t>
      </w:r>
      <w:r>
        <w:rPr>
          <w:rFonts w:ascii="Times New Roman" w:hAnsi="Times New Roman"/>
          <w:sz w:val="20"/>
        </w:rPr>
        <w:t xml:space="preserve">.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6.2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Dividends</w:t>
      </w:r>
      <w:r>
        <w:rPr>
          <w:rFonts w:ascii="Times New Roman" w:hAnsi="Times New Roman"/>
          <w:sz w:val="20"/>
        </w:rPr>
        <w:t xml:space="preserve">.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unless otherwise determined by the Administrator,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Certificates</w:t>
      </w:r>
      <w:r>
        <w:rPr>
          <w:rFonts w:ascii="Times New Roman" w:hAnsi="Times New Roman"/>
          <w:sz w:val="20"/>
        </w:rPr>
        <w:t xml:space="preserve">. The Company may require that the Participant deposit in escrow with the Company (or its designee) any stock certificates issued in respect of Shares of Restricted Stock, together with a stock power endorsed in blank. </w:t>
      </w:r>
    </w:p>
    <w:p>
      <w:pPr>
        <w:pStyle w:val="TextBody"/>
        <w:bidi w:val="0"/>
        <w:spacing w:before="240" w:after="0"/>
        <w:jc w:val="both"/>
        <w:rPr>
          <w:rFonts w:ascii="Times New Roman" w:hAnsi="Times New Roman"/>
          <w:sz w:val="20"/>
        </w:rPr>
      </w:pPr>
      <w:r>
        <w:rPr>
          <w:rFonts w:ascii="Times New Roman" w:hAnsi="Times New Roman"/>
          <w:sz w:val="20"/>
        </w:rPr>
        <w:t xml:space="preserve">6.3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Settlement</w:t>
      </w:r>
      <w:r>
        <w:rPr>
          <w:rFonts w:ascii="Times New Roman" w:hAnsi="Times New Roman"/>
          <w:sz w:val="20"/>
        </w:rPr>
        <w:t xml:space="preserve">.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Rights</w:t>
      </w:r>
      <w:r>
        <w:rPr>
          <w:rFonts w:ascii="Times New Roman" w:hAnsi="Times New Roman"/>
          <w:sz w:val="20"/>
        </w:rPr>
        <w:t xml:space="preserve">. A Participant will have no rights of a stockholder with respect to Shares subject to any Restricted Stock Unit unless and until the Shares are delivered in settlement of the Restricted Stock Unit.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OTHER STOCK OR CASH BASED AWARDS; DIVIDEND EQUIVALENTS </w:t>
      </w:r>
    </w:p>
    <w:p>
      <w:pPr>
        <w:pStyle w:val="TextBody"/>
        <w:bidi w:val="0"/>
        <w:spacing w:before="240" w:after="0"/>
        <w:jc w:val="both"/>
        <w:rPr>
          <w:rFonts w:ascii="Times New Roman" w:hAnsi="Times New Roman"/>
          <w:sz w:val="20"/>
        </w:rPr>
      </w:pPr>
      <w:r>
        <w:rPr>
          <w:rFonts w:ascii="Times New Roman" w:hAnsi="Times New Roman"/>
          <w:sz w:val="20"/>
        </w:rPr>
        <w:t xml:space="preserve">7.1 </w:t>
      </w:r>
      <w:r>
        <w:rPr>
          <w:rFonts w:ascii="Times New Roman" w:hAnsi="Times New Roman"/>
          <w:sz w:val="20"/>
          <w:u w:val="single"/>
        </w:rPr>
        <w:t>Other Stock or Cash Based Awards</w:t>
      </w:r>
      <w:r>
        <w:rPr>
          <w:rFonts w:ascii="Times New Roman" w:hAnsi="Times New Roman"/>
          <w:sz w:val="20"/>
        </w:rPr>
        <w:t xml:space="preserve">.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entitled. Other Stock or Cash Based Awards may be paid in Shares, cash, or other property, as the Administrator determines. </w:t>
      </w:r>
    </w:p>
    <w:p>
      <w:pPr>
        <w:pStyle w:val="TextBody"/>
        <w:bidi w:val="0"/>
        <w:spacing w:before="240" w:after="0"/>
        <w:jc w:val="both"/>
        <w:rPr>
          <w:rFonts w:ascii="Times New Roman" w:hAnsi="Times New Roman"/>
          <w:sz w:val="20"/>
        </w:rPr>
      </w:pPr>
      <w:r>
        <w:rPr>
          <w:rFonts w:ascii="Times New Roman" w:hAnsi="Times New Roman"/>
          <w:sz w:val="20"/>
        </w:rPr>
        <w:t xml:space="preserve">7.2 </w:t>
      </w:r>
      <w:r>
        <w:rPr>
          <w:rFonts w:ascii="Times New Roman" w:hAnsi="Times New Roman"/>
          <w:sz w:val="20"/>
          <w:u w:val="single"/>
        </w:rPr>
        <w:t>Dividend Equivalents</w:t>
      </w:r>
      <w:r>
        <w:rPr>
          <w:rFonts w:ascii="Times New Roman" w:hAnsi="Times New Roman"/>
          <w:sz w:val="20"/>
        </w:rPr>
        <w:t xml:space="preserve">.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unless otherwise determined by the Administrator, Dividend Equivalents with respect to an Award shall only be paid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ADJUSTMENTS FOR CHANGES IN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CERTAIN OTHER EVENTS </w:t>
      </w:r>
    </w:p>
    <w:p>
      <w:pPr>
        <w:pStyle w:val="TextBody"/>
        <w:bidi w:val="0"/>
        <w:spacing w:before="240" w:after="0"/>
        <w:jc w:val="both"/>
        <w:rPr>
          <w:rFonts w:ascii="Times New Roman" w:hAnsi="Times New Roman"/>
          <w:sz w:val="20"/>
        </w:rPr>
      </w:pPr>
      <w:r>
        <w:rPr>
          <w:rFonts w:ascii="Times New Roman" w:hAnsi="Times New Roman"/>
          <w:sz w:val="20"/>
        </w:rPr>
        <w:t xml:space="preserve">8.1 </w:t>
      </w:r>
      <w:r>
        <w:rPr>
          <w:rFonts w:ascii="Times New Roman" w:hAnsi="Times New Roman"/>
          <w:sz w:val="20"/>
          <w:u w:val="single"/>
        </w:rPr>
        <w:t xml:space="preserve">Equity Restructuring(a) </w:t>
      </w:r>
      <w:r>
        <w:rPr>
          <w:rFonts w:ascii="Times New Roman" w:hAnsi="Times New Roman"/>
          <w:sz w:val="20"/>
        </w:rPr>
        <w:t xml:space="preserve">.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 </w:t>
      </w:r>
    </w:p>
    <w:p>
      <w:pPr>
        <w:pStyle w:val="TextBody"/>
        <w:bidi w:val="0"/>
        <w:spacing w:before="240" w:after="0"/>
        <w:jc w:val="both"/>
        <w:rPr>
          <w:rFonts w:ascii="Times New Roman" w:hAnsi="Times New Roman"/>
          <w:sz w:val="20"/>
        </w:rPr>
      </w:pPr>
      <w:r>
        <w:rPr>
          <w:rFonts w:ascii="Times New Roman" w:hAnsi="Times New Roman"/>
          <w:sz w:val="20"/>
        </w:rPr>
        <w:t xml:space="preserve">8.2 </w:t>
      </w:r>
      <w:r>
        <w:rPr>
          <w:rFonts w:ascii="Times New Roman" w:hAnsi="Times New Roman"/>
          <w:sz w:val="20"/>
          <w:u w:val="single"/>
        </w:rPr>
        <w:t>Corporate Transactions</w:t>
      </w:r>
      <w:r>
        <w:rPr>
          <w:rFonts w:ascii="Times New Roman" w:hAnsi="Times New Roman"/>
          <w:sz w:val="20"/>
        </w:rPr>
        <w:t xml:space="preserve">.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any case, is equal to or less than zero, then the Award may be terminated without payment; provided, further, that Awards held by members of the Board will be settled in Shares on or immediately prior to the applicable event if the Administrator takes action under this clause (a); </w:t>
      </w:r>
    </w:p>
    <w:p>
      <w:pPr>
        <w:pStyle w:val="TextBody"/>
        <w:bidi w:val="0"/>
        <w:spacing w:before="240" w:after="0"/>
        <w:jc w:val="both"/>
        <w:rPr>
          <w:rFonts w:ascii="Times New Roman" w:hAnsi="Times New Roman"/>
          <w:sz w:val="20"/>
        </w:rPr>
      </w:pPr>
      <w:r>
        <w:rPr>
          <w:rFonts w:ascii="Times New Roman" w:hAnsi="Times New Roman"/>
          <w:sz w:val="20"/>
        </w:rPr>
        <w:t xml:space="preserve">(b) To provide that such Award shall vest and, to the extent applicable, be exercisable as to all Shares covered thereby, notwithstanding anything to the contrary in the Plan or the provisions of such Award; </w:t>
      </w:r>
    </w:p>
    <w:p>
      <w:pPr>
        <w:pStyle w:val="TextBody"/>
        <w:bidi w:val="0"/>
        <w:spacing w:before="240" w:after="0"/>
        <w:jc w:val="both"/>
        <w:rPr>
          <w:rFonts w:ascii="Times New Roman" w:hAnsi="Times New Roman"/>
          <w:sz w:val="20"/>
        </w:rPr>
      </w:pPr>
      <w:r>
        <w:rPr>
          <w:rFonts w:ascii="Times New Roman" w:hAnsi="Times New Roman"/>
          <w:sz w:val="20"/>
        </w:rPr>
        <w:t xml:space="preserve">(c)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 </w:t>
      </w:r>
    </w:p>
    <w:p>
      <w:pPr>
        <w:pStyle w:val="TextBody"/>
        <w:bidi w:val="0"/>
        <w:spacing w:before="240" w:after="0"/>
        <w:jc w:val="both"/>
        <w:rPr>
          <w:rFonts w:ascii="Times New Roman" w:hAnsi="Times New Roman"/>
          <w:sz w:val="20"/>
        </w:rPr>
      </w:pPr>
      <w:r>
        <w:rPr>
          <w:rFonts w:ascii="Times New Roman" w:hAnsi="Times New Roman"/>
          <w:sz w:val="20"/>
        </w:rPr>
        <w:t xml:space="preserve">(e) To replace such Award with other rights or property selected by the Administrator; and/or </w:t>
      </w:r>
    </w:p>
    <w:p>
      <w:pPr>
        <w:pStyle w:val="TextBody"/>
        <w:bidi w:val="0"/>
        <w:spacing w:before="240" w:after="0"/>
        <w:jc w:val="both"/>
        <w:rPr>
          <w:rFonts w:ascii="Times New Roman" w:hAnsi="Times New Roman"/>
          <w:sz w:val="20"/>
        </w:rPr>
      </w:pPr>
      <w:r>
        <w:rPr>
          <w:rFonts w:ascii="Times New Roman" w:hAnsi="Times New Roman"/>
          <w:sz w:val="20"/>
        </w:rPr>
        <w:t xml:space="preserve">(f) To provide that the Award will terminate and cannot vest, be exercised or become payable after the applicable event. </w:t>
      </w:r>
    </w:p>
    <w:p>
      <w:pPr>
        <w:pStyle w:val="TextBody"/>
        <w:bidi w:val="0"/>
        <w:spacing w:before="240" w:after="0"/>
        <w:jc w:val="both"/>
        <w:rPr>
          <w:rFonts w:ascii="Times New Roman" w:hAnsi="Times New Roman"/>
          <w:sz w:val="20"/>
        </w:rPr>
      </w:pPr>
      <w:r>
        <w:rPr>
          <w:rFonts w:ascii="Times New Roman" w:hAnsi="Times New Roman"/>
          <w:sz w:val="20"/>
        </w:rPr>
        <w:t xml:space="preserve">8.3 </w:t>
      </w:r>
      <w:r>
        <w:rPr>
          <w:rFonts w:ascii="Times New Roman" w:hAnsi="Times New Roman"/>
          <w:sz w:val="20"/>
          <w:u w:val="single"/>
        </w:rPr>
        <w:t>Effect of Non-Assumption in a Change in Control</w:t>
      </w:r>
      <w:r>
        <w:rPr>
          <w:rFonts w:ascii="Times New Roman" w:hAnsi="Times New Roman"/>
          <w:sz w:val="20"/>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hAnsi="Times New Roman"/>
          <w:b/>
          <w:i/>
          <w:sz w:val="20"/>
        </w:rPr>
        <w:t>Assumption</w:t>
      </w:r>
      <w:r>
        <w:rPr>
          <w:rFonts w:ascii="Times New Roman" w:hAnsi="Times New Roman"/>
          <w:sz w:val="20"/>
        </w:rPr>
        <w:t xml:space="preserve">), and provided that the Participant has not had a Termination of Service, then the Administrator may provide that,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Times New Roman" w:hAnsi="Times New Roman"/>
          <w:i/>
          <w:sz w:val="20"/>
        </w:rPr>
        <w:t>provided that</w:t>
      </w:r>
      <w:r>
        <w:rPr>
          <w:rFonts w:ascii="Times New Roman" w:hAnsi="Times New Roman"/>
          <w:sz w:val="20"/>
        </w:rPr>
        <w:t xml:space="preserve">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hAnsi="Times New Roman"/>
          <w:i/>
          <w:sz w:val="20"/>
        </w:rPr>
        <w:t>provided, further</w:t>
      </w:r>
      <w:r>
        <w:rPr>
          <w:rFonts w:ascii="Times New Roman" w:hAnsi="Times New Roman"/>
          <w:sz w:val="20"/>
        </w:rPr>
        <w:t xml:space="preserve">,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8.4 </w:t>
      </w:r>
      <w:r>
        <w:rPr>
          <w:rFonts w:ascii="Times New Roman" w:hAnsi="Times New Roman"/>
          <w:sz w:val="20"/>
          <w:u w:val="single"/>
        </w:rPr>
        <w:t>Administrative Stand Still</w:t>
      </w:r>
      <w:r>
        <w:rPr>
          <w:rFonts w:ascii="Times New Roman" w:hAnsi="Times New Roman"/>
          <w:sz w:val="20"/>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sixty (60) days before or after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8.5 </w:t>
      </w:r>
      <w:r>
        <w:rPr>
          <w:rFonts w:ascii="Times New Roman" w:hAnsi="Times New Roman"/>
          <w:sz w:val="20"/>
          <w:u w:val="single"/>
        </w:rPr>
        <w:t>General</w:t>
      </w:r>
      <w:r>
        <w:rPr>
          <w:rFonts w:ascii="Times New Roman" w:hAnsi="Times New Roman"/>
          <w:sz w:val="20"/>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APPLICABLE TO AWARDS </w:t>
      </w:r>
    </w:p>
    <w:p>
      <w:pPr>
        <w:pStyle w:val="TextBody"/>
        <w:bidi w:val="0"/>
        <w:spacing w:before="240" w:after="0"/>
        <w:jc w:val="both"/>
        <w:rPr>
          <w:rFonts w:ascii="Times New Roman" w:hAnsi="Times New Roman"/>
          <w:sz w:val="20"/>
        </w:rPr>
      </w:pPr>
      <w:r>
        <w:rPr>
          <w:rFonts w:ascii="Times New Roman" w:hAnsi="Times New Roman"/>
          <w:sz w:val="20"/>
        </w:rPr>
        <w:t xml:space="preserve">9.1 </w:t>
      </w:r>
      <w:r>
        <w:rPr>
          <w:rFonts w:ascii="Times New Roman" w:hAnsi="Times New Roman"/>
          <w:sz w:val="20"/>
          <w:u w:val="single"/>
        </w:rPr>
        <w:t>Transferability</w:t>
      </w:r>
      <w:r>
        <w:rPr>
          <w:rFonts w:ascii="Times New Roman" w:hAnsi="Times New Roman"/>
          <w:sz w:val="20"/>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 </w:t>
      </w:r>
    </w:p>
    <w:p>
      <w:pPr>
        <w:pStyle w:val="TextBody"/>
        <w:bidi w:val="0"/>
        <w:spacing w:before="240" w:after="0"/>
        <w:jc w:val="both"/>
        <w:rPr>
          <w:rFonts w:ascii="Times New Roman" w:hAnsi="Times New Roman"/>
          <w:sz w:val="20"/>
        </w:rPr>
      </w:pPr>
      <w:r>
        <w:rPr>
          <w:rFonts w:ascii="Times New Roman" w:hAnsi="Times New Roman"/>
          <w:sz w:val="20"/>
        </w:rPr>
        <w:t xml:space="preserve">9.2 </w:t>
      </w:r>
      <w:r>
        <w:rPr>
          <w:rFonts w:ascii="Times New Roman" w:hAnsi="Times New Roman"/>
          <w:sz w:val="20"/>
          <w:u w:val="single"/>
        </w:rPr>
        <w:t>Documentation</w:t>
      </w:r>
      <w:r>
        <w:rPr>
          <w:rFonts w:ascii="Times New Roman" w:hAnsi="Times New Roman"/>
          <w:sz w:val="20"/>
        </w:rPr>
        <w:t xml:space="preserve">. Each Award will be evidenced in an Award Agreement, which may be written or electronic, as the Administrator determines. Each Award may contain terms and conditions in addition to those set forth in the Plan. </w:t>
      </w:r>
    </w:p>
    <w:p>
      <w:pPr>
        <w:pStyle w:val="TextBody"/>
        <w:bidi w:val="0"/>
        <w:spacing w:before="240" w:after="0"/>
        <w:jc w:val="both"/>
        <w:rPr>
          <w:rFonts w:ascii="Times New Roman" w:hAnsi="Times New Roman"/>
          <w:sz w:val="20"/>
        </w:rPr>
      </w:pPr>
      <w:r>
        <w:rPr>
          <w:rFonts w:ascii="Times New Roman" w:hAnsi="Times New Roman"/>
          <w:sz w:val="20"/>
        </w:rPr>
        <w:t xml:space="preserve">9.3 </w:t>
      </w:r>
      <w:r>
        <w:rPr>
          <w:rFonts w:ascii="Times New Roman" w:hAnsi="Times New Roman"/>
          <w:sz w:val="20"/>
          <w:u w:val="single"/>
        </w:rPr>
        <w:t>Discretion</w:t>
      </w:r>
      <w:r>
        <w:rPr>
          <w:rFonts w:ascii="Times New Roman" w:hAnsi="Times New Roman"/>
          <w:sz w:val="20"/>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240" w:after="0"/>
        <w:jc w:val="both"/>
        <w:rPr>
          <w:rFonts w:ascii="Times New Roman" w:hAnsi="Times New Roman"/>
          <w:sz w:val="20"/>
        </w:rPr>
      </w:pPr>
      <w:r>
        <w:rPr>
          <w:rFonts w:ascii="Times New Roman" w:hAnsi="Times New Roman"/>
          <w:sz w:val="20"/>
        </w:rPr>
        <w:t xml:space="preserve">9.4 </w:t>
      </w:r>
      <w:r>
        <w:rPr>
          <w:rFonts w:ascii="Times New Roman" w:hAnsi="Times New Roman"/>
          <w:sz w:val="20"/>
          <w:u w:val="single"/>
        </w:rPr>
        <w:t>Termination of Status</w:t>
      </w:r>
      <w:r>
        <w:rPr>
          <w:rFonts w:ascii="Times New Roman" w:hAnsi="Times New Roman"/>
          <w:sz w:val="20"/>
        </w:rPr>
        <w:t xml:space="preserve">.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w:t>
      </w:r>
    </w:p>
    <w:p>
      <w:pPr>
        <w:pStyle w:val="TextBody"/>
        <w:bidi w:val="0"/>
        <w:spacing w:before="240" w:after="0"/>
        <w:jc w:val="both"/>
        <w:rPr>
          <w:rFonts w:ascii="Times New Roman" w:hAnsi="Times New Roman"/>
          <w:sz w:val="20"/>
        </w:rPr>
      </w:pPr>
      <w:r>
        <w:rPr>
          <w:rFonts w:ascii="Times New Roman" w:hAnsi="Times New Roman"/>
          <w:sz w:val="20"/>
        </w:rPr>
        <w:t xml:space="preserve">9.5 </w:t>
      </w:r>
      <w:r>
        <w:rPr>
          <w:rFonts w:ascii="Times New Roman" w:hAnsi="Times New Roman"/>
          <w:sz w:val="20"/>
          <w:u w:val="single"/>
        </w:rPr>
        <w:t>Withholding</w:t>
      </w:r>
      <w:r>
        <w:rPr>
          <w:rFonts w:ascii="Times New Roman" w:hAnsi="Times New Roman"/>
          <w:sz w:val="20"/>
        </w:rPr>
        <w:t xml:space="preserve">. Each Participant must pay the Company or make provision satisfactory to the Administrator for payment of, any taxes required by Applicable Law to be withheld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 </w:t>
      </w:r>
    </w:p>
    <w:p>
      <w:pPr>
        <w:pStyle w:val="TextBody"/>
        <w:bidi w:val="0"/>
        <w:spacing w:before="240" w:after="0"/>
        <w:jc w:val="both"/>
        <w:rPr>
          <w:rFonts w:ascii="Times New Roman" w:hAnsi="Times New Roman"/>
          <w:sz w:val="20"/>
        </w:rPr>
      </w:pPr>
      <w:r>
        <w:rPr>
          <w:rFonts w:ascii="Times New Roman" w:hAnsi="Times New Roman"/>
          <w:sz w:val="20"/>
        </w:rPr>
        <w:t xml:space="preserve">9.6 </w:t>
      </w:r>
      <w:r>
        <w:rPr>
          <w:rFonts w:ascii="Times New Roman" w:hAnsi="Times New Roman"/>
          <w:sz w:val="20"/>
          <w:u w:val="single"/>
        </w:rPr>
        <w:t>Amendment of Award; Repricing</w:t>
      </w:r>
      <w:r>
        <w:rPr>
          <w:rFonts w:ascii="Times New Roman" w:hAnsi="Times New Roman"/>
          <w:sz w:val="20"/>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that have an exercise price in excess of Fair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Value in exchange for cash, other Awards or Options or Stock Appreciation Rights with an exercise price per share that is less than the exercise price per share of the original Options or Stock Appreciation Rights. </w:t>
      </w:r>
    </w:p>
    <w:p>
      <w:pPr>
        <w:pStyle w:val="TextBody"/>
        <w:bidi w:val="0"/>
        <w:spacing w:before="240" w:after="0"/>
        <w:jc w:val="both"/>
        <w:rPr>
          <w:rFonts w:ascii="Times New Roman" w:hAnsi="Times New Roman"/>
          <w:sz w:val="20"/>
        </w:rPr>
      </w:pPr>
      <w:r>
        <w:rPr>
          <w:rFonts w:ascii="Times New Roman" w:hAnsi="Times New Roman"/>
          <w:sz w:val="20"/>
        </w:rPr>
        <w:t xml:space="preserve">9.7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 </w:t>
      </w:r>
    </w:p>
    <w:p>
      <w:pPr>
        <w:pStyle w:val="TextBody"/>
        <w:bidi w:val="0"/>
        <w:spacing w:before="240" w:after="0"/>
        <w:jc w:val="both"/>
        <w:rPr>
          <w:rFonts w:ascii="Times New Roman" w:hAnsi="Times New Roman"/>
          <w:sz w:val="20"/>
        </w:rPr>
      </w:pPr>
      <w:r>
        <w:rPr>
          <w:rFonts w:ascii="Times New Roman" w:hAnsi="Times New Roman"/>
          <w:sz w:val="20"/>
        </w:rPr>
        <w:t xml:space="preserve">9.8 </w:t>
      </w:r>
      <w:r>
        <w:rPr>
          <w:rFonts w:ascii="Times New Roman" w:hAnsi="Times New Roman"/>
          <w:sz w:val="20"/>
          <w:u w:val="single"/>
        </w:rPr>
        <w:t>Acceleration</w:t>
      </w:r>
      <w:r>
        <w:rPr>
          <w:rFonts w:ascii="Times New Roman" w:hAnsi="Times New Roman"/>
          <w:sz w:val="20"/>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before="240" w:after="0"/>
        <w:jc w:val="both"/>
        <w:rPr>
          <w:rFonts w:ascii="Times New Roman" w:hAnsi="Times New Roman"/>
          <w:sz w:val="20"/>
        </w:rPr>
      </w:pPr>
      <w:r>
        <w:rPr>
          <w:rFonts w:ascii="Times New Roman" w:hAnsi="Times New Roman"/>
          <w:sz w:val="20"/>
        </w:rPr>
        <w:t xml:space="preserve">9.9 </w:t>
      </w:r>
      <w:r>
        <w:rPr>
          <w:rFonts w:ascii="Times New Roman" w:hAnsi="Times New Roman"/>
          <w:sz w:val="20"/>
          <w:u w:val="single"/>
        </w:rPr>
        <w:t>Cash Settlement</w:t>
      </w:r>
      <w:r>
        <w:rPr>
          <w:rFonts w:ascii="Times New Roman" w:hAnsi="Times New Roman"/>
          <w:sz w:val="20"/>
        </w:rPr>
        <w:t xml:space="preserve">. Without limiting the generality of any other provision of the Plan, the Administrator may provide, in an Award Agreement or subsequent to the grant of an Award, at its discretion, that any Award may be settled in cash, Shares or a combination thereof. </w:t>
      </w:r>
    </w:p>
    <w:p>
      <w:pPr>
        <w:pStyle w:val="TextBody"/>
        <w:bidi w:val="0"/>
        <w:spacing w:before="240" w:after="0"/>
        <w:jc w:val="both"/>
        <w:rPr>
          <w:rFonts w:ascii="Times New Roman" w:hAnsi="Times New Roman"/>
          <w:sz w:val="20"/>
        </w:rPr>
      </w:pPr>
      <w:r>
        <w:rPr>
          <w:rFonts w:ascii="Times New Roman" w:hAnsi="Times New Roman"/>
          <w:sz w:val="20"/>
        </w:rPr>
        <w:t xml:space="preserve">9.10 </w:t>
      </w:r>
      <w:r>
        <w:rPr>
          <w:rFonts w:ascii="Times New Roman" w:hAnsi="Times New Roman"/>
          <w:sz w:val="20"/>
          <w:u w:val="single"/>
        </w:rPr>
        <w:t xml:space="preserve">Broker-Assisted Sales9.11 </w:t>
      </w:r>
      <w:r>
        <w:rPr>
          <w:rFonts w:ascii="Times New Roman" w:hAnsi="Times New Roman"/>
          <w:sz w:val="20"/>
        </w:rPr>
        <w:t xml:space="preserve">.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sz w:val="20"/>
        </w:rPr>
        <w:t xml:space="preserve">10.1 </w:t>
      </w:r>
      <w:r>
        <w:rPr>
          <w:rFonts w:ascii="Times New Roman" w:hAnsi="Times New Roman"/>
          <w:sz w:val="20"/>
          <w:u w:val="single"/>
        </w:rPr>
        <w:t>No Right to Employment or Other Status</w:t>
      </w:r>
      <w:r>
        <w:rPr>
          <w:rFonts w:ascii="Times New Roman" w:hAnsi="Times New Roman"/>
          <w:sz w:val="20"/>
        </w:rPr>
        <w:t xml:space="preserve">.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 </w:t>
      </w:r>
    </w:p>
    <w:p>
      <w:pPr>
        <w:pStyle w:val="TextBody"/>
        <w:bidi w:val="0"/>
        <w:spacing w:before="240" w:after="0"/>
        <w:jc w:val="both"/>
        <w:rPr>
          <w:rFonts w:ascii="Times New Roman" w:hAnsi="Times New Roman"/>
          <w:sz w:val="20"/>
        </w:rPr>
      </w:pPr>
      <w:r>
        <w:rPr>
          <w:rFonts w:ascii="Times New Roman" w:hAnsi="Times New Roman"/>
          <w:sz w:val="20"/>
        </w:rPr>
        <w:t xml:space="preserve">10.2 </w:t>
      </w:r>
      <w:r>
        <w:rPr>
          <w:rFonts w:ascii="Times New Roman" w:hAnsi="Times New Roman"/>
          <w:sz w:val="20"/>
          <w:u w:val="single"/>
        </w:rPr>
        <w:t>No Rights as Stockholder; Certificates</w:t>
      </w:r>
      <w:r>
        <w:rPr>
          <w:rFonts w:ascii="Times New Roman" w:hAnsi="Times New Roman"/>
          <w:sz w:val="20"/>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 </w:t>
      </w:r>
    </w:p>
    <w:p>
      <w:pPr>
        <w:pStyle w:val="TextBody"/>
        <w:bidi w:val="0"/>
        <w:spacing w:before="240" w:after="0"/>
        <w:jc w:val="both"/>
        <w:rPr>
          <w:rFonts w:ascii="Times New Roman" w:hAnsi="Times New Roman"/>
          <w:sz w:val="20"/>
        </w:rPr>
      </w:pPr>
      <w:r>
        <w:rPr>
          <w:rFonts w:ascii="Times New Roman" w:hAnsi="Times New Roman"/>
          <w:sz w:val="20"/>
        </w:rPr>
        <w:t xml:space="preserve">10.3 </w:t>
      </w:r>
      <w:r>
        <w:rPr>
          <w:rFonts w:ascii="Times New Roman" w:hAnsi="Times New Roman"/>
          <w:sz w:val="20"/>
          <w:u w:val="single"/>
        </w:rPr>
        <w:t>Effective Date and Term of Plan</w:t>
      </w:r>
      <w:r>
        <w:rPr>
          <w:rFonts w:ascii="Times New Roman" w:hAnsi="Times New Roman"/>
          <w:sz w:val="20"/>
        </w:rPr>
        <w:t xml:space="preserve">. Unless earlier terminated by the Board, the Plan will become effective on the Pricing Date and will remain in effect until the tenth anniversary of the earlier of (i) the date the Board adopted the Plan or (ii) the date the Companys stockholders approved the Plan, but Awards previously granted may extend beyond that date in accordance with the Plan. The Plan will be submitted for the approval of the Companys stockholders within twelve (12) months after the date of the Boards adoption of the Plan. </w:t>
      </w:r>
    </w:p>
    <w:p>
      <w:pPr>
        <w:pStyle w:val="TextBody"/>
        <w:bidi w:val="0"/>
        <w:spacing w:before="240" w:after="0"/>
        <w:jc w:val="both"/>
        <w:rPr>
          <w:rFonts w:ascii="Times New Roman" w:hAnsi="Times New Roman"/>
          <w:sz w:val="20"/>
        </w:rPr>
      </w:pPr>
      <w:r>
        <w:rPr>
          <w:rFonts w:ascii="Times New Roman" w:hAnsi="Times New Roman"/>
          <w:sz w:val="20"/>
        </w:rPr>
        <w:t xml:space="preserve">10.4 </w:t>
      </w:r>
      <w:r>
        <w:rPr>
          <w:rFonts w:ascii="Times New Roman" w:hAnsi="Times New Roman"/>
          <w:sz w:val="20"/>
          <w:u w:val="single"/>
        </w:rPr>
        <w:t>Amendment and Termination of Plan</w:t>
      </w:r>
      <w:r>
        <w:rPr>
          <w:rFonts w:ascii="Times New Roman" w:hAnsi="Times New Roman"/>
          <w:sz w:val="20"/>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 </w:t>
      </w:r>
    </w:p>
    <w:p>
      <w:pPr>
        <w:pStyle w:val="TextBody"/>
        <w:bidi w:val="0"/>
        <w:spacing w:before="240" w:after="0"/>
        <w:jc w:val="both"/>
        <w:rPr>
          <w:rFonts w:ascii="Times New Roman" w:hAnsi="Times New Roman"/>
          <w:sz w:val="20"/>
        </w:rPr>
      </w:pPr>
      <w:r>
        <w:rPr>
          <w:rFonts w:ascii="Times New Roman" w:hAnsi="Times New Roman"/>
          <w:sz w:val="20"/>
        </w:rPr>
        <w:t xml:space="preserve">10.5 </w:t>
      </w:r>
      <w:r>
        <w:rPr>
          <w:rFonts w:ascii="Times New Roman" w:hAnsi="Times New Roman"/>
          <w:sz w:val="20"/>
          <w:u w:val="single"/>
        </w:rPr>
        <w:t>Provisions for Foreign Participants</w:t>
      </w:r>
      <w:r>
        <w:rPr>
          <w:rFonts w:ascii="Times New Roman" w:hAnsi="Times New Roman"/>
          <w:sz w:val="20"/>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p>
    <w:p>
      <w:pPr>
        <w:pStyle w:val="TextBody"/>
        <w:bidi w:val="0"/>
        <w:spacing w:before="240" w:after="0"/>
        <w:jc w:val="both"/>
        <w:rPr>
          <w:rFonts w:ascii="Times New Roman" w:hAnsi="Times New Roman"/>
          <w:sz w:val="20"/>
        </w:rPr>
      </w:pPr>
      <w:r>
        <w:rPr>
          <w:rFonts w:ascii="Times New Roman" w:hAnsi="Times New Roman"/>
          <w:sz w:val="20"/>
        </w:rPr>
        <w:t xml:space="preserve">10.6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Separation from Service</w:t>
      </w:r>
      <w:r>
        <w:rPr>
          <w:rFonts w:ascii="Times New Roman" w:hAnsi="Times New Roman"/>
          <w:sz w:val="20"/>
        </w:rPr>
        <w:t xml:space="preserve">.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Payments to Specified Employees</w:t>
      </w:r>
      <w:r>
        <w:rPr>
          <w:rFonts w:ascii="Times New Roman" w:hAnsi="Times New Roman"/>
          <w:sz w:val="20"/>
        </w:rPr>
        <w:t xml:space="preserve">.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 (6)-month period immediately following such separation from service (or, if earlier, until the specified employees death) and will instead be paid (as set forth in the Award Agreement) on the day immediately following such six (6)-month period or as soon as administratively practicable thereafter (without interest). Any payments of nonqualified deferred compensation under such Award payable more than six (6)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 </w:t>
      </w:r>
    </w:p>
    <w:p>
      <w:pPr>
        <w:pStyle w:val="TextBody"/>
        <w:bidi w:val="0"/>
        <w:spacing w:before="240" w:after="0"/>
        <w:jc w:val="both"/>
        <w:rPr>
          <w:rFonts w:ascii="Times New Roman" w:hAnsi="Times New Roman"/>
          <w:sz w:val="20"/>
        </w:rPr>
      </w:pPr>
      <w:r>
        <w:rPr>
          <w:rFonts w:ascii="Times New Roman" w:hAnsi="Times New Roman"/>
          <w:sz w:val="20"/>
        </w:rPr>
        <w:t xml:space="preserve">10.7 </w:t>
      </w:r>
      <w:r>
        <w:rPr>
          <w:rFonts w:ascii="Times New Roman" w:hAnsi="Times New Roman"/>
          <w:sz w:val="20"/>
          <w:u w:val="single"/>
        </w:rPr>
        <w:t>Limitations on Liability</w:t>
      </w:r>
      <w:r>
        <w:rPr>
          <w:rFonts w:ascii="Times New Roman" w:hAnsi="Times New Roman"/>
          <w:sz w:val="20"/>
        </w:rPr>
        <w:t xml:space="preserve">.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w:t>
      </w:r>
    </w:p>
    <w:p>
      <w:pPr>
        <w:pStyle w:val="TextBody"/>
        <w:bidi w:val="0"/>
        <w:spacing w:before="240" w:after="0"/>
        <w:jc w:val="both"/>
        <w:rPr>
          <w:rFonts w:ascii="Times New Roman" w:hAnsi="Times New Roman"/>
          <w:sz w:val="20"/>
        </w:rPr>
      </w:pPr>
      <w:r>
        <w:rPr>
          <w:rFonts w:ascii="Times New Roman" w:hAnsi="Times New Roman"/>
          <w:sz w:val="20"/>
        </w:rPr>
        <w:t xml:space="preserve">10.8 </w:t>
      </w:r>
      <w:r>
        <w:rPr>
          <w:rFonts w:ascii="Times New Roman" w:hAnsi="Times New Roman"/>
          <w:sz w:val="20"/>
          <w:u w:val="single"/>
        </w:rPr>
        <w:t>Lock-Up Period</w:t>
      </w:r>
      <w:r>
        <w:rPr>
          <w:rFonts w:ascii="Times New Roman" w:hAnsi="Times New Roman"/>
          <w:sz w:val="20"/>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(180) days following the effective date of a Company registration statement filed under the Securities Act, or such longer period as determined by the underwriter. </w:t>
      </w:r>
    </w:p>
    <w:p>
      <w:pPr>
        <w:pStyle w:val="TextBody"/>
        <w:bidi w:val="0"/>
        <w:spacing w:before="240" w:after="0"/>
        <w:jc w:val="both"/>
        <w:rPr>
          <w:rFonts w:ascii="Times New Roman" w:hAnsi="Times New Roman"/>
          <w:sz w:val="20"/>
        </w:rPr>
      </w:pPr>
      <w:r>
        <w:rPr>
          <w:rFonts w:ascii="Times New Roman" w:hAnsi="Times New Roman"/>
          <w:sz w:val="20"/>
        </w:rPr>
        <w:t xml:space="preserve">10.9 </w:t>
      </w:r>
      <w:r>
        <w:rPr>
          <w:rFonts w:ascii="Times New Roman" w:hAnsi="Times New Roman"/>
          <w:sz w:val="20"/>
          <w:u w:val="single"/>
        </w:rPr>
        <w:t>Data Privacy</w:t>
      </w:r>
      <w:r>
        <w:rPr>
          <w:rFonts w:ascii="Times New Roman" w:hAnsi="Times New Roman"/>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 </w:t>
      </w:r>
    </w:p>
    <w:p>
      <w:pPr>
        <w:pStyle w:val="TextBody"/>
        <w:bidi w:val="0"/>
        <w:spacing w:before="240" w:after="0"/>
        <w:jc w:val="both"/>
        <w:rPr>
          <w:rFonts w:ascii="Times New Roman" w:hAnsi="Times New Roman"/>
          <w:sz w:val="20"/>
        </w:rPr>
      </w:pPr>
      <w:r>
        <w:rPr>
          <w:rFonts w:ascii="Times New Roman" w:hAnsi="Times New Roman"/>
          <w:sz w:val="20"/>
        </w:rPr>
        <w:t xml:space="preserve">10.10 </w:t>
      </w:r>
      <w:r>
        <w:rPr>
          <w:rFonts w:ascii="Times New Roman" w:hAnsi="Times New Roman"/>
          <w:sz w:val="20"/>
          <w:u w:val="single"/>
        </w:rPr>
        <w:t>Severability</w:t>
      </w:r>
      <w:r>
        <w:rPr>
          <w:rFonts w:ascii="Times New Roman" w:hAnsi="Times New Roman"/>
          <w:sz w:val="20"/>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w:t>
      </w:r>
    </w:p>
    <w:p>
      <w:pPr>
        <w:pStyle w:val="TextBody"/>
        <w:bidi w:val="0"/>
        <w:spacing w:before="240" w:after="0"/>
        <w:jc w:val="both"/>
        <w:rPr>
          <w:rFonts w:ascii="Times New Roman" w:hAnsi="Times New Roman"/>
          <w:sz w:val="20"/>
        </w:rPr>
      </w:pPr>
      <w:r>
        <w:rPr>
          <w:rFonts w:ascii="Times New Roman" w:hAnsi="Times New Roman"/>
          <w:sz w:val="20"/>
        </w:rPr>
        <w:t xml:space="preserve">10.11 </w:t>
      </w:r>
      <w:r>
        <w:rPr>
          <w:rFonts w:ascii="Times New Roman" w:hAnsi="Times New Roman"/>
          <w:sz w:val="20"/>
          <w:u w:val="single"/>
        </w:rPr>
        <w:t>Governing Documents</w:t>
      </w:r>
      <w:r>
        <w:rPr>
          <w:rFonts w:ascii="Times New Roman" w:hAnsi="Times New Roman"/>
          <w:sz w:val="20"/>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 </w:t>
      </w:r>
    </w:p>
    <w:p>
      <w:pPr>
        <w:pStyle w:val="TextBody"/>
        <w:bidi w:val="0"/>
        <w:spacing w:before="240" w:after="0"/>
        <w:jc w:val="both"/>
        <w:rPr>
          <w:rFonts w:ascii="Times New Roman" w:hAnsi="Times New Roman"/>
          <w:sz w:val="20"/>
        </w:rPr>
      </w:pPr>
      <w:r>
        <w:rPr>
          <w:rFonts w:ascii="Times New Roman" w:hAnsi="Times New Roman"/>
          <w:sz w:val="20"/>
        </w:rPr>
        <w:t xml:space="preserve">10.12 </w:t>
      </w:r>
      <w:r>
        <w:rPr>
          <w:rFonts w:ascii="Times New Roman" w:hAnsi="Times New Roman"/>
          <w:sz w:val="20"/>
          <w:u w:val="single"/>
        </w:rPr>
        <w:t>Governing Law; Venue; Waiver of Jury Trial</w:t>
      </w:r>
      <w:r>
        <w:rPr>
          <w:rFonts w:ascii="Times New Roman" w:hAnsi="Times New Roman"/>
          <w:sz w:val="20"/>
        </w:rPr>
        <w:t xml:space="preserve">. The Plan and all Awards will be governed by and interpreted in accordance with the laws of the State of Delaware, disregarding any states choice-of-law principles requiring the application of a jurisdictions laws other than the State of Delaware.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any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 </w:t>
      </w:r>
    </w:p>
    <w:p>
      <w:pPr>
        <w:pStyle w:val="TextBody"/>
        <w:bidi w:val="0"/>
        <w:spacing w:before="240" w:after="0"/>
        <w:jc w:val="both"/>
        <w:rPr>
          <w:rFonts w:ascii="Times New Roman" w:hAnsi="Times New Roman"/>
          <w:sz w:val="20"/>
        </w:rPr>
      </w:pPr>
      <w:r>
        <w:rPr>
          <w:rFonts w:ascii="Times New Roman" w:hAnsi="Times New Roman"/>
          <w:sz w:val="20"/>
        </w:rPr>
        <w:t xml:space="preserve">10.13 </w:t>
      </w:r>
      <w:r>
        <w:rPr>
          <w:rFonts w:ascii="Times New Roman" w:hAnsi="Times New Roman"/>
          <w:sz w:val="20"/>
          <w:u w:val="single"/>
        </w:rPr>
        <w:t>Clawback Provisions</w:t>
      </w:r>
      <w:r>
        <w:rPr>
          <w:rFonts w:ascii="Times New Roman" w:hAnsi="Times New Roman"/>
          <w:sz w:val="20"/>
        </w:rPr>
        <w:t>. All compensation received by Participants, including pursuant to Awards (including, without limitation, any proceeds, gains or other economic benefit actually or constructively received by Participant upon any receipt or exercise of any Award or upon the receipt or resale of any Shares underlying the Award) shall be subject to reduction, cancellation, forfeiture and/or recoupment to the extent necessary to comply with (a) any clawback, forfeiture or other similar policy adopted by the Company, including, without limitation, the Policy for Recovery of Erroneously Awarded Compensation (as amended from time to time, the </w:t>
      </w:r>
      <w:r>
        <w:rPr>
          <w:rFonts w:ascii="Times New Roman" w:hAnsi="Times New Roman"/>
          <w:b/>
          <w:i/>
          <w:sz w:val="20"/>
        </w:rPr>
        <w:t>Policy</w:t>
      </w:r>
      <w:r>
        <w:rPr>
          <w:rFonts w:ascii="Times New Roman" w:hAnsi="Times New Roman"/>
          <w:sz w:val="20"/>
        </w:rPr>
        <w:t>) adopted by the Company, and (b) any other clawback, recoupment, forfeiture or similar policies or provisions applicable to a Participant or required under Applicable Law (collectively, the </w:t>
      </w:r>
      <w:r>
        <w:rPr>
          <w:rFonts w:ascii="Times New Roman" w:hAnsi="Times New Roman"/>
          <w:b/>
          <w:i/>
          <w:sz w:val="20"/>
        </w:rPr>
        <w:t>Recovery Arrangements</w:t>
      </w:r>
      <w:r>
        <w:rPr>
          <w:rFonts w:ascii="Times New Roman" w:hAnsi="Times New Roman"/>
          <w:sz w:val="20"/>
        </w:rPr>
        <w:t xml:space="preserve">), notwithstanding any other agreement to the contrary. No recovery of compensation under any Recovery Arrangements will be an event that triggers or contributes to any right of a Participant to resign for good reason (or similar term) under the Plan or any Award Agreement or any other agreement with the Company or a Subsidiary or affiliate. By accepting an Award, each Participant will be deemed to have agreed that he or she is not entitled to indemnification in connection with any enforcement of the Recovery Arrangements and to have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rights to such indemnification under the Companys organizational documents or otherwise. By accepting an Award, each Participant agrees to take all required action in a reasonably prompt manner, as applicable, to enable the enforcement of the Recovery Arrangements. The Administrator may condition a Participants receipt of an Award on such Participants execution of an acknowledgment pursuant to which such Participant will agree to be bound by the terms of, and comply with, the Recovery Arrangements and this Section 10.13. </w:t>
      </w:r>
    </w:p>
    <w:p>
      <w:pPr>
        <w:pStyle w:val="TextBody"/>
        <w:bidi w:val="0"/>
        <w:spacing w:before="240" w:after="0"/>
        <w:jc w:val="both"/>
        <w:rPr>
          <w:rFonts w:ascii="Times New Roman" w:hAnsi="Times New Roman"/>
          <w:sz w:val="20"/>
        </w:rPr>
      </w:pPr>
      <w:r>
        <w:rPr>
          <w:rFonts w:ascii="Times New Roman" w:hAnsi="Times New Roman"/>
          <w:sz w:val="20"/>
        </w:rPr>
        <w:t xml:space="preserve">10.14 </w:t>
      </w:r>
      <w:r>
        <w:rPr>
          <w:rFonts w:ascii="Times New Roman" w:hAnsi="Times New Roman"/>
          <w:sz w:val="20"/>
          <w:u w:val="single"/>
        </w:rPr>
        <w:t>Titles and Headings</w:t>
      </w:r>
      <w:r>
        <w:rPr>
          <w:rFonts w:ascii="Times New Roman" w:hAnsi="Times New Roman"/>
          <w:sz w:val="20"/>
        </w:rPr>
        <w:t xml:space="preserve">. The titles and headings in the Plan are for convenience of reference only and, if there is any conflict, the Plans text, rather than such titles or headings, will control. </w:t>
      </w:r>
    </w:p>
    <w:p>
      <w:pPr>
        <w:pStyle w:val="TextBody"/>
        <w:bidi w:val="0"/>
        <w:spacing w:before="240" w:after="0"/>
        <w:jc w:val="both"/>
        <w:rPr>
          <w:rFonts w:ascii="Times New Roman" w:hAnsi="Times New Roman"/>
          <w:sz w:val="20"/>
        </w:rPr>
      </w:pPr>
      <w:r>
        <w:rPr>
          <w:rFonts w:ascii="Times New Roman" w:hAnsi="Times New Roman"/>
          <w:sz w:val="20"/>
        </w:rPr>
        <w:t xml:space="preserve">10.15 </w:t>
      </w:r>
      <w:r>
        <w:rPr>
          <w:rFonts w:ascii="Times New Roman" w:hAnsi="Times New Roman"/>
          <w:sz w:val="20"/>
          <w:u w:val="single"/>
        </w:rPr>
        <w:t>Conformity to Securities Laws</w:t>
      </w:r>
      <w:r>
        <w:rPr>
          <w:rFonts w:ascii="Times New Roman" w:hAnsi="Times New Roman"/>
          <w:sz w:val="20"/>
        </w:rPr>
        <w:t xml:space="preserve">.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w:t>
      </w:r>
    </w:p>
    <w:p>
      <w:pPr>
        <w:pStyle w:val="TextBody"/>
        <w:bidi w:val="0"/>
        <w:spacing w:before="240" w:after="0"/>
        <w:jc w:val="both"/>
        <w:rPr>
          <w:rFonts w:ascii="Times New Roman" w:hAnsi="Times New Roman"/>
          <w:sz w:val="20"/>
        </w:rPr>
      </w:pPr>
      <w:r>
        <w:rPr>
          <w:rFonts w:ascii="Times New Roman" w:hAnsi="Times New Roman"/>
          <w:sz w:val="20"/>
        </w:rPr>
        <w:t xml:space="preserve">10.16 </w:t>
      </w:r>
      <w:r>
        <w:rPr>
          <w:rFonts w:ascii="Times New Roman" w:hAnsi="Times New Roman"/>
          <w:sz w:val="20"/>
          <w:u w:val="single"/>
        </w:rPr>
        <w:t>Relationship to Other Benefits</w:t>
      </w:r>
      <w:r>
        <w:rPr>
          <w:rFonts w:ascii="Times New Roman" w:hAnsi="Times New Roman"/>
          <w:sz w:val="20"/>
        </w:rPr>
        <w:t xml:space="preserve">.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w:t>
      </w:r>
    </w:p>
    <w:p>
      <w:pPr>
        <w:pStyle w:val="TextBody"/>
        <w:bidi w:val="0"/>
        <w:spacing w:before="240" w:after="0"/>
        <w:jc w:val="both"/>
        <w:rPr>
          <w:rFonts w:ascii="Times New Roman" w:hAnsi="Times New Roman"/>
          <w:sz w:val="20"/>
        </w:rPr>
      </w:pPr>
      <w:r>
        <w:rPr>
          <w:rFonts w:ascii="Times New Roman" w:hAnsi="Times New Roman"/>
          <w:sz w:val="20"/>
        </w:rPr>
        <w:t xml:space="preserve">10.17 </w:t>
      </w:r>
      <w:r>
        <w:rPr>
          <w:rFonts w:ascii="Times New Roman" w:hAnsi="Times New Roman"/>
          <w:sz w:val="20"/>
          <w:u w:val="single"/>
        </w:rPr>
        <w:t>Plan Language</w:t>
      </w:r>
      <w:r>
        <w:rPr>
          <w:rFonts w:ascii="Times New Roman" w:hAnsi="Times New Roman"/>
          <w:sz w:val="20"/>
        </w:rPr>
        <w:t xml:space="preserve">. The official language of the Plan shall be English. To the extent that the Plan or any Award Agreements are translated from English into another language, the English version of the Plan and Award Agreements will always govern, in the event that there are inconsistencies or ambiguities which may arise due to such translation. </w:t>
      </w:r>
    </w:p>
    <w:p>
      <w:pPr>
        <w:pStyle w:val="TextBody"/>
        <w:bidi w:val="0"/>
        <w:spacing w:before="240" w:after="0"/>
        <w:jc w:val="both"/>
        <w:rPr>
          <w:rFonts w:ascii="Times New Roman" w:hAnsi="Times New Roman"/>
          <w:sz w:val="20"/>
        </w:rPr>
      </w:pPr>
      <w:r>
        <w:rPr>
          <w:rFonts w:ascii="Times New Roman" w:hAnsi="Times New Roman"/>
          <w:sz w:val="20"/>
        </w:rPr>
        <w:t xml:space="preserve">10.18 </w:t>
      </w:r>
      <w:r>
        <w:rPr>
          <w:rFonts w:ascii="Times New Roman" w:hAnsi="Times New Roman"/>
          <w:sz w:val="20"/>
          <w:u w:val="single"/>
        </w:rPr>
        <w:t>Applicable Currency</w:t>
      </w:r>
      <w:r>
        <w:rPr>
          <w:rFonts w:ascii="Times New Roman" w:hAnsi="Times New Roman"/>
          <w:sz w:val="20"/>
        </w:rPr>
        <w:t xml:space="preserve">. The Award Agreement shall specify the currency applicable to such Award. The Administrator may determine, in its sole discretion, that an Award denominated in one currency may be paid in any other currency based on the prevailing exchange rate as the Administrator deems appropriate.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absence of a designation in an Award Agreement, the currency applicable to an Award shall be U.S. Dollars.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both"/>
        <w:rPr>
          <w:rFonts w:ascii="Times New Roman" w:hAnsi="Times New Roman"/>
          <w:sz w:val="20"/>
        </w:rPr>
      </w:pPr>
      <w:r>
        <w:rPr>
          <w:rFonts w:ascii="Times New Roman" w:hAnsi="Times New Roman"/>
          <w:sz w:val="20"/>
        </w:rPr>
        <w:t xml:space="preserve">As used in the Plan, the following words and phrases will have the following meanings: </w:t>
      </w:r>
    </w:p>
    <w:p>
      <w:pPr>
        <w:pStyle w:val="TextBody"/>
        <w:bidi w:val="0"/>
        <w:spacing w:before="240" w:after="0"/>
        <w:jc w:val="both"/>
        <w:rPr>
          <w:rFonts w:ascii="Times New Roman" w:hAnsi="Times New Roman"/>
          <w:sz w:val="20"/>
        </w:rPr>
      </w:pPr>
      <w:r>
        <w:rPr>
          <w:rFonts w:ascii="Times New Roman" w:hAnsi="Times New Roman"/>
          <w:sz w:val="20"/>
        </w:rPr>
        <w:t>11.1 </w:t>
      </w:r>
      <w:r>
        <w:rPr>
          <w:rFonts w:ascii="Times New Roman" w:hAnsi="Times New Roman"/>
          <w:b/>
          <w:i/>
          <w:sz w:val="20"/>
        </w:rPr>
        <w:t>2022 Plan</w:t>
      </w:r>
      <w:r>
        <w:rPr>
          <w:rFonts w:ascii="Times New Roman" w:hAnsi="Times New Roman"/>
          <w:sz w:val="20"/>
        </w:rPr>
        <w:t xml:space="preserve"> means the CG Oncology, Inc. 2022 Incentive Award Plan. </w:t>
      </w:r>
    </w:p>
    <w:p>
      <w:pPr>
        <w:pStyle w:val="TextBody"/>
        <w:bidi w:val="0"/>
        <w:spacing w:before="240" w:after="0"/>
        <w:jc w:val="both"/>
        <w:rPr>
          <w:rFonts w:ascii="Times New Roman" w:hAnsi="Times New Roman"/>
          <w:sz w:val="20"/>
        </w:rPr>
      </w:pPr>
      <w:r>
        <w:rPr>
          <w:rFonts w:ascii="Times New Roman" w:hAnsi="Times New Roman"/>
          <w:sz w:val="20"/>
        </w:rPr>
        <w:t>11.2 </w:t>
      </w:r>
      <w:r>
        <w:rPr>
          <w:rFonts w:ascii="Times New Roman" w:hAnsi="Times New Roman"/>
          <w:b/>
          <w:i/>
          <w:sz w:val="20"/>
        </w:rPr>
        <w:t>Administrator</w:t>
      </w:r>
      <w:r>
        <w:rPr>
          <w:rFonts w:ascii="Times New Roman" w:hAnsi="Times New Roman"/>
          <w:sz w:val="20"/>
        </w:rPr>
        <w:t xml:space="preserve"> means the Board or a Committee to the extent that the Boards powers or authority under the Plan have been delegated to such Committee. </w:t>
      </w:r>
    </w:p>
    <w:p>
      <w:pPr>
        <w:pStyle w:val="TextBody"/>
        <w:bidi w:val="0"/>
        <w:spacing w:before="240" w:after="0"/>
        <w:jc w:val="both"/>
        <w:rPr>
          <w:rFonts w:ascii="Times New Roman" w:hAnsi="Times New Roman"/>
          <w:sz w:val="20"/>
        </w:rPr>
      </w:pPr>
      <w:r>
        <w:rPr>
          <w:rFonts w:ascii="Times New Roman" w:hAnsi="Times New Roman"/>
          <w:sz w:val="20"/>
        </w:rPr>
        <w:t>11.3 </w:t>
      </w:r>
      <w:r>
        <w:rPr>
          <w:rFonts w:ascii="Times New Roman" w:hAnsi="Times New Roman"/>
          <w:b/>
          <w:i/>
          <w:sz w:val="20"/>
        </w:rPr>
        <w:t>Applicable Laws</w:t>
      </w:r>
      <w:r>
        <w:rPr>
          <w:rFonts w:ascii="Times New Roman" w:hAnsi="Times New Roman"/>
          <w:sz w:val="20"/>
        </w:rPr>
        <w:t xml:space="preserve">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11.4 </w:t>
      </w:r>
      <w:r>
        <w:rPr>
          <w:rFonts w:ascii="Times New Roman" w:hAnsi="Times New Roman"/>
          <w:b/>
          <w:i/>
          <w:sz w:val="20"/>
        </w:rPr>
        <w:t>Award</w:t>
      </w:r>
      <w:r>
        <w:rPr>
          <w:rFonts w:ascii="Times New Roman" w:hAnsi="Times New Roman"/>
          <w:sz w:val="20"/>
        </w:rPr>
        <w:t xml:space="preserve"> means, individually or collectively, a grant under the Plan of Options, Stock Appreciation Rights, Restricted Stock, Restricted Stock Units, Dividend Equivalents, or Other Stock or Cash Based Awards. </w:t>
      </w:r>
    </w:p>
    <w:p>
      <w:pPr>
        <w:pStyle w:val="TextBody"/>
        <w:bidi w:val="0"/>
        <w:spacing w:before="240" w:after="0"/>
        <w:jc w:val="both"/>
        <w:rPr>
          <w:rFonts w:ascii="Times New Roman" w:hAnsi="Times New Roman"/>
          <w:sz w:val="20"/>
        </w:rPr>
      </w:pPr>
      <w:r>
        <w:rPr>
          <w:rFonts w:ascii="Times New Roman" w:hAnsi="Times New Roman"/>
          <w:sz w:val="20"/>
        </w:rPr>
        <w:t>11.5 </w:t>
      </w:r>
      <w:r>
        <w:rPr>
          <w:rFonts w:ascii="Times New Roman" w:hAnsi="Times New Roman"/>
          <w:b/>
          <w:i/>
          <w:sz w:val="20"/>
        </w:rPr>
        <w:t>Award Agreement</w:t>
      </w:r>
      <w:r>
        <w:rPr>
          <w:rFonts w:ascii="Times New Roman" w:hAnsi="Times New Roman"/>
          <w:sz w:val="20"/>
        </w:rPr>
        <w:t xml:space="preserve"> means a written agreement evidencing an Award, which may be electronic, that contains such terms and conditions as the Administrator determines, consistent with and subject to the terms and conditions of the Plan. </w:t>
      </w:r>
    </w:p>
    <w:p>
      <w:pPr>
        <w:pStyle w:val="TextBody"/>
        <w:bidi w:val="0"/>
        <w:spacing w:before="240" w:after="0"/>
        <w:jc w:val="both"/>
        <w:rPr>
          <w:rFonts w:ascii="Times New Roman" w:hAnsi="Times New Roman"/>
          <w:sz w:val="20"/>
        </w:rPr>
      </w:pPr>
      <w:r>
        <w:rPr>
          <w:rFonts w:ascii="Times New Roman" w:hAnsi="Times New Roman"/>
          <w:sz w:val="20"/>
        </w:rPr>
        <w:t>11.6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both"/>
        <w:rPr>
          <w:rFonts w:ascii="Times New Roman" w:hAnsi="Times New Roman"/>
          <w:sz w:val="20"/>
        </w:rPr>
      </w:pPr>
      <w:r>
        <w:rPr>
          <w:rFonts w:ascii="Times New Roman" w:hAnsi="Times New Roman"/>
          <w:sz w:val="20"/>
        </w:rPr>
        <w:t>11.7 </w:t>
      </w:r>
      <w:r>
        <w:rPr>
          <w:rFonts w:ascii="Times New Roman" w:hAnsi="Times New Roman"/>
          <w:b/>
          <w:i/>
          <w:sz w:val="20"/>
        </w:rPr>
        <w:t>Cause</w:t>
      </w:r>
      <w:r>
        <w:rPr>
          <w:rFonts w:ascii="Times New Roman" w:hAnsi="Times New Roman"/>
          <w:sz w:val="20"/>
        </w:rPr>
        <w:t> means (a) if a Participant is a party to a written employment, severance or consulting agreement with the Company or any of its Subsidiaries or an Award Agreement in which the term cause is defined (a </w:t>
      </w:r>
      <w:r>
        <w:rPr>
          <w:rFonts w:ascii="Times New Roman" w:hAnsi="Times New Roman"/>
          <w:b/>
          <w:i/>
          <w:sz w:val="20"/>
        </w:rPr>
        <w:t>Relevant Agreement</w:t>
      </w:r>
      <w:r>
        <w:rPr>
          <w:rFonts w:ascii="Times New Roman" w:hAnsi="Times New Roman"/>
          <w:sz w:val="20"/>
        </w:rPr>
        <w:t xml:space="preserve">), Cause as defined in the Relevant Agreement, and (b) if no Relevant Agreement exists, (i) the Administrators determination that the Participant failed to substantially perform the Participants duties (other than a failure resulting from the Participants Disability); (ii) the Administrators determination that the Participant failed to carry out, or comply with any lawful and reasonable directive of the Board or the Participants immediate supervisor; (iii) the Participants unauthorized use or disclosure of confidential information or trade secrets of the Company or any of its Subsidiaries or any material breach of a written agreement between the Participant and the Company; (iv)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(v) the Participants unlawful use (including being under the influence) or possession of illegal drugs on the premises of the Company or any of its Subsidiaries or while performing the Participants duties and responsibilities for the Company or any of its Subsidiaries; or (vi) the Participants commission of an act of fraud, embezzlement, misappropriation, misconduct, or breach of fiduciary duty against the Company or any of its Subsidiaries. </w:t>
      </w:r>
    </w:p>
    <w:p>
      <w:pPr>
        <w:pStyle w:val="TextBody"/>
        <w:bidi w:val="0"/>
        <w:spacing w:before="240" w:after="0"/>
        <w:jc w:val="both"/>
        <w:rPr>
          <w:rFonts w:ascii="Times New Roman" w:hAnsi="Times New Roman"/>
          <w:sz w:val="20"/>
        </w:rPr>
      </w:pPr>
      <w:r>
        <w:rPr>
          <w:rFonts w:ascii="Times New Roman" w:hAnsi="Times New Roman"/>
          <w:sz w:val="20"/>
        </w:rPr>
        <w:t>11.8 </w:t>
      </w:r>
      <w:r>
        <w:rPr>
          <w:rFonts w:ascii="Times New Roman" w:hAnsi="Times New Roman"/>
          <w:b/>
          <w:i/>
          <w:sz w:val="20"/>
        </w:rPr>
        <w:t>Change in Control</w:t>
      </w:r>
      <w:r>
        <w:rPr>
          <w:rFonts w:ascii="Times New Roman" w:hAnsi="Times New Roman"/>
          <w:sz w:val="20"/>
        </w:rPr>
        <w:t xml:space="preserve"> means and includes each of the following: </w:t>
      </w:r>
    </w:p>
    <w:p>
      <w:pPr>
        <w:pStyle w:val="TextBody"/>
        <w:bidi w:val="0"/>
        <w:spacing w:before="240" w:after="0"/>
        <w:jc w:val="both"/>
        <w:rPr>
          <w:rFonts w:ascii="Times New Roman" w:hAnsi="Times New Roman"/>
          <w:sz w:val="20"/>
        </w:rPr>
      </w:pPr>
      <w:r>
        <w:rPr>
          <w:rFonts w:ascii="Times New Roman" w:hAnsi="Times New Roman"/>
          <w:sz w:val="20"/>
        </w:rPr>
        <w:t xml:space="preserve">(a)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 </w:t>
      </w:r>
    </w:p>
    <w:p>
      <w:pPr>
        <w:pStyle w:val="TextBody"/>
        <w:bidi w:val="0"/>
        <w:spacing w:before="240" w:after="0"/>
        <w:jc w:val="both"/>
        <w:rPr>
          <w:rFonts w:ascii="Times New Roman" w:hAnsi="Times New Roman"/>
          <w:sz w:val="20"/>
        </w:rPr>
      </w:pPr>
      <w:r>
        <w:rPr>
          <w:rFonts w:ascii="Times New Roman" w:hAnsi="Times New Roman"/>
          <w:sz w:val="20"/>
        </w:rPr>
        <w:t xml:space="preserve">(b) 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 (2)-year period or whose election or nomination for election was previously so approved, cease for any reason to constitute a majority thereof; or </w:t>
      </w:r>
    </w:p>
    <w:p>
      <w:pPr>
        <w:pStyle w:val="TextBody"/>
        <w:bidi w:val="0"/>
        <w:spacing w:before="240" w:after="0"/>
        <w:jc w:val="both"/>
        <w:rPr>
          <w:rFonts w:ascii="Times New Roman" w:hAnsi="Times New Roman"/>
          <w:sz w:val="20"/>
        </w:rPr>
      </w:pPr>
      <w:r>
        <w:rPr>
          <w:rFonts w:ascii="Times New Roman" w:hAnsi="Times New Roman"/>
          <w:sz w:val="20"/>
        </w:rPr>
        <w:t xml:space="preserve">(c) The consummation by the Company (whether directly involving the Company or indirectly involving the Company through one or more intermediaries) of (x) a merger,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reorganization, or business combination or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before="240" w:after="0"/>
        <w:jc w:val="both"/>
        <w:rPr>
          <w:rFonts w:ascii="Times New Roman" w:hAnsi="Times New Roman"/>
          <w:sz w:val="20"/>
        </w:rPr>
      </w:pPr>
      <w:r>
        <w:rPr>
          <w:rFonts w:ascii="Times New Roman" w:hAnsi="Times New Roman"/>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sz w:val="20"/>
        </w:rPr>
        <w:t>Successor Entity</w:t>
      </w:r>
      <w:r>
        <w:rPr>
          <w:rFonts w:ascii="Times New Roman" w:hAnsi="Times New Roman"/>
          <w:sz w:val="20"/>
        </w:rPr>
        <w:t xml:space="preserve">)) directly or indirectly, at least a majority of the combined voting power of the Successor Entitys outstanding voting securities immediately after the transaction, and </w:t>
      </w:r>
    </w:p>
    <w:p>
      <w:pPr>
        <w:pStyle w:val="TextBody"/>
        <w:bidi w:val="0"/>
        <w:spacing w:before="240" w:after="0"/>
        <w:jc w:val="both"/>
        <w:rPr>
          <w:rFonts w:ascii="Times New Roman" w:hAnsi="Times New Roman"/>
          <w:sz w:val="20"/>
        </w:rPr>
      </w:pPr>
      <w:r>
        <w:rPr>
          <w:rFonts w:ascii="Times New Roman" w:hAnsi="Times New Roman"/>
          <w:sz w:val="20"/>
        </w:rPr>
        <w:t xml:space="preserve">(ii) after which no person or group beneficially owns voting securities representing 50% or more of the combined voting power of the Successor Entity;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person or group shall be treated for purposes of this clause (ii) as beneficially owning 50% or more of the combined voting power of the Successor Entity solely as a result of the voting power held in the Company prior to the consummation of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before="240" w:after="0"/>
        <w:jc w:val="both"/>
        <w:rPr>
          <w:rFonts w:ascii="Times New Roman" w:hAnsi="Times New Roman"/>
          <w:sz w:val="20"/>
        </w:rPr>
      </w:pPr>
      <w:r>
        <w:rPr>
          <w:rFonts w:ascii="Times New Roman" w:hAnsi="Times New Roman"/>
          <w:sz w:val="20"/>
        </w:rPr>
        <w:t>11.9 </w:t>
      </w:r>
      <w:r>
        <w:rPr>
          <w:rFonts w:ascii="Times New Roman" w:hAnsi="Times New Roman"/>
          <w:b/>
          <w:i/>
          <w:sz w:val="20"/>
        </w:rPr>
        <w:t>Code</w:t>
      </w:r>
      <w:r>
        <w:rPr>
          <w:rFonts w:ascii="Times New Roman" w:hAnsi="Times New Roman"/>
          <w:sz w:val="20"/>
        </w:rPr>
        <w:t xml:space="preserve"> means the U.S. Internal Revenue Code of 1986, as amended, and the regulations issued thereunder. </w:t>
      </w:r>
    </w:p>
    <w:p>
      <w:pPr>
        <w:pStyle w:val="TextBody"/>
        <w:bidi w:val="0"/>
        <w:spacing w:before="240" w:after="0"/>
        <w:jc w:val="both"/>
        <w:rPr>
          <w:rFonts w:ascii="Times New Roman" w:hAnsi="Times New Roman"/>
          <w:sz w:val="20"/>
        </w:rPr>
      </w:pPr>
      <w:r>
        <w:rPr>
          <w:rFonts w:ascii="Times New Roman" w:hAnsi="Times New Roman"/>
          <w:sz w:val="20"/>
        </w:rPr>
        <w:t>11.10 </w:t>
      </w:r>
      <w:r>
        <w:rPr>
          <w:rFonts w:ascii="Times New Roman" w:hAnsi="Times New Roman"/>
          <w:b/>
          <w:i/>
          <w:sz w:val="20"/>
        </w:rPr>
        <w:t>Committee</w:t>
      </w:r>
      <w:r>
        <w:rPr>
          <w:rFonts w:ascii="Times New Roman" w:hAnsi="Times New Roman"/>
          <w:sz w:val="20"/>
        </w:rPr>
        <w:t xml:space="preserv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before="240" w:after="0"/>
        <w:jc w:val="both"/>
        <w:rPr>
          <w:rFonts w:ascii="Times New Roman" w:hAnsi="Times New Roman"/>
          <w:sz w:val="20"/>
        </w:rPr>
      </w:pPr>
      <w:r>
        <w:rPr>
          <w:rFonts w:ascii="Times New Roman" w:hAnsi="Times New Roman"/>
          <w:sz w:val="20"/>
        </w:rPr>
        <w:t>11.11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both"/>
        <w:rPr>
          <w:rFonts w:ascii="Times New Roman" w:hAnsi="Times New Roman"/>
          <w:sz w:val="20"/>
        </w:rPr>
      </w:pPr>
      <w:r>
        <w:rPr>
          <w:rFonts w:ascii="Times New Roman" w:hAnsi="Times New Roman"/>
          <w:sz w:val="20"/>
        </w:rPr>
        <w:t>11.12 </w:t>
      </w:r>
      <w:r>
        <w:rPr>
          <w:rFonts w:ascii="Times New Roman" w:hAnsi="Times New Roman"/>
          <w:b/>
          <w:i/>
          <w:sz w:val="20"/>
        </w:rPr>
        <w:t>Company</w:t>
      </w:r>
      <w:r>
        <w:rPr>
          <w:rFonts w:ascii="Times New Roman" w:hAnsi="Times New Roman"/>
          <w:sz w:val="20"/>
        </w:rPr>
        <w:t xml:space="preserve"> means CG Oncology, Inc., a Delaware corporation, or any successor. </w:t>
      </w:r>
    </w:p>
    <w:p>
      <w:pPr>
        <w:pStyle w:val="TextBody"/>
        <w:bidi w:val="0"/>
        <w:spacing w:before="240" w:after="0"/>
        <w:jc w:val="both"/>
        <w:rPr>
          <w:rFonts w:ascii="Times New Roman" w:hAnsi="Times New Roman"/>
          <w:sz w:val="20"/>
        </w:rPr>
      </w:pPr>
      <w:r>
        <w:rPr>
          <w:rFonts w:ascii="Times New Roman" w:hAnsi="Times New Roman"/>
          <w:sz w:val="20"/>
        </w:rPr>
        <w:t>11.13 </w:t>
      </w:r>
      <w:r>
        <w:rPr>
          <w:rFonts w:ascii="Times New Roman" w:hAnsi="Times New Roman"/>
          <w:b/>
          <w:i/>
          <w:sz w:val="20"/>
        </w:rPr>
        <w:t>Consultant</w:t>
      </w:r>
      <w:r>
        <w:rPr>
          <w:rFonts w:ascii="Times New Roman" w:hAnsi="Times New Roman"/>
          <w:sz w:val="20"/>
        </w:rPr>
        <w:t xml:space="preserve"> means any consultant or advisor engaged by the Company or any of its Subsidiaries to render services to such entity, in each case that can be granted an Award that is eligible to be registered on a Form S-8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11.14 </w:t>
      </w:r>
      <w:r>
        <w:rPr>
          <w:rFonts w:ascii="Times New Roman" w:hAnsi="Times New Roman"/>
          <w:b/>
          <w:i/>
          <w:sz w:val="20"/>
        </w:rPr>
        <w:t>Designated Beneficiary</w:t>
      </w:r>
      <w:r>
        <w:rPr>
          <w:rFonts w:ascii="Times New Roman" w:hAnsi="Times New Roman"/>
          <w:sz w:val="20"/>
        </w:rPr>
        <w:t xml:space="preserve">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 </w:t>
      </w:r>
    </w:p>
    <w:p>
      <w:pPr>
        <w:pStyle w:val="TextBody"/>
        <w:bidi w:val="0"/>
        <w:spacing w:before="240" w:after="0"/>
        <w:jc w:val="both"/>
        <w:rPr>
          <w:rFonts w:ascii="Times New Roman" w:hAnsi="Times New Roman"/>
          <w:sz w:val="20"/>
        </w:rPr>
      </w:pPr>
      <w:r>
        <w:rPr>
          <w:rFonts w:ascii="Times New Roman" w:hAnsi="Times New Roman"/>
          <w:sz w:val="20"/>
        </w:rPr>
        <w:t>11.15 </w:t>
      </w:r>
      <w:r>
        <w:rPr>
          <w:rFonts w:ascii="Times New Roman" w:hAnsi="Times New Roman"/>
          <w:b/>
          <w:i/>
          <w:sz w:val="20"/>
        </w:rPr>
        <w:t>Director</w:t>
      </w:r>
      <w:r>
        <w:rPr>
          <w:rFonts w:ascii="Times New Roman" w:hAnsi="Times New Roman"/>
          <w:sz w:val="20"/>
        </w:rPr>
        <w:t xml:space="preserve"> means a Board member. </w:t>
      </w:r>
    </w:p>
    <w:p>
      <w:pPr>
        <w:pStyle w:val="TextBody"/>
        <w:bidi w:val="0"/>
        <w:spacing w:before="240" w:after="0"/>
        <w:jc w:val="both"/>
        <w:rPr>
          <w:rFonts w:ascii="Times New Roman" w:hAnsi="Times New Roman"/>
          <w:sz w:val="20"/>
        </w:rPr>
      </w:pPr>
      <w:r>
        <w:rPr>
          <w:rFonts w:ascii="Times New Roman" w:hAnsi="Times New Roman"/>
          <w:sz w:val="20"/>
        </w:rPr>
        <w:t>11.16 </w:t>
      </w:r>
      <w:r>
        <w:rPr>
          <w:rFonts w:ascii="Times New Roman" w:hAnsi="Times New Roman"/>
          <w:b/>
          <w:i/>
          <w:sz w:val="20"/>
        </w:rPr>
        <w:t>Disability</w:t>
      </w:r>
      <w:r>
        <w:rPr>
          <w:rFonts w:ascii="Times New Roman" w:hAnsi="Times New Roman"/>
          <w:sz w:val="20"/>
        </w:rPr>
        <w:t xml:space="preserve"> means a permanent and total disability under Section 22(e)(3) of the Code, as amended. </w:t>
      </w:r>
    </w:p>
    <w:p>
      <w:pPr>
        <w:pStyle w:val="TextBody"/>
        <w:bidi w:val="0"/>
        <w:spacing w:before="240" w:after="0"/>
        <w:jc w:val="both"/>
        <w:rPr>
          <w:rFonts w:ascii="Times New Roman" w:hAnsi="Times New Roman"/>
          <w:sz w:val="20"/>
        </w:rPr>
      </w:pPr>
      <w:r>
        <w:rPr>
          <w:rFonts w:ascii="Times New Roman" w:hAnsi="Times New Roman"/>
          <w:sz w:val="20"/>
        </w:rPr>
        <w:t>11.17 </w:t>
      </w:r>
      <w:r>
        <w:rPr>
          <w:rFonts w:ascii="Times New Roman" w:hAnsi="Times New Roman"/>
          <w:b/>
          <w:i/>
          <w:sz w:val="20"/>
        </w:rPr>
        <w:t>Dividend Equivalents</w:t>
      </w:r>
      <w:r>
        <w:rPr>
          <w:rFonts w:ascii="Times New Roman" w:hAnsi="Times New Roman"/>
          <w:sz w:val="20"/>
        </w:rPr>
        <w:t xml:space="preserve"> means a right granted to a Participant under the Plan to receive the equivalent value (in cash or Shares) of dividends paid on Shares. </w:t>
      </w:r>
    </w:p>
    <w:p>
      <w:pPr>
        <w:pStyle w:val="TextBody"/>
        <w:bidi w:val="0"/>
        <w:spacing w:before="240" w:after="0"/>
        <w:jc w:val="both"/>
        <w:rPr>
          <w:rFonts w:ascii="Times New Roman" w:hAnsi="Times New Roman"/>
          <w:sz w:val="20"/>
        </w:rPr>
      </w:pPr>
      <w:r>
        <w:rPr>
          <w:rFonts w:ascii="Times New Roman" w:hAnsi="Times New Roman"/>
          <w:sz w:val="20"/>
        </w:rPr>
        <w:t>11.18 </w:t>
      </w:r>
      <w:r>
        <w:rPr>
          <w:rFonts w:ascii="Times New Roman" w:hAnsi="Times New Roman"/>
          <w:b/>
          <w:i/>
          <w:sz w:val="20"/>
        </w:rPr>
        <w:t>Employee</w:t>
      </w:r>
      <w:r>
        <w:rPr>
          <w:rFonts w:ascii="Times New Roman" w:hAnsi="Times New Roman"/>
          <w:sz w:val="20"/>
        </w:rPr>
        <w:t xml:space="preserve"> means any employee of the Company or its Subsidiaries. </w:t>
      </w:r>
    </w:p>
    <w:p>
      <w:pPr>
        <w:pStyle w:val="TextBody"/>
        <w:bidi w:val="0"/>
        <w:spacing w:before="240" w:after="0"/>
        <w:jc w:val="both"/>
        <w:rPr>
          <w:rFonts w:ascii="Times New Roman" w:hAnsi="Times New Roman"/>
          <w:sz w:val="20"/>
        </w:rPr>
      </w:pPr>
      <w:r>
        <w:rPr>
          <w:rFonts w:ascii="Times New Roman" w:hAnsi="Times New Roman"/>
          <w:sz w:val="20"/>
        </w:rPr>
        <w:t>11.19 </w:t>
      </w:r>
      <w:r>
        <w:rPr>
          <w:rFonts w:ascii="Times New Roman" w:hAnsi="Times New Roman"/>
          <w:b/>
          <w:i/>
          <w:sz w:val="20"/>
        </w:rPr>
        <w:t>Equity Restructuring</w:t>
      </w:r>
      <w:r>
        <w:rPr>
          <w:rFonts w:ascii="Times New Roman" w:hAnsi="Times New Roman"/>
          <w:sz w:val="20"/>
        </w:rPr>
        <w:t xml:space="preserve"> means a non-reciprocal transaction between the Company and its stockholders, such as a stock dividend, stock split, spin-off or recapitalization through a large, nonrecurring cash dividend that affects the number or kind of Shares (or other securities of the Company) or the share price of Common Stock (or other securities of the Company) and causes a change in the per share value of the Common Stock underlying outstanding Awards. </w:t>
      </w:r>
    </w:p>
    <w:p>
      <w:pPr>
        <w:pStyle w:val="TextBody"/>
        <w:bidi w:val="0"/>
        <w:spacing w:before="240" w:after="0"/>
        <w:jc w:val="both"/>
        <w:rPr>
          <w:rFonts w:ascii="Times New Roman" w:hAnsi="Times New Roman"/>
          <w:sz w:val="20"/>
        </w:rPr>
      </w:pPr>
      <w:r>
        <w:rPr>
          <w:rFonts w:ascii="Times New Roman" w:hAnsi="Times New Roman"/>
          <w:sz w:val="20"/>
        </w:rPr>
        <w:t>11.20 </w:t>
      </w:r>
      <w:r>
        <w:rPr>
          <w:rFonts w:ascii="Times New Roman" w:hAnsi="Times New Roman"/>
          <w:b/>
          <w:i/>
          <w:sz w:val="20"/>
        </w:rPr>
        <w:t>Exchange Act</w:t>
      </w:r>
      <w:r>
        <w:rPr>
          <w:rFonts w:ascii="Times New Roman" w:hAnsi="Times New Roman"/>
          <w:sz w:val="20"/>
        </w:rPr>
        <w:t xml:space="preserve"> means the U.S. Securities Exchange Act of 1934, as amended. </w:t>
      </w:r>
    </w:p>
    <w:p>
      <w:pPr>
        <w:pStyle w:val="TextBody"/>
        <w:bidi w:val="0"/>
        <w:spacing w:before="240" w:after="0"/>
        <w:jc w:val="both"/>
        <w:rPr>
          <w:rFonts w:ascii="Times New Roman" w:hAnsi="Times New Roman"/>
          <w:sz w:val="20"/>
        </w:rPr>
      </w:pPr>
      <w:r>
        <w:rPr>
          <w:rFonts w:ascii="Times New Roman" w:hAnsi="Times New Roman"/>
          <w:sz w:val="20"/>
        </w:rPr>
        <w:t>11.21 </w:t>
      </w:r>
      <w:r>
        <w:rPr>
          <w:rFonts w:ascii="Times New Roman" w:hAnsi="Times New Roman"/>
          <w:b/>
          <w:i/>
          <w:sz w:val="20"/>
        </w:rPr>
        <w:t>Fair Market Value</w:t>
      </w:r>
      <w:r>
        <w:rPr>
          <w:rFonts w:ascii="Times New Roman" w:hAnsi="Times New Roman"/>
          <w:sz w:val="20"/>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hAnsi="Times New Roman"/>
          <w:i/>
          <w:sz w:val="20"/>
        </w:rPr>
        <w:t>The Wall Street Journal</w:t>
      </w:r>
      <w:r>
        <w:rPr>
          <w:rFonts w:ascii="Times New Roman" w:hAnsi="Times New Roman"/>
          <w:sz w:val="20"/>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hAnsi="Times New Roman"/>
          <w:i/>
          <w:sz w:val="20"/>
        </w:rPr>
        <w:t xml:space="preserve">The Wall Street Journal </w:t>
      </w:r>
      <w:r>
        <w:rPr>
          <w:rFonts w:ascii="Times New Roman" w:hAnsi="Times New Roman"/>
          <w:sz w:val="20"/>
        </w:rPr>
        <w:t xml:space="preserve">or another source the Administrator deems reliable; or (c) in the absence of an established market for the Common Stock, the Administrator may determine the Fair Market Value in its discretion. Notwithstanding the foregoing, with respect to any Award granted on the Pricing Date, the Fair Market Value shall mean the initial public offering price of a Share as set forth in the Companys final prospectus relating to its initial public offering filed with the Securities and Exchange Commission. </w:t>
      </w:r>
    </w:p>
    <w:p>
      <w:pPr>
        <w:pStyle w:val="TextBody"/>
        <w:bidi w:val="0"/>
        <w:spacing w:before="240" w:after="0"/>
        <w:jc w:val="both"/>
        <w:rPr>
          <w:rFonts w:ascii="Times New Roman" w:hAnsi="Times New Roman"/>
          <w:sz w:val="20"/>
        </w:rPr>
      </w:pPr>
      <w:r>
        <w:rPr>
          <w:rFonts w:ascii="Times New Roman" w:hAnsi="Times New Roman"/>
          <w:sz w:val="20"/>
        </w:rPr>
        <w:t>11.22 </w:t>
      </w:r>
      <w:r>
        <w:rPr>
          <w:rFonts w:ascii="Times New Roman" w:hAnsi="Times New Roman"/>
          <w:b/>
          <w:i/>
          <w:sz w:val="20"/>
        </w:rPr>
        <w:t>Good Reason</w:t>
      </w:r>
      <w:r>
        <w:rPr>
          <w:rFonts w:ascii="Times New Roman" w:hAnsi="Times New Roman"/>
          <w:sz w:val="20"/>
        </w:rPr>
        <w:t xml:space="preserve"> means (a) if a Participant is a party to a Relevant Agreement, Good Reason as defined in the Relevant Agreement, and (b) if no Relevant Agreement exists, (i) a material diminution in the Participants level of base compensation, except in connection with a general reduction in the base compensation of the Companys personnel with similar status and responsibilities or (ii) a relocation of the Participants place of employment by more than fifty (50) miles, provided that such change, reduction or relocation is effected by the Company (or its subsidiary employing the Participant) without the Participants consent. Notwithstanding the foregoing, Good Reason shall only exist if Participant shall have provided the Company with written notice within sixty (60) days of the initial occurrence of any of the foregoing events or conditions, and the Company or any successor or affiliate fails to eliminate the conditions constituting Good Reason within thirty (30) days after receipt of written notice of such event or condition from Participant. Participants resignation from employment with the Company for Good Reason must occur within six (6) months following the initial occurrence of one of the foregoing events or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11.23 </w:t>
      </w:r>
      <w:r>
        <w:rPr>
          <w:rFonts w:ascii="Times New Roman" w:hAnsi="Times New Roman"/>
          <w:b/>
          <w:i/>
          <w:sz w:val="20"/>
        </w:rPr>
        <w:t>Greater Than 10% Stockholder</w:t>
      </w:r>
      <w:r>
        <w:rPr>
          <w:rFonts w:ascii="Times New Roman" w:hAnsi="Times New Roman"/>
          <w:sz w:val="20"/>
        </w:rPr>
        <w:t xml:space="preserve"> means an individual then owning (within the meaning of Section 424(d) of the Code) more than 10% of the total combined voting power of all classes of stock of the Company or its parent or subsidiary corporation, as defined in Section 424(e) and (f) of the Code, respectively. </w:t>
      </w:r>
    </w:p>
    <w:p>
      <w:pPr>
        <w:pStyle w:val="TextBody"/>
        <w:bidi w:val="0"/>
        <w:spacing w:before="240" w:after="0"/>
        <w:jc w:val="both"/>
        <w:rPr>
          <w:rFonts w:ascii="Times New Roman" w:hAnsi="Times New Roman"/>
          <w:sz w:val="20"/>
        </w:rPr>
      </w:pPr>
      <w:r>
        <w:rPr>
          <w:rFonts w:ascii="Times New Roman" w:hAnsi="Times New Roman"/>
          <w:sz w:val="20"/>
        </w:rPr>
        <w:t>11.24 </w:t>
      </w:r>
      <w:r>
        <w:rPr>
          <w:rFonts w:ascii="Times New Roman" w:hAnsi="Times New Roman"/>
          <w:b/>
          <w:i/>
          <w:sz w:val="20"/>
        </w:rPr>
        <w:t>Incentive Stock Option</w:t>
      </w:r>
      <w:r>
        <w:rPr>
          <w:rFonts w:ascii="Times New Roman" w:hAnsi="Times New Roman"/>
          <w:sz w:val="20"/>
        </w:rPr>
        <w:t xml:space="preserve"> means an Option intended to qualify as an incentive stock option as defined in Section 422 of the Code. </w:t>
      </w:r>
    </w:p>
    <w:p>
      <w:pPr>
        <w:pStyle w:val="TextBody"/>
        <w:bidi w:val="0"/>
        <w:spacing w:before="240" w:after="0"/>
        <w:jc w:val="both"/>
        <w:rPr>
          <w:rFonts w:ascii="Times New Roman" w:hAnsi="Times New Roman"/>
          <w:sz w:val="20"/>
        </w:rPr>
      </w:pPr>
      <w:r>
        <w:rPr>
          <w:rFonts w:ascii="Times New Roman" w:hAnsi="Times New Roman"/>
          <w:sz w:val="20"/>
        </w:rPr>
        <w:t>11.25 </w:t>
      </w:r>
      <w:r>
        <w:rPr>
          <w:rFonts w:ascii="Times New Roman" w:hAnsi="Times New Roman"/>
          <w:b/>
          <w:i/>
          <w:sz w:val="20"/>
        </w:rPr>
        <w:t>Non-Qualified Stock Option</w:t>
      </w:r>
      <w:r>
        <w:rPr>
          <w:rFonts w:ascii="Times New Roman" w:hAnsi="Times New Roman"/>
          <w:sz w:val="20"/>
        </w:rPr>
        <w:t xml:space="preserve"> means an Option, or portion thereof, not intended or not qualifying as an Incentive Stock Option. </w:t>
      </w:r>
    </w:p>
    <w:p>
      <w:pPr>
        <w:pStyle w:val="TextBody"/>
        <w:bidi w:val="0"/>
        <w:spacing w:before="240" w:after="0"/>
        <w:jc w:val="both"/>
        <w:rPr>
          <w:rFonts w:ascii="Times New Roman" w:hAnsi="Times New Roman"/>
          <w:sz w:val="20"/>
        </w:rPr>
      </w:pPr>
      <w:r>
        <w:rPr>
          <w:rFonts w:ascii="Times New Roman" w:hAnsi="Times New Roman"/>
          <w:sz w:val="20"/>
        </w:rPr>
        <w:t>11.26 </w:t>
      </w:r>
      <w:r>
        <w:rPr>
          <w:rFonts w:ascii="Times New Roman" w:hAnsi="Times New Roman"/>
          <w:b/>
          <w:i/>
          <w:sz w:val="20"/>
        </w:rPr>
        <w:t>Option</w:t>
      </w:r>
      <w:r>
        <w:rPr>
          <w:rFonts w:ascii="Times New Roman" w:hAnsi="Times New Roman"/>
          <w:sz w:val="20"/>
        </w:rPr>
        <w:t xml:space="preserve"> means an option to purchase Shares, which will either be an Incentive Stock Option or a Non-Qualified Stock Option. </w:t>
      </w:r>
    </w:p>
    <w:p>
      <w:pPr>
        <w:pStyle w:val="TextBody"/>
        <w:bidi w:val="0"/>
        <w:spacing w:before="240" w:after="0"/>
        <w:jc w:val="both"/>
        <w:rPr>
          <w:rFonts w:ascii="Times New Roman" w:hAnsi="Times New Roman"/>
          <w:sz w:val="20"/>
        </w:rPr>
      </w:pPr>
      <w:r>
        <w:rPr>
          <w:rFonts w:ascii="Times New Roman" w:hAnsi="Times New Roman"/>
          <w:sz w:val="20"/>
        </w:rPr>
        <w:t>11.27 </w:t>
      </w:r>
      <w:r>
        <w:rPr>
          <w:rFonts w:ascii="Times New Roman" w:hAnsi="Times New Roman"/>
          <w:b/>
          <w:i/>
          <w:sz w:val="20"/>
        </w:rPr>
        <w:t>Other Stock or Cash Based Awards</w:t>
      </w:r>
      <w:r>
        <w:rPr>
          <w:rFonts w:ascii="Times New Roman" w:hAnsi="Times New Roman"/>
          <w:sz w:val="20"/>
        </w:rPr>
        <w:t xml:space="preserve"> means cash awards, awards of Shares, and other awards valued wholly or partially by referring to, or are otherwise based on, Shares or other property awarded to a Participant under Article VII. </w:t>
      </w:r>
    </w:p>
    <w:p>
      <w:pPr>
        <w:pStyle w:val="TextBody"/>
        <w:bidi w:val="0"/>
        <w:spacing w:before="240" w:after="0"/>
        <w:jc w:val="both"/>
        <w:rPr>
          <w:rFonts w:ascii="Times New Roman" w:hAnsi="Times New Roman"/>
          <w:sz w:val="20"/>
        </w:rPr>
      </w:pPr>
      <w:r>
        <w:rPr>
          <w:rFonts w:ascii="Times New Roman" w:hAnsi="Times New Roman"/>
          <w:sz w:val="20"/>
        </w:rPr>
        <w:t>11.28 </w:t>
      </w:r>
      <w:r>
        <w:rPr>
          <w:rFonts w:ascii="Times New Roman" w:hAnsi="Times New Roman"/>
          <w:b/>
          <w:i/>
          <w:sz w:val="20"/>
        </w:rPr>
        <w:t>Overall Share Limit</w:t>
      </w:r>
      <w:r>
        <w:rPr>
          <w:rFonts w:ascii="Times New Roman" w:hAnsi="Times New Roman"/>
          <w:sz w:val="20"/>
        </w:rPr>
        <w:t xml:space="preserve"> means the sum of (i) the number of Shares equal to 10% of the aggregate number of Pricing Date Fully-Diluted Shares; (ii) any shares of Common Stock which are available for issuance under the 2022 Plan as of the Pricing Date; (iii) any shares of Common Stock which are subject to Prior Plan Awards which become available for issuance under the Plan pursuant to Article IV; and (iv) an annual increase on the first day of each calendar year beginning January 1, 2025 and ending on and including January 1, 2034, equal to the lesser of (A) 5% of the aggregate number of shares of Common Stock outstanding on the final day of the immediately preceding calendar year and (B) such smaller number of Shares as is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11.29 </w:t>
      </w:r>
      <w:r>
        <w:rPr>
          <w:rFonts w:ascii="Times New Roman" w:hAnsi="Times New Roman"/>
          <w:b/>
          <w:i/>
          <w:sz w:val="20"/>
        </w:rPr>
        <w:t>Participant</w:t>
      </w:r>
      <w:r>
        <w:rPr>
          <w:rFonts w:ascii="Times New Roman" w:hAnsi="Times New Roman"/>
          <w:sz w:val="20"/>
        </w:rPr>
        <w:t xml:space="preserve"> means a Service Provider who has been granted an Award. </w:t>
      </w:r>
    </w:p>
    <w:p>
      <w:pPr>
        <w:pStyle w:val="TextBody"/>
        <w:bidi w:val="0"/>
        <w:spacing w:before="240" w:after="0"/>
        <w:jc w:val="both"/>
        <w:rPr>
          <w:rFonts w:ascii="Times New Roman" w:hAnsi="Times New Roman"/>
          <w:sz w:val="20"/>
        </w:rPr>
      </w:pPr>
      <w:r>
        <w:rPr>
          <w:rFonts w:ascii="Times New Roman" w:hAnsi="Times New Roman"/>
          <w:sz w:val="20"/>
        </w:rPr>
        <w:t>11.30 </w:t>
      </w:r>
      <w:r>
        <w:rPr>
          <w:rFonts w:ascii="Times New Roman" w:hAnsi="Times New Roman"/>
          <w:b/>
          <w:i/>
          <w:sz w:val="20"/>
        </w:rPr>
        <w:t>Performance Criteria</w:t>
      </w:r>
      <w:r>
        <w:rPr>
          <w:rFonts w:ascii="Times New Roman" w:hAnsi="Times New Roman"/>
          <w:sz w:val="20"/>
        </w:rPr>
        <w:t xml:space="preserve">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Subsidiary, or based upon performance relative to performance of other companies or upon comparisons of any of the indicators of performance relative to performance of other companies. </w:t>
      </w:r>
    </w:p>
    <w:p>
      <w:pPr>
        <w:pStyle w:val="TextBody"/>
        <w:bidi w:val="0"/>
        <w:spacing w:before="240" w:after="0"/>
        <w:jc w:val="both"/>
        <w:rPr>
          <w:rFonts w:ascii="Times New Roman" w:hAnsi="Times New Roman"/>
          <w:sz w:val="20"/>
        </w:rPr>
      </w:pPr>
      <w:r>
        <w:rPr>
          <w:rFonts w:ascii="Times New Roman" w:hAnsi="Times New Roman"/>
          <w:sz w:val="20"/>
        </w:rPr>
        <w:t>11.31 </w:t>
      </w:r>
      <w:r>
        <w:rPr>
          <w:rFonts w:ascii="Times New Roman" w:hAnsi="Times New Roman"/>
          <w:b/>
          <w:i/>
          <w:sz w:val="20"/>
        </w:rPr>
        <w:t>Plan</w:t>
      </w:r>
      <w:r>
        <w:rPr>
          <w:rFonts w:ascii="Times New Roman" w:hAnsi="Times New Roman"/>
          <w:sz w:val="20"/>
        </w:rPr>
        <w:t xml:space="preserve"> means this 2024 Incentive Award Plan. </w:t>
      </w:r>
    </w:p>
    <w:p>
      <w:pPr>
        <w:pStyle w:val="TextBody"/>
        <w:bidi w:val="0"/>
        <w:spacing w:before="240" w:after="0"/>
        <w:jc w:val="both"/>
        <w:rPr>
          <w:rFonts w:ascii="Times New Roman" w:hAnsi="Times New Roman"/>
          <w:sz w:val="20"/>
        </w:rPr>
      </w:pPr>
      <w:r>
        <w:rPr>
          <w:rFonts w:ascii="Times New Roman" w:hAnsi="Times New Roman"/>
          <w:sz w:val="20"/>
        </w:rPr>
        <w:t>11.32 </w:t>
      </w:r>
      <w:r>
        <w:rPr>
          <w:rFonts w:ascii="Times New Roman" w:hAnsi="Times New Roman"/>
          <w:b/>
          <w:i/>
          <w:sz w:val="20"/>
        </w:rPr>
        <w:t>Pricing Date</w:t>
      </w:r>
      <w:r>
        <w:rPr>
          <w:rFonts w:ascii="Times New Roman" w:hAnsi="Times New Roman"/>
          <w:sz w:val="20"/>
        </w:rPr>
        <w:t xml:space="preserve"> means the date upon which the Companys Registration Statement on Form S-1 filed with the Securities and Exchange Commission relating to the registered underwritten public offering of shares of Common Stock becomes effective. </w:t>
      </w:r>
    </w:p>
    <w:p>
      <w:pPr>
        <w:pStyle w:val="TextBody"/>
        <w:bidi w:val="0"/>
        <w:spacing w:before="240" w:after="0"/>
        <w:jc w:val="both"/>
        <w:rPr>
          <w:rFonts w:ascii="Times New Roman" w:hAnsi="Times New Roman"/>
          <w:sz w:val="20"/>
        </w:rPr>
      </w:pPr>
      <w:r>
        <w:rPr>
          <w:rFonts w:ascii="Times New Roman" w:hAnsi="Times New Roman"/>
          <w:sz w:val="20"/>
        </w:rPr>
        <w:t>11.33 </w:t>
      </w:r>
      <w:r>
        <w:rPr>
          <w:rFonts w:ascii="Times New Roman" w:hAnsi="Times New Roman"/>
          <w:b/>
          <w:i/>
          <w:sz w:val="20"/>
        </w:rPr>
        <w:t>Pricing Date</w:t>
      </w:r>
      <w:r>
        <w:rPr>
          <w:rFonts w:ascii="Times New Roman" w:hAnsi="Times New Roman"/>
          <w:sz w:val="20"/>
        </w:rPr>
        <w:t xml:space="preserve"> </w:t>
      </w:r>
      <w:r>
        <w:rPr>
          <w:rFonts w:ascii="Times New Roman" w:hAnsi="Times New Roman"/>
          <w:b/>
          <w:i/>
          <w:sz w:val="20"/>
        </w:rPr>
        <w:t>Fully-Diluted Shares</w:t>
      </w:r>
      <w:r>
        <w:rPr>
          <w:rFonts w:ascii="Times New Roman" w:hAnsi="Times New Roman"/>
          <w:sz w:val="20"/>
        </w:rPr>
        <w:t xml:space="preserve"> means, as of the Pricing Date, the sum of (a) the Shares outstanding on such date (calculated on an as converted basis after giving effect to the conversion of the Companys outstanding securities into Shares in connection with the initial public offering and after giving effect to the issuance of Shares to be sold in the initial public offering (assuming the exercise in full of the underwriters option to purchase additional Shares in such initial public offering)), (b) the Shares subject to compensatory equity awards (including stock options) outstanding on such date (with the number of Shares subject to performance-based compensatory equity awards calculated at the maximum level of performance), and (c) all Shares available for future issuance under the Plan and the Companys 2024 Employee Stock Purchase Plan as of such date. </w:t>
      </w:r>
    </w:p>
    <w:p>
      <w:pPr>
        <w:pStyle w:val="TextBody"/>
        <w:bidi w:val="0"/>
        <w:spacing w:before="240" w:after="0"/>
        <w:jc w:val="both"/>
        <w:rPr>
          <w:rFonts w:ascii="Times New Roman" w:hAnsi="Times New Roman"/>
          <w:sz w:val="20"/>
        </w:rPr>
      </w:pPr>
      <w:r>
        <w:rPr>
          <w:rFonts w:ascii="Times New Roman" w:hAnsi="Times New Roman"/>
          <w:sz w:val="20"/>
        </w:rPr>
        <w:t>11.34 </w:t>
      </w:r>
      <w:r>
        <w:rPr>
          <w:rFonts w:ascii="Times New Roman" w:hAnsi="Times New Roman"/>
          <w:b/>
          <w:i/>
          <w:sz w:val="20"/>
        </w:rPr>
        <w:t>Prior Plans</w:t>
      </w:r>
      <w:r>
        <w:rPr>
          <w:rFonts w:ascii="Times New Roman" w:hAnsi="Times New Roman"/>
          <w:sz w:val="20"/>
        </w:rPr>
        <w:t xml:space="preserve"> means the 2022 Plan and the CG Oncology, Inc. 2015 Equity Incentive Plan, as amended. </w:t>
      </w:r>
    </w:p>
    <w:p>
      <w:pPr>
        <w:pStyle w:val="TextBody"/>
        <w:bidi w:val="0"/>
        <w:spacing w:before="240" w:after="0"/>
        <w:jc w:val="both"/>
        <w:rPr>
          <w:rFonts w:ascii="Times New Roman" w:hAnsi="Times New Roman"/>
          <w:sz w:val="20"/>
        </w:rPr>
      </w:pPr>
      <w:r>
        <w:rPr>
          <w:rFonts w:ascii="Times New Roman" w:hAnsi="Times New Roman"/>
          <w:sz w:val="20"/>
        </w:rPr>
        <w:t>11.35 </w:t>
      </w:r>
      <w:r>
        <w:rPr>
          <w:rFonts w:ascii="Times New Roman" w:hAnsi="Times New Roman"/>
          <w:b/>
          <w:i/>
          <w:sz w:val="20"/>
        </w:rPr>
        <w:t>Prior Plan Award</w:t>
      </w:r>
      <w:r>
        <w:rPr>
          <w:rFonts w:ascii="Times New Roman" w:hAnsi="Times New Roman"/>
          <w:sz w:val="20"/>
        </w:rPr>
        <w:t xml:space="preserve"> means an award outstanding under either of the Prior Plans as of the Pricing Date. </w:t>
      </w:r>
    </w:p>
    <w:p>
      <w:pPr>
        <w:pStyle w:val="TextBody"/>
        <w:bidi w:val="0"/>
        <w:spacing w:before="240" w:after="0"/>
        <w:jc w:val="both"/>
        <w:rPr>
          <w:rFonts w:ascii="Times New Roman" w:hAnsi="Times New Roman"/>
          <w:sz w:val="20"/>
        </w:rPr>
      </w:pPr>
      <w:r>
        <w:rPr>
          <w:rFonts w:ascii="Times New Roman" w:hAnsi="Times New Roman"/>
          <w:sz w:val="20"/>
        </w:rPr>
        <w:t>11.36 </w:t>
      </w:r>
      <w:r>
        <w:rPr>
          <w:rFonts w:ascii="Times New Roman" w:hAnsi="Times New Roman"/>
          <w:b/>
          <w:i/>
          <w:sz w:val="20"/>
        </w:rPr>
        <w:t>Restricted Stock</w:t>
      </w:r>
      <w:r>
        <w:rPr>
          <w:rFonts w:ascii="Times New Roman" w:hAnsi="Times New Roman"/>
          <w:sz w:val="20"/>
        </w:rPr>
        <w:t xml:space="preserve"> means Shares awarded to a Participant under Article VI subject to certain vesting conditions and other restrictions. </w:t>
      </w:r>
    </w:p>
    <w:p>
      <w:pPr>
        <w:pStyle w:val="TextBody"/>
        <w:bidi w:val="0"/>
        <w:spacing w:before="240" w:after="0"/>
        <w:jc w:val="both"/>
        <w:rPr>
          <w:rFonts w:ascii="Times New Roman" w:hAnsi="Times New Roman"/>
          <w:sz w:val="20"/>
        </w:rPr>
      </w:pPr>
      <w:r>
        <w:rPr>
          <w:rFonts w:ascii="Times New Roman" w:hAnsi="Times New Roman"/>
          <w:sz w:val="20"/>
        </w:rPr>
        <w:t>11.37 </w:t>
      </w:r>
      <w:r>
        <w:rPr>
          <w:rFonts w:ascii="Times New Roman" w:hAnsi="Times New Roman"/>
          <w:b/>
          <w:i/>
          <w:sz w:val="20"/>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 </w:t>
      </w:r>
    </w:p>
    <w:p>
      <w:pPr>
        <w:pStyle w:val="TextBody"/>
        <w:bidi w:val="0"/>
        <w:spacing w:before="240" w:after="0"/>
        <w:jc w:val="both"/>
        <w:rPr>
          <w:rFonts w:ascii="Times New Roman" w:hAnsi="Times New Roman"/>
          <w:sz w:val="20"/>
        </w:rPr>
      </w:pPr>
      <w:r>
        <w:rPr>
          <w:rFonts w:ascii="Times New Roman" w:hAnsi="Times New Roman"/>
          <w:sz w:val="20"/>
        </w:rPr>
        <w:t>11.38 </w:t>
      </w:r>
      <w:r>
        <w:rPr>
          <w:rFonts w:ascii="Times New Roman" w:hAnsi="Times New Roman"/>
          <w:b/>
          <w:i/>
          <w:sz w:val="20"/>
        </w:rPr>
        <w:t>Rule 16b-3</w:t>
      </w:r>
      <w:r>
        <w:rPr>
          <w:rFonts w:ascii="Times New Roman" w:hAnsi="Times New Roman"/>
          <w:sz w:val="20"/>
        </w:rPr>
        <w:t xml:space="preserve"> means Rule 16b-3 promulgated under the Exchange Act. </w:t>
      </w:r>
    </w:p>
    <w:p>
      <w:pPr>
        <w:pStyle w:val="TextBody"/>
        <w:bidi w:val="0"/>
        <w:spacing w:before="240" w:after="0"/>
        <w:jc w:val="both"/>
        <w:rPr>
          <w:rFonts w:ascii="Times New Roman" w:hAnsi="Times New Roman"/>
          <w:sz w:val="20"/>
        </w:rPr>
      </w:pPr>
      <w:r>
        <w:rPr>
          <w:rFonts w:ascii="Times New Roman" w:hAnsi="Times New Roman"/>
          <w:sz w:val="20"/>
        </w:rPr>
        <w:t>11.39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all regulations, guidance, compliance programs and other interpretative authority thereunder. </w:t>
      </w:r>
    </w:p>
    <w:p>
      <w:pPr>
        <w:pStyle w:val="TextBody"/>
        <w:bidi w:val="0"/>
        <w:spacing w:before="240" w:after="0"/>
        <w:jc w:val="both"/>
        <w:rPr>
          <w:rFonts w:ascii="Times New Roman" w:hAnsi="Times New Roman"/>
          <w:sz w:val="20"/>
        </w:rPr>
      </w:pPr>
      <w:r>
        <w:rPr>
          <w:rFonts w:ascii="Times New Roman" w:hAnsi="Times New Roman"/>
          <w:sz w:val="20"/>
        </w:rPr>
        <w:t>11.40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both"/>
        <w:rPr>
          <w:rFonts w:ascii="Times New Roman" w:hAnsi="Times New Roman"/>
          <w:sz w:val="20"/>
        </w:rPr>
      </w:pPr>
      <w:r>
        <w:rPr>
          <w:rFonts w:ascii="Times New Roman" w:hAnsi="Times New Roman"/>
          <w:sz w:val="20"/>
        </w:rPr>
        <w:t>11.41 </w:t>
      </w:r>
      <w:r>
        <w:rPr>
          <w:rFonts w:ascii="Times New Roman" w:hAnsi="Times New Roman"/>
          <w:b/>
          <w:i/>
          <w:sz w:val="20"/>
        </w:rPr>
        <w:t>Service Provider</w:t>
      </w:r>
      <w:r>
        <w:rPr>
          <w:rFonts w:ascii="Times New Roman" w:hAnsi="Times New Roman"/>
          <w:sz w:val="20"/>
        </w:rPr>
        <w:t xml:space="preserve"> means an Employee, Consultant or Director. </w:t>
      </w:r>
    </w:p>
    <w:p>
      <w:pPr>
        <w:pStyle w:val="TextBody"/>
        <w:bidi w:val="0"/>
        <w:spacing w:before="240" w:after="0"/>
        <w:jc w:val="both"/>
        <w:rPr>
          <w:rFonts w:ascii="Times New Roman" w:hAnsi="Times New Roman"/>
          <w:sz w:val="20"/>
        </w:rPr>
      </w:pPr>
      <w:r>
        <w:rPr>
          <w:rFonts w:ascii="Times New Roman" w:hAnsi="Times New Roman"/>
          <w:sz w:val="20"/>
        </w:rPr>
        <w:t>11.42 </w:t>
      </w:r>
      <w:r>
        <w:rPr>
          <w:rFonts w:ascii="Times New Roman" w:hAnsi="Times New Roman"/>
          <w:b/>
          <w:i/>
          <w:sz w:val="20"/>
        </w:rPr>
        <w:t>Shares</w:t>
      </w:r>
      <w:r>
        <w:rPr>
          <w:rFonts w:ascii="Times New Roman" w:hAnsi="Times New Roman"/>
          <w:sz w:val="20"/>
        </w:rPr>
        <w:t xml:space="preserve"> means shares of Common Stock. </w:t>
      </w:r>
    </w:p>
    <w:p>
      <w:pPr>
        <w:pStyle w:val="TextBody"/>
        <w:bidi w:val="0"/>
        <w:spacing w:before="240" w:after="0"/>
        <w:jc w:val="both"/>
        <w:rPr>
          <w:rFonts w:ascii="Times New Roman" w:hAnsi="Times New Roman"/>
          <w:sz w:val="20"/>
        </w:rPr>
      </w:pPr>
      <w:r>
        <w:rPr>
          <w:rFonts w:ascii="Times New Roman" w:hAnsi="Times New Roman"/>
          <w:sz w:val="20"/>
        </w:rPr>
        <w:t>11.43 </w:t>
      </w:r>
      <w:r>
        <w:rPr>
          <w:rFonts w:ascii="Times New Roman" w:hAnsi="Times New Roman"/>
          <w:b/>
          <w:i/>
          <w:sz w:val="20"/>
        </w:rPr>
        <w:t>Stock Appreciation Right</w:t>
      </w:r>
      <w:r>
        <w:rPr>
          <w:rFonts w:ascii="Times New Roman" w:hAnsi="Times New Roman"/>
          <w:sz w:val="20"/>
        </w:rPr>
        <w:t xml:space="preserve"> means a stock appreciation right granted under Article V. </w:t>
      </w:r>
    </w:p>
    <w:p>
      <w:pPr>
        <w:pStyle w:val="TextBody"/>
        <w:bidi w:val="0"/>
        <w:spacing w:before="240" w:after="0"/>
        <w:jc w:val="both"/>
        <w:rPr>
          <w:rFonts w:ascii="Times New Roman" w:hAnsi="Times New Roman"/>
          <w:sz w:val="20"/>
        </w:rPr>
      </w:pPr>
      <w:r>
        <w:rPr>
          <w:rFonts w:ascii="Times New Roman" w:hAnsi="Times New Roman"/>
          <w:sz w:val="20"/>
        </w:rPr>
        <w:t>11.44 </w:t>
      </w:r>
      <w:r>
        <w:rPr>
          <w:rFonts w:ascii="Times New Roman" w:hAnsi="Times New Roman"/>
          <w:b/>
          <w:i/>
          <w:sz w:val="20"/>
        </w:rPr>
        <w:t>Subsidiary</w:t>
      </w:r>
      <w:r>
        <w:rPr>
          <w:rFonts w:ascii="Times New Roman" w:hAnsi="Times New Roman"/>
          <w:sz w:val="20"/>
        </w:rPr>
        <w:t xml:space="preserve">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w:t>
      </w:r>
    </w:p>
    <w:p>
      <w:pPr>
        <w:pStyle w:val="TextBody"/>
        <w:bidi w:val="0"/>
        <w:spacing w:before="240" w:after="0"/>
        <w:jc w:val="both"/>
        <w:rPr>
          <w:rFonts w:ascii="Times New Roman" w:hAnsi="Times New Roman"/>
          <w:sz w:val="20"/>
        </w:rPr>
      </w:pPr>
      <w:r>
        <w:rPr>
          <w:rFonts w:ascii="Times New Roman" w:hAnsi="Times New Roman"/>
          <w:sz w:val="20"/>
        </w:rPr>
        <w:t>11.45 </w:t>
      </w:r>
      <w:r>
        <w:rPr>
          <w:rFonts w:ascii="Times New Roman" w:hAnsi="Times New Roman"/>
          <w:b/>
          <w:i/>
          <w:sz w:val="20"/>
        </w:rPr>
        <w:t>Substitute Awards</w:t>
      </w:r>
      <w:r>
        <w:rPr>
          <w:rFonts w:ascii="Times New Roman" w:hAnsi="Times New Roman"/>
          <w:sz w:val="20"/>
        </w:rPr>
        <w:t xml:space="preserve">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 </w:t>
      </w:r>
    </w:p>
    <w:p>
      <w:pPr>
        <w:pStyle w:val="TextBody"/>
        <w:bidi w:val="0"/>
        <w:spacing w:before="240" w:after="0"/>
        <w:jc w:val="both"/>
        <w:rPr>
          <w:rFonts w:ascii="Times New Roman" w:hAnsi="Times New Roman"/>
          <w:sz w:val="20"/>
        </w:rPr>
      </w:pPr>
      <w:r>
        <w:rPr>
          <w:rFonts w:ascii="Times New Roman" w:hAnsi="Times New Roman"/>
          <w:sz w:val="20"/>
        </w:rPr>
        <w:t>11.46 </w:t>
      </w:r>
      <w:r>
        <w:rPr>
          <w:rFonts w:ascii="Times New Roman" w:hAnsi="Times New Roman"/>
          <w:b/>
          <w:i/>
          <w:sz w:val="20"/>
        </w:rPr>
        <w:t>Termination of Service</w:t>
      </w:r>
      <w:r>
        <w:rPr>
          <w:rFonts w:ascii="Times New Roman" w:hAnsi="Times New Roman"/>
          <w:sz w:val="20"/>
        </w:rPr>
        <w:t xml:space="preserve"> means the date the Participant ceases to be a Service Provider.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CG ONCOLOGY, INC. </w:t>
      </w:r>
    </w:p>
    <w:p>
      <w:pPr>
        <w:pStyle w:val="TextBody"/>
        <w:pBdr/>
        <w:bidi w:val="0"/>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2024 INCENTIVE AWARD PLAN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GRANT NOTICE </w:t>
      </w:r>
    </w:p>
    <w:p>
      <w:pPr>
        <w:pStyle w:val="TextBody"/>
        <w:bidi w:val="0"/>
        <w:spacing w:before="240" w:after="0"/>
        <w:jc w:val="both"/>
        <w:rPr>
          <w:rFonts w:ascii="Times New Roman" w:hAnsi="Times New Roman"/>
          <w:sz w:val="20"/>
        </w:rPr>
      </w:pPr>
      <w:r>
        <w:rPr>
          <w:rFonts w:ascii="Times New Roman" w:hAnsi="Times New Roman"/>
          <w:sz w:val="20"/>
        </w:rPr>
        <w:t>Capitalized terms not specifically defined in this Stock Option Grant Notice (the </w:t>
      </w:r>
      <w:r>
        <w:rPr>
          <w:rFonts w:ascii="Times New Roman" w:hAnsi="Times New Roman"/>
          <w:b/>
          <w:i/>
          <w:sz w:val="20"/>
        </w:rPr>
        <w:t>Grant Notice</w:t>
      </w:r>
      <w:r>
        <w:rPr>
          <w:rFonts w:ascii="Times New Roman" w:hAnsi="Times New Roman"/>
          <w:sz w:val="20"/>
        </w:rPr>
        <w:t>) have the meanings given to them in the 2024 Incentive Award Plan (as amended from time to time, the </w:t>
      </w:r>
      <w:r>
        <w:rPr>
          <w:rFonts w:ascii="Times New Roman" w:hAnsi="Times New Roman"/>
          <w:b/>
          <w:i/>
          <w:sz w:val="20"/>
        </w:rPr>
        <w:t>Plan</w:t>
      </w:r>
      <w:r>
        <w:rPr>
          <w:rFonts w:ascii="Times New Roman" w:hAnsi="Times New Roman"/>
          <w:sz w:val="20"/>
        </w:rPr>
        <w:t>) of CG Oncology,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Company hereby grants to the participant listed below (</w:t>
      </w:r>
      <w:r>
        <w:rPr>
          <w:rFonts w:ascii="Times New Roman" w:hAnsi="Times New Roman"/>
          <w:b/>
          <w:i/>
          <w:sz w:val="20"/>
        </w:rPr>
        <w:t>Participant</w:t>
      </w:r>
      <w:r>
        <w:rPr>
          <w:rFonts w:ascii="Times New Roman" w:hAnsi="Times New Roman"/>
          <w:sz w:val="20"/>
        </w:rPr>
        <w:t>) the stock option described in this Grant Notice (the </w:t>
      </w:r>
      <w:r>
        <w:rPr>
          <w:rFonts w:ascii="Times New Roman" w:hAnsi="Times New Roman"/>
          <w:b/>
          <w:i/>
          <w:sz w:val="20"/>
        </w:rPr>
        <w:t>Option</w:t>
      </w:r>
      <w:r>
        <w:rPr>
          <w:rFonts w:ascii="Times New Roman" w:hAnsi="Times New Roman"/>
          <w:sz w:val="20"/>
        </w:rPr>
        <w:t xml:space="preserve">), subject to the terms and conditions of the Plan and the Stock Option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xml:space="preserve">), both of which are incorporated into this Grant Notice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2"/>
        <w:gridCol w:w="122"/>
        <w:gridCol w:w="7041"/>
      </w:tblGrid>
      <w:tr>
        <w:trPr/>
        <w:tc>
          <w:tcPr>
            <w:tcW w:w="30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41" w:type="dxa"/>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Participant:</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Participant Name]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Grant Date:</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Grant Date]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Exercise Price per Share:</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Exercise Price]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Shares Subject to the Option:</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Number of Options]</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Final Expiration Date:</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Tenth Anniversary of Grant Date]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Vesting Commencement Date:</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Vesting Commencement Date]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b/>
              </w:rPr>
            </w:pPr>
            <w:r>
              <w:rPr>
                <w:b/>
              </w:rPr>
              <w:t>Vesting Schedule:</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i/>
                <w:sz w:val="20"/>
              </w:rPr>
            </w:pPr>
            <w:r>
              <w:rPr>
                <w:rFonts w:ascii="Times New Roman" w:hAnsi="Times New Roman"/>
                <w:i/>
                <w:sz w:val="20"/>
              </w:rPr>
              <w:t>[Insert Vesting Schedule]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rFonts w:ascii="Times New Roman" w:hAnsi="Times New Roman"/>
                <w:sz w:val="20"/>
              </w:rPr>
            </w:pPr>
            <w:r>
              <w:rPr>
                <w:rFonts w:ascii="Times New Roman" w:hAnsi="Times New Roman"/>
                <w:sz w:val="20"/>
              </w:rPr>
              <w:t>In addition, in the event Participant experiences a Termination of Service as a result of (a) 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portion of the Option shall become fully vested and exercisable on the date of such Termination of Service.</w:t>
            </w:r>
          </w:p>
        </w:tc>
      </w:tr>
      <w:tr>
        <w:trPr>
          <w:trHeight w:val="120" w:hRule="atLeast"/>
        </w:trPr>
        <w:tc>
          <w:tcPr>
            <w:tcW w:w="3042" w:type="dxa"/>
            <w:tcBorders/>
            <w:vAlign w:val="center"/>
          </w:tcPr>
          <w:p>
            <w:pPr>
              <w:pStyle w:val="TableContents"/>
              <w:bidi w:val="0"/>
              <w:spacing w:before="0" w:after="283"/>
              <w:jc w:val="left"/>
              <w:rPr>
                <w:sz w:val="4"/>
                <w:szCs w:val="4"/>
              </w:rPr>
            </w:pPr>
            <w:r>
              <w:rPr>
                <w:sz w:val="4"/>
                <w:szCs w:val="4"/>
              </w:rPr>
            </w:r>
          </w:p>
        </w:tc>
        <w:tc>
          <w:tcPr>
            <w:tcW w:w="7163" w:type="dxa"/>
            <w:gridSpan w:val="2"/>
            <w:tcBorders/>
            <w:vAlign w:val="center"/>
          </w:tcPr>
          <w:p>
            <w:pPr>
              <w:pStyle w:val="TableContents"/>
              <w:bidi w:val="0"/>
              <w:spacing w:before="0" w:after="283"/>
              <w:jc w:val="left"/>
              <w:rPr>
                <w:sz w:val="4"/>
                <w:szCs w:val="4"/>
              </w:rPr>
            </w:pPr>
            <w:r>
              <w:rPr>
                <w:sz w:val="4"/>
                <w:szCs w:val="4"/>
              </w:rPr>
            </w:r>
          </w:p>
        </w:tc>
      </w:tr>
      <w:tr>
        <w:trPr/>
        <w:tc>
          <w:tcPr>
            <w:tcW w:w="3042" w:type="dxa"/>
            <w:tcBorders/>
          </w:tcPr>
          <w:p>
            <w:pPr>
              <w:pStyle w:val="TableContents"/>
              <w:bidi w:val="0"/>
              <w:spacing w:before="0" w:after="283"/>
              <w:jc w:val="left"/>
              <w:rPr/>
            </w:pPr>
            <w:r>
              <w:rPr>
                <w:b/>
              </w:rPr>
              <w:t xml:space="preserve">Type of Option </w:t>
            </w:r>
            <w:r>
              <w:rPr>
                <w:b/>
                <w:i/>
              </w:rPr>
              <w:t>(select one)</w:t>
            </w:r>
            <w:r>
              <w:rPr>
                <w:b/>
              </w:rPr>
              <w:t>:</w:t>
            </w:r>
          </w:p>
        </w:tc>
        <w:tc>
          <w:tcPr>
            <w:tcW w:w="122" w:type="dxa"/>
            <w:tcBorders/>
            <w:vAlign w:val="bottom"/>
          </w:tcPr>
          <w:p>
            <w:pPr>
              <w:pStyle w:val="TableContents"/>
              <w:bidi w:val="0"/>
              <w:spacing w:before="0" w:after="283"/>
              <w:jc w:val="left"/>
              <w:rPr/>
            </w:pPr>
            <w:r>
              <w:rPr/>
              <w:t>  </w:t>
            </w:r>
          </w:p>
        </w:tc>
        <w:tc>
          <w:tcPr>
            <w:tcW w:w="7041" w:type="dxa"/>
            <w:tcBorders/>
          </w:tcPr>
          <w:p>
            <w:pPr>
              <w:pStyle w:val="TableContents"/>
              <w:bidi w:val="0"/>
              <w:spacing w:before="0" w:after="0"/>
              <w:jc w:val="both"/>
              <w:rPr/>
            </w:pPr>
            <w:r>
              <w:rPr/>
              <w:t xml:space="preserve">☐ </w:t>
            </w:r>
            <w:r>
              <w:rPr>
                <w:rFonts w:ascii="Times New Roman" w:hAnsi="Times New Roman"/>
                <w:sz w:val="20"/>
              </w:rPr>
              <w:t>Incentive Stock Option (ISO)</w:t>
            </w:r>
          </w:p>
          <w:p>
            <w:pPr>
              <w:pStyle w:val="TableContents"/>
              <w:bidi w:val="0"/>
              <w:spacing w:before="0" w:after="0"/>
              <w:jc w:val="left"/>
              <w:rPr/>
            </w:pPr>
            <w:r>
              <w:rPr/>
              <w:t> </w:t>
            </w:r>
          </w:p>
          <w:p>
            <w:pPr>
              <w:pStyle w:val="TableContents"/>
              <w:bidi w:val="0"/>
              <w:spacing w:before="0" w:after="20"/>
              <w:jc w:val="both"/>
              <w:rPr/>
            </w:pPr>
            <w:r>
              <w:rPr/>
              <w:t xml:space="preserve">☐ </w:t>
            </w:r>
            <w:r>
              <w:rPr>
                <w:rFonts w:ascii="Times New Roman" w:hAnsi="Times New Roman"/>
                <w:sz w:val="20"/>
              </w:rPr>
              <w:t>Non-Qualified Stock Option (NSO)</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 </w:t>
      </w:r>
    </w:p>
    <w:p>
      <w:pPr>
        <w:pStyle w:val="TextBody"/>
        <w:bidi w:val="0"/>
        <w:spacing w:before="240" w:after="0"/>
        <w:jc w:val="both"/>
        <w:rPr>
          <w:rFonts w:ascii="Times New Roman" w:hAnsi="Times New Roman"/>
          <w:sz w:val="20"/>
        </w:rPr>
      </w:pPr>
      <w:r>
        <w:rPr>
          <w:rFonts w:ascii="Times New Roman" w:hAnsi="Times New Roman"/>
          <w:sz w:val="20"/>
        </w:rPr>
        <w:t xml:space="preserve">By accepting (whether in writing, electronically or otherwise, including an acceptance through an electronic capitalization table system used by the Company) the Option, Participant agrees to be bound by the terms of this Grant Notice, the Plan and the Agreement. Participant has reviewed the Plan, this Grant Notice and the Agreement in their entirety, has received a copy of the prospectus for the Plan, has had an opportunity to obtain the advice of counsel prior to executing this Grant Notice and fully understands all provisions of the Plan, this Grant Notice and the Agreement. Participant hereby agrees to accept as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conclusive and final all decisions or interpretations of the Administrator upon any questions arising under the Plan, this Grant Notice or the Agreement. </w:t>
      </w:r>
    </w:p>
    <w:p>
      <w:pPr>
        <w:pStyle w:val="TextBody"/>
        <w:bidi w:val="0"/>
        <w:spacing w:before="240" w:after="0"/>
        <w:jc w:val="both"/>
        <w:rPr>
          <w:rFonts w:ascii="Times New Roman" w:hAnsi="Times New Roman"/>
          <w:sz w:val="20"/>
        </w:rPr>
      </w:pPr>
      <w:r>
        <w:rPr>
          <w:rFonts w:ascii="Times New Roman" w:hAnsi="Times New Roman"/>
          <w:i/>
          <w:sz w:val="20"/>
        </w:rPr>
        <w:t>Internet Availability of Plan Materials</w:t>
      </w:r>
      <w:r>
        <w:rPr>
          <w:rFonts w:ascii="Times New Roman" w:hAnsi="Times New Roman"/>
          <w:sz w:val="20"/>
        </w:rPr>
        <w:t xml:space="preserve">. The Company will furnish Plan materials (including the Plan, prospectus, annual report on Form 10-K and 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w:t>
      </w:r>
      <w:r>
        <w:rPr>
          <w:rFonts w:ascii="Times New Roman" w:hAnsi="Times New Roman"/>
          <w:sz w:val="20"/>
          <w:u w:val="single"/>
        </w:rPr>
        <w:t>https://cgoncology.com/</w:t>
      </w:r>
      <w:r>
        <w:rPr>
          <w:rFonts w:ascii="Times New Roman" w:hAnsi="Times New Roman"/>
          <w:sz w:val="20"/>
        </w:rPr>
        <w:t>. The Plan is available at [</w:t>
      </w:r>
      <w:r>
        <w:rPr>
          <w:rFonts w:ascii="Times New Roman" w:hAnsi="Times New Roman"/>
          <w:i/>
          <w:sz w:val="20"/>
        </w:rPr>
        <w:t>insert location</w:t>
      </w:r>
      <w:r>
        <w:rPr>
          <w:rFonts w:ascii="Times New Roman" w:hAnsi="Times New Roman"/>
          <w:sz w:val="20"/>
        </w:rPr>
        <w:t xml:space="preserve">]. However, if Participant would prefer to receive printed copies of the Plan materials or information provided to the Companys stockholders without charge, please contact: CG Oncology, Inc., Attn: Secretary, 400 Spectrum Center Drive, Suite 2040, Irvine, CA 92618, Telephone: (949) 409-3700, Email: information@cgoncology.com.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7"/>
        <w:gridCol w:w="131"/>
        <w:gridCol w:w="3346"/>
        <w:gridCol w:w="116"/>
        <w:gridCol w:w="23"/>
        <w:gridCol w:w="150"/>
        <w:gridCol w:w="1563"/>
        <w:gridCol w:w="189"/>
        <w:gridCol w:w="3190"/>
      </w:tblGrid>
      <w:tr>
        <w:trPr/>
        <w:tc>
          <w:tcPr>
            <w:tcW w:w="149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cPr>
          <w:p>
            <w:pPr>
              <w:pStyle w:val="TableContents"/>
              <w:bidi w:val="0"/>
              <w:spacing w:before="0" w:after="283"/>
              <w:jc w:val="left"/>
              <w:rPr>
                <w:b/>
              </w:rPr>
            </w:pPr>
            <w:r>
              <w:rPr>
                <w:b/>
              </w:rPr>
              <w:t>CG ONCOLOGY, INC.</w:t>
            </w:r>
          </w:p>
        </w:tc>
        <w:tc>
          <w:tcPr>
            <w:tcW w:w="116"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4942" w:type="dxa"/>
            <w:gridSpan w:val="3"/>
            <w:tcBorders/>
          </w:tcPr>
          <w:p>
            <w:pPr>
              <w:pStyle w:val="TableContents"/>
              <w:bidi w:val="0"/>
              <w:spacing w:before="0" w:after="283"/>
              <w:jc w:val="left"/>
              <w:rPr>
                <w:b/>
              </w:rPr>
            </w:pPr>
            <w:r>
              <w:rPr>
                <w:b/>
              </w:rPr>
              <w:t>PARTICIPANT</w:t>
            </w:r>
          </w:p>
        </w:tc>
      </w:tr>
      <w:tr>
        <w:trPr>
          <w:trHeight w:val="240" w:hRule="atLeast"/>
        </w:trPr>
        <w:tc>
          <w:tcPr>
            <w:tcW w:w="1497"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c>
          <w:tcPr>
            <w:tcW w:w="139" w:type="dxa"/>
            <w:gridSpan w:val="2"/>
            <w:tcBorders/>
            <w:vAlign w:val="center"/>
          </w:tcPr>
          <w:p>
            <w:pPr>
              <w:pStyle w:val="TableContents"/>
              <w:bidi w:val="0"/>
              <w:spacing w:before="0" w:after="283"/>
              <w:jc w:val="left"/>
              <w:rPr>
                <w:sz w:val="4"/>
                <w:szCs w:val="4"/>
              </w:rPr>
            </w:pPr>
            <w:r>
              <w:rPr>
                <w:sz w:val="4"/>
                <w:szCs w:val="4"/>
              </w:rPr>
            </w:r>
          </w:p>
        </w:tc>
        <w:tc>
          <w:tcPr>
            <w:tcW w:w="1713" w:type="dxa"/>
            <w:gridSpan w:val="2"/>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r>
      <w:tr>
        <w:trPr/>
        <w:tc>
          <w:tcPr>
            <w:tcW w:w="1497"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31"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both"/>
              <w:rPr/>
            </w:pPr>
            <w:r>
              <w:rPr/>
              <w:t> </w:t>
            </w:r>
          </w:p>
        </w:tc>
        <w:tc>
          <w:tcPr>
            <w:tcW w:w="116"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89" w:type="dxa"/>
            <w:tcBorders/>
            <w:vAlign w:val="bottom"/>
          </w:tcPr>
          <w:p>
            <w:pPr>
              <w:pStyle w:val="TableContents"/>
              <w:bidi w:val="0"/>
              <w:spacing w:before="0" w:after="283"/>
              <w:jc w:val="left"/>
              <w:rPr/>
            </w:pPr>
            <w:r>
              <w:rPr/>
              <w:t>  </w:t>
            </w:r>
          </w:p>
        </w:tc>
        <w:tc>
          <w:tcPr>
            <w:tcW w:w="3190" w:type="dxa"/>
            <w:tcBorders/>
          </w:tcPr>
          <w:p>
            <w:pPr>
              <w:pStyle w:val="TableContents"/>
              <w:pBdr>
                <w:bottom w:val="single" w:sz="2" w:space="1" w:color="000000"/>
              </w:pBdr>
              <w:bidi w:val="0"/>
              <w:spacing w:before="0" w:after="20"/>
              <w:jc w:val="both"/>
              <w:rPr/>
            </w:pPr>
            <w:r>
              <w:rPr/>
              <w:t> </w:t>
            </w:r>
          </w:p>
        </w:tc>
      </w:tr>
      <w:tr>
        <w:trPr/>
        <w:tc>
          <w:tcPr>
            <w:tcW w:w="1497" w:type="dxa"/>
            <w:tcBorders/>
          </w:tcPr>
          <w:p>
            <w:pPr>
              <w:pStyle w:val="TableContents"/>
              <w:bidi w:val="0"/>
              <w:spacing w:before="0" w:after="0"/>
              <w:jc w:val="both"/>
              <w:rPr>
                <w:rFonts w:ascii="Times New Roman" w:hAnsi="Times New Roman"/>
                <w:sz w:val="20"/>
              </w:rPr>
            </w:pPr>
            <w:r>
              <w:rPr>
                <w:rFonts w:ascii="Times New Roman" w:hAnsi="Times New Roman"/>
                <w:sz w:val="20"/>
              </w:rPr>
              <w:t>Print Name:</w:t>
            </w:r>
          </w:p>
        </w:tc>
        <w:tc>
          <w:tcPr>
            <w:tcW w:w="131"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both"/>
              <w:rPr/>
            </w:pPr>
            <w:r>
              <w:rPr/>
              <w:t> </w:t>
            </w:r>
          </w:p>
        </w:tc>
        <w:tc>
          <w:tcPr>
            <w:tcW w:w="116"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0"/>
              <w:jc w:val="both"/>
              <w:rPr>
                <w:rFonts w:ascii="Times New Roman" w:hAnsi="Times New Roman"/>
                <w:sz w:val="20"/>
              </w:rPr>
            </w:pPr>
            <w:r>
              <w:rPr>
                <w:rFonts w:ascii="Times New Roman" w:hAnsi="Times New Roman"/>
                <w:sz w:val="20"/>
              </w:rPr>
              <w:t>Print Name:</w:t>
            </w:r>
          </w:p>
        </w:tc>
        <w:tc>
          <w:tcPr>
            <w:tcW w:w="189" w:type="dxa"/>
            <w:tcBorders/>
            <w:vAlign w:val="bottom"/>
          </w:tcPr>
          <w:p>
            <w:pPr>
              <w:pStyle w:val="TableContents"/>
              <w:bidi w:val="0"/>
              <w:spacing w:before="0" w:after="283"/>
              <w:jc w:val="left"/>
              <w:rPr/>
            </w:pPr>
            <w:r>
              <w:rPr/>
              <w:t>  </w:t>
            </w:r>
          </w:p>
        </w:tc>
        <w:tc>
          <w:tcPr>
            <w:tcW w:w="3190" w:type="dxa"/>
            <w:tcBorders/>
          </w:tcPr>
          <w:p>
            <w:pPr>
              <w:pStyle w:val="TableContents"/>
              <w:pBdr>
                <w:bottom w:val="single" w:sz="2" w:space="1" w:color="000000"/>
              </w:pBdr>
              <w:bidi w:val="0"/>
              <w:spacing w:before="0" w:after="20"/>
              <w:jc w:val="both"/>
              <w:rPr/>
            </w:pPr>
            <w:r>
              <w:rPr/>
              <w:t> </w:t>
            </w:r>
          </w:p>
        </w:tc>
      </w:tr>
      <w:tr>
        <w:trPr/>
        <w:tc>
          <w:tcPr>
            <w:tcW w:w="1497"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31"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both"/>
              <w:rPr/>
            </w:pPr>
            <w:r>
              <w:rPr/>
              <w:t> </w:t>
            </w:r>
          </w:p>
        </w:tc>
        <w:tc>
          <w:tcPr>
            <w:tcW w:w="116"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240" w:after="0"/>
        <w:jc w:val="both"/>
        <w:rPr>
          <w:rFonts w:ascii="Times New Roman" w:hAnsi="Times New Roman"/>
          <w:sz w:val="20"/>
        </w:rPr>
      </w:pPr>
      <w:r>
        <w:rPr>
          <w:rFonts w:ascii="Times New Roman" w:hAnsi="Times New Roman"/>
          <w:sz w:val="20"/>
        </w:rPr>
        <w:t xml:space="preserve">Capitalized terms not specifically defined in this Agreement have the meanings specified in the Grant Notice or, if not defined in the Grant Notice, in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Grant of Option</w:t>
      </w:r>
      <w:r>
        <w:rPr>
          <w:rFonts w:ascii="Times New Roman" w:hAnsi="Times New Roman"/>
          <w:sz w:val="20"/>
        </w:rPr>
        <w:t>. The Company has granted to Participant the Option effective as of the grant date set forth in the Grant Notice (the </w:t>
      </w:r>
      <w:r>
        <w:rPr>
          <w:rFonts w:ascii="Times New Roman" w:hAnsi="Times New Roman"/>
          <w:b/>
          <w:i/>
          <w:sz w:val="20"/>
        </w:rPr>
        <w:t>Grant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Incorporation of Terms of Plan</w:t>
      </w:r>
      <w:r>
        <w:rPr>
          <w:rFonts w:ascii="Times New Roman" w:hAnsi="Times New Roman"/>
          <w:sz w:val="20"/>
        </w:rPr>
        <w:t xml:space="preserve">. The Option is subject to the terms and conditions set forth in this Agreement and the Plan, which is incorporated herein by reference. In the event of any inconsistency between the Plan and this Agreement, the terms of the Plan will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PERIOD OF EXERCISABILITY </w:t>
      </w:r>
    </w:p>
    <w:p>
      <w:pPr>
        <w:pStyle w:val="TextBody"/>
        <w:bidi w:val="0"/>
        <w:spacing w:before="240" w:after="0"/>
        <w:jc w:val="both"/>
        <w:rPr>
          <w:rFonts w:ascii="Times New Roman" w:hAnsi="Times New Roman"/>
          <w:sz w:val="20"/>
        </w:rPr>
      </w:pPr>
      <w:r>
        <w:rPr>
          <w:rFonts w:ascii="Times New Roman" w:hAnsi="Times New Roman"/>
          <w:sz w:val="20"/>
        </w:rPr>
        <w:t xml:space="preserve">2.1 </w:t>
      </w:r>
      <w:r>
        <w:rPr>
          <w:rFonts w:ascii="Times New Roman" w:hAnsi="Times New Roman"/>
          <w:sz w:val="20"/>
          <w:u w:val="single"/>
        </w:rPr>
        <w:t>Commencement of Exercisability</w:t>
      </w:r>
      <w:r>
        <w:rPr>
          <w:rFonts w:ascii="Times New Roman" w:hAnsi="Times New Roman"/>
          <w:sz w:val="20"/>
        </w:rPr>
        <w:t>. The Option will vest and become exercisable according to the vesting schedule in the Grant Notice (the </w:t>
      </w:r>
      <w:r>
        <w:rPr>
          <w:rFonts w:ascii="Times New Roman" w:hAnsi="Times New Roman"/>
          <w:b/>
          <w:i/>
          <w:sz w:val="20"/>
        </w:rPr>
        <w:t>Vesting Schedule</w:t>
      </w:r>
      <w:r>
        <w:rPr>
          <w:rFonts w:ascii="Times New Roman" w:hAnsi="Times New Roman"/>
          <w:sz w:val="20"/>
        </w:rPr>
        <w:t xml:space="preserve">), except that any fraction of a Share as to which the Option would be vested or exercisable will be accumulated and will vest and become exercisable only when a whole Share has accumulated. The Option will not be exercisable with respect to fractional Shares. Notwithstanding anything in the Grant Notice, the Plan or this Agreement to the contrary, the Option will immediately expire and be forfeited as to any portion that is not vested and exercisable as of Participants Termination of Service for any reason, except as may be otherwise provided by the Administrator or as set forth in another written agreement between the Company or any Subsidiary and Participant. </w:t>
      </w:r>
    </w:p>
    <w:p>
      <w:pPr>
        <w:pStyle w:val="TextBody"/>
        <w:bidi w:val="0"/>
        <w:spacing w:before="240" w:after="0"/>
        <w:jc w:val="both"/>
        <w:rPr>
          <w:rFonts w:ascii="Times New Roman" w:hAnsi="Times New Roman"/>
          <w:sz w:val="20"/>
        </w:rPr>
      </w:pPr>
      <w:r>
        <w:rPr>
          <w:rFonts w:ascii="Times New Roman" w:hAnsi="Times New Roman"/>
          <w:sz w:val="20"/>
        </w:rPr>
        <w:t xml:space="preserve">2.2 </w:t>
      </w:r>
      <w:r>
        <w:rPr>
          <w:rFonts w:ascii="Times New Roman" w:hAnsi="Times New Roman"/>
          <w:sz w:val="20"/>
          <w:u w:val="single"/>
        </w:rPr>
        <w:t>Duration of Exercisability</w:t>
      </w:r>
      <w:r>
        <w:rPr>
          <w:rFonts w:ascii="Times New Roman" w:hAnsi="Times New Roman"/>
          <w:sz w:val="20"/>
        </w:rPr>
        <w:t xml:space="preserve">. The Vesting Schedule is cumulative. Any portion of the Option which vests and becomes exercisable will remain vested and exercisable until the Option expires. The Option will be forfeited immediately upon its expiration. </w:t>
      </w:r>
    </w:p>
    <w:p>
      <w:pPr>
        <w:pStyle w:val="TextBody"/>
        <w:bidi w:val="0"/>
        <w:spacing w:before="240" w:after="0"/>
        <w:jc w:val="both"/>
        <w:rPr>
          <w:rFonts w:ascii="Times New Roman" w:hAnsi="Times New Roman"/>
          <w:sz w:val="20"/>
        </w:rPr>
      </w:pPr>
      <w:r>
        <w:rPr>
          <w:rFonts w:ascii="Times New Roman" w:hAnsi="Times New Roman"/>
          <w:sz w:val="20"/>
        </w:rPr>
        <w:t xml:space="preserve">2.3 </w:t>
      </w:r>
      <w:r>
        <w:rPr>
          <w:rFonts w:ascii="Times New Roman" w:hAnsi="Times New Roman"/>
          <w:sz w:val="20"/>
          <w:u w:val="single"/>
        </w:rPr>
        <w:t>Expiration of Option</w:t>
      </w:r>
      <w:r>
        <w:rPr>
          <w:rFonts w:ascii="Times New Roman" w:hAnsi="Times New Roman"/>
          <w:sz w:val="20"/>
        </w:rPr>
        <w:t xml:space="preserve">. Subject to Section 5.3 of the Plan, the Option may not be exercised to any extent by anyone after, and will expire on, the first of the following to occur: </w:t>
      </w:r>
    </w:p>
    <w:p>
      <w:pPr>
        <w:pStyle w:val="TextBody"/>
        <w:bidi w:val="0"/>
        <w:spacing w:before="120" w:after="0"/>
        <w:jc w:val="both"/>
        <w:rPr>
          <w:rFonts w:ascii="Times New Roman" w:hAnsi="Times New Roman"/>
          <w:sz w:val="20"/>
        </w:rPr>
      </w:pPr>
      <w:r>
        <w:rPr>
          <w:rFonts w:ascii="Times New Roman" w:hAnsi="Times New Roman"/>
          <w:sz w:val="20"/>
        </w:rPr>
        <w:t xml:space="preserve">(a) The final expiration date in the Grant Notice, which will in no event be more than ten (10) years from the Grant Date; </w:t>
      </w:r>
    </w:p>
    <w:p>
      <w:pPr>
        <w:pStyle w:val="TextBody"/>
        <w:bidi w:val="0"/>
        <w:spacing w:before="120" w:after="0"/>
        <w:jc w:val="both"/>
        <w:rPr>
          <w:rFonts w:ascii="Times New Roman" w:hAnsi="Times New Roman"/>
          <w:sz w:val="20"/>
        </w:rPr>
      </w:pPr>
      <w:r>
        <w:rPr>
          <w:rFonts w:ascii="Times New Roman" w:hAnsi="Times New Roman"/>
          <w:sz w:val="20"/>
        </w:rPr>
        <w:t xml:space="preserve">(b) If this Option is designated as an Incentive Stock Option and Participant, at the time the Option was granted, was a Greater Than 10% Stockholder, the expiration of five (5) years from the Grant Date; </w:t>
      </w:r>
    </w:p>
    <w:p>
      <w:pPr>
        <w:pStyle w:val="TextBody"/>
        <w:bidi w:val="0"/>
        <w:spacing w:before="120" w:after="0"/>
        <w:jc w:val="both"/>
        <w:rPr>
          <w:rFonts w:ascii="Times New Roman" w:hAnsi="Times New Roman"/>
          <w:sz w:val="20"/>
        </w:rPr>
      </w:pPr>
      <w:r>
        <w:rPr>
          <w:rFonts w:ascii="Times New Roman" w:hAnsi="Times New Roman"/>
          <w:sz w:val="20"/>
        </w:rPr>
        <w:t xml:space="preserve">(c) Except as the Administrator may otherwise approve, the expiration of three (3) months from the date of Participants Termination of Service, unless Participants Termination of Service is for Cause or by reason of Participants death or Disability; </w:t>
      </w:r>
    </w:p>
    <w:p>
      <w:pPr>
        <w:pStyle w:val="TextBody"/>
        <w:bidi w:val="0"/>
        <w:spacing w:before="120" w:after="0"/>
        <w:jc w:val="both"/>
        <w:rPr>
          <w:rFonts w:ascii="Times New Roman" w:hAnsi="Times New Roman"/>
          <w:sz w:val="20"/>
        </w:rPr>
      </w:pPr>
      <w:r>
        <w:rPr>
          <w:rFonts w:ascii="Times New Roman" w:hAnsi="Times New Roman"/>
          <w:sz w:val="20"/>
        </w:rPr>
        <w:t xml:space="preserve">(d) Except as the Administrator may otherwise approve, the expiration of one (1) year from the date of Participants Termination of Service by reason of Participants death or Disability;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Except as the Administrator may otherwise approve, the date of Participants Termination of Service for Cause; and </w:t>
      </w:r>
    </w:p>
    <w:p>
      <w:pPr>
        <w:pStyle w:val="TextBody"/>
        <w:bidi w:val="0"/>
        <w:spacing w:before="240" w:after="0"/>
        <w:jc w:val="both"/>
        <w:rPr>
          <w:rFonts w:ascii="Times New Roman" w:hAnsi="Times New Roman"/>
          <w:sz w:val="20"/>
        </w:rPr>
      </w:pPr>
      <w:r>
        <w:rPr>
          <w:rFonts w:ascii="Times New Roman" w:hAnsi="Times New Roman"/>
          <w:sz w:val="20"/>
        </w:rPr>
        <w:t xml:space="preserve">(f) Except as otherwise provided in clauses (c) or (d) above, with respect to any unvested portion of the Option, the date that is thirty (30) days following Participants Termination of Service by reason of Participants death or Disability, or such shorter period as may be determined by the Administrator.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EXERCISE OF OPTION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Person Eligible to Exercise</w:t>
      </w:r>
      <w:r>
        <w:rPr>
          <w:rFonts w:ascii="Times New Roman" w:hAnsi="Times New Roman"/>
          <w:sz w:val="20"/>
        </w:rPr>
        <w:t xml:space="preserve">.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Participants Designated Beneficiary or by any person empowered to do so under the deceased Participants will or under the then applicable laws of descent and distribution.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Manner of Exercise</w:t>
      </w:r>
      <w:r>
        <w:rPr>
          <w:rFonts w:ascii="Times New Roman" w:hAnsi="Times New Roman"/>
          <w:sz w:val="20"/>
        </w:rPr>
        <w:t xml:space="preserve">.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except that the Option may only be exercised for whole Shares: </w:t>
      </w:r>
    </w:p>
    <w:p>
      <w:pPr>
        <w:pStyle w:val="TextBody"/>
        <w:bidi w:val="0"/>
        <w:spacing w:before="120" w:after="0"/>
        <w:jc w:val="both"/>
        <w:rPr>
          <w:rFonts w:ascii="Times New Roman" w:hAnsi="Times New Roman"/>
          <w:sz w:val="20"/>
        </w:rPr>
      </w:pPr>
      <w:r>
        <w:rPr>
          <w:rFonts w:ascii="Times New Roman" w:hAnsi="Times New Roman"/>
          <w:sz w:val="20"/>
        </w:rPr>
        <w:t>(a) An exercise notice in such form as is prescribed by the Administrator, which may be an electronic form (the </w:t>
      </w:r>
      <w:r>
        <w:rPr>
          <w:rFonts w:ascii="Times New Roman" w:hAnsi="Times New Roman"/>
          <w:b/>
          <w:i/>
          <w:sz w:val="20"/>
        </w:rPr>
        <w:t>Exercise Notice</w:t>
      </w:r>
      <w:r>
        <w:rPr>
          <w:rFonts w:ascii="Times New Roman" w:hAnsi="Times New Roman"/>
          <w:sz w:val="20"/>
        </w:rPr>
        <w:t xml:space="preserve">); and </w:t>
      </w:r>
    </w:p>
    <w:p>
      <w:pPr>
        <w:pStyle w:val="TextBody"/>
        <w:bidi w:val="0"/>
        <w:spacing w:before="120" w:after="0"/>
        <w:jc w:val="both"/>
        <w:rPr>
          <w:rFonts w:ascii="Times New Roman" w:hAnsi="Times New Roman"/>
          <w:sz w:val="20"/>
        </w:rPr>
      </w:pPr>
      <w:r>
        <w:rPr>
          <w:rFonts w:ascii="Times New Roman" w:hAnsi="Times New Roman"/>
          <w:sz w:val="20"/>
        </w:rPr>
        <w:t xml:space="preserve">(b) Subject to Section 5.5 of the Plan, full payment for the Shares with respect to which the Option or portion thereof is exercised, which payment may be made by Participant, by: </w:t>
      </w:r>
    </w:p>
    <w:p>
      <w:pPr>
        <w:pStyle w:val="TextBody"/>
        <w:bidi w:val="0"/>
        <w:spacing w:before="120" w:after="0"/>
        <w:jc w:val="both"/>
        <w:rPr>
          <w:rFonts w:ascii="Times New Roman" w:hAnsi="Times New Roman"/>
          <w:sz w:val="20"/>
        </w:rPr>
      </w:pPr>
      <w:r>
        <w:rPr>
          <w:rFonts w:ascii="Times New Roman" w:hAnsi="Times New Roman"/>
          <w:sz w:val="20"/>
        </w:rPr>
        <w:t xml:space="preserve">(i) Cash, wire transfer of immediately available funds or check, payable to the order of the Company; or </w:t>
      </w:r>
    </w:p>
    <w:p>
      <w:pPr>
        <w:pStyle w:val="TextBody"/>
        <w:bidi w:val="0"/>
        <w:spacing w:before="120" w:after="0"/>
        <w:jc w:val="both"/>
        <w:rPr>
          <w:rFonts w:ascii="Times New Roman" w:hAnsi="Times New Roman"/>
          <w:sz w:val="20"/>
        </w:rPr>
      </w:pPr>
      <w:r>
        <w:rPr>
          <w:rFonts w:ascii="Times New Roman" w:hAnsi="Times New Roman"/>
          <w:sz w:val="20"/>
        </w:rPr>
        <w:t xml:space="preserve">(ii) With the consent of the Administrator, surrender to or withholding by the Company of a net number of vested Shares issuable upon the exercise of the Option valued at their fair market value; or </w:t>
      </w:r>
    </w:p>
    <w:p>
      <w:pPr>
        <w:pStyle w:val="TextBody"/>
        <w:bidi w:val="0"/>
        <w:spacing w:before="120" w:after="0"/>
        <w:jc w:val="both"/>
        <w:rPr>
          <w:rFonts w:ascii="Times New Roman" w:hAnsi="Times New Roman"/>
          <w:sz w:val="20"/>
        </w:rPr>
      </w:pPr>
      <w:r>
        <w:rPr>
          <w:rFonts w:ascii="Times New Roman" w:hAnsi="Times New Roman"/>
          <w:sz w:val="20"/>
        </w:rPr>
        <w:t xml:space="preserve">(iii) With the consent of the Administrator, delivery (either by actual delivery or attestation) of Shares owned by Participant valued at their fair market value; or </w:t>
      </w:r>
    </w:p>
    <w:p>
      <w:pPr>
        <w:pStyle w:val="TextBody"/>
        <w:bidi w:val="0"/>
        <w:spacing w:before="120" w:after="0"/>
        <w:jc w:val="both"/>
        <w:rPr>
          <w:rFonts w:ascii="Times New Roman" w:hAnsi="Times New Roman"/>
          <w:sz w:val="20"/>
        </w:rPr>
      </w:pPr>
      <w:r>
        <w:rPr>
          <w:rFonts w:ascii="Times New Roman" w:hAnsi="Times New Roman"/>
          <w:sz w:val="20"/>
        </w:rPr>
        <w:t xml:space="preserve">(iv) If there is a public market for the Shares at the time of exercise, unless the Company or the Administrator otherwise determines, through the (A) delivery (including electronically or telephonically to the extent permitted by the Company) of an irrevocable and unconditional undertaking by a broker acceptable to the Company to deliver promptly to the Company sufficient funds to pay the exercise price, or (B) delivery by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 With the consent of the Administrator, any other form of payment permitted under Section 5.5 of the Plan; or </w:t>
      </w:r>
    </w:p>
    <w:p>
      <w:pPr>
        <w:pStyle w:val="TextBody"/>
        <w:bidi w:val="0"/>
        <w:spacing w:before="120" w:after="0"/>
        <w:jc w:val="both"/>
        <w:rPr>
          <w:rFonts w:ascii="Times New Roman" w:hAnsi="Times New Roman"/>
          <w:sz w:val="20"/>
        </w:rPr>
      </w:pPr>
      <w:r>
        <w:rPr>
          <w:rFonts w:ascii="Times New Roman" w:hAnsi="Times New Roman"/>
          <w:sz w:val="20"/>
        </w:rPr>
        <w:t xml:space="preserve">(vi) Any combination of the above permitted forms of payment; and </w:t>
      </w:r>
    </w:p>
    <w:p>
      <w:pPr>
        <w:pStyle w:val="TextBody"/>
        <w:bidi w:val="0"/>
        <w:spacing w:before="120" w:after="0"/>
        <w:jc w:val="both"/>
        <w:rPr>
          <w:rFonts w:ascii="Times New Roman" w:hAnsi="Times New Roman"/>
          <w:sz w:val="20"/>
        </w:rPr>
      </w:pPr>
      <w:r>
        <w:rPr>
          <w:rFonts w:ascii="Times New Roman" w:hAnsi="Times New Roman"/>
          <w:sz w:val="20"/>
        </w:rPr>
        <w:t xml:space="preserve">(c) Subject to Section 9.5 of the Plan, full payment for any applicable Tax Withholding Obligation (as defined below) as provided in Section 3.3 below; and </w:t>
      </w:r>
    </w:p>
    <w:p>
      <w:pPr>
        <w:pStyle w:val="TextBody"/>
        <w:bidi w:val="0"/>
        <w:spacing w:before="120" w:after="0"/>
        <w:jc w:val="both"/>
        <w:rPr>
          <w:rFonts w:ascii="Times New Roman" w:hAnsi="Times New Roman"/>
          <w:sz w:val="20"/>
        </w:rPr>
      </w:pPr>
      <w:r>
        <w:rPr>
          <w:rFonts w:ascii="Times New Roman" w:hAnsi="Times New Roman"/>
          <w:sz w:val="20"/>
        </w:rPr>
        <w:t xml:space="preserve">(d) In the event the Option or portion thereof will be exercised pursuant to Section 3.1 by any person or persons other than Participant, appropriate proof of the right of such person or persons to exercise the Option. </w:t>
      </w:r>
    </w:p>
    <w:p>
      <w:pPr>
        <w:pStyle w:val="TextBody"/>
        <w:bidi w:val="0"/>
        <w:spacing w:before="240" w:after="0"/>
        <w:jc w:val="both"/>
        <w:rPr>
          <w:rFonts w:ascii="Times New Roman" w:hAnsi="Times New Roman"/>
          <w:sz w:val="20"/>
        </w:rPr>
      </w:pPr>
      <w:r>
        <w:rPr>
          <w:rFonts w:ascii="Times New Roman" w:hAnsi="Times New Roman"/>
          <w:sz w:val="20"/>
        </w:rPr>
        <w:t xml:space="preserve">3.3 </w:t>
      </w:r>
      <w:r>
        <w:rPr>
          <w:rFonts w:ascii="Times New Roman" w:hAnsi="Times New Roman"/>
          <w:sz w:val="20"/>
          <w:u w:val="single"/>
        </w:rPr>
        <w:t>Taxes; Tax Withholding</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Regardless of any action the Company, any Subsidiary or Participants employing company, if different (the </w:t>
      </w:r>
      <w:r>
        <w:rPr>
          <w:rFonts w:ascii="Times New Roman" w:hAnsi="Times New Roman"/>
          <w:b/>
          <w:i/>
          <w:sz w:val="20"/>
        </w:rPr>
        <w:t>Employer</w:t>
      </w:r>
      <w:r>
        <w:rPr>
          <w:rFonts w:ascii="Times New Roman" w:hAnsi="Times New Roman"/>
          <w:sz w:val="20"/>
        </w:rPr>
        <w:t>, and, collectively, the </w:t>
      </w:r>
      <w:r>
        <w:rPr>
          <w:rFonts w:ascii="Times New Roman" w:hAnsi="Times New Roman"/>
          <w:b/>
          <w:i/>
          <w:sz w:val="20"/>
        </w:rPr>
        <w:t>Company Group</w:t>
      </w:r>
      <w:r>
        <w:rPr>
          <w:rFonts w:ascii="Times New Roman" w:hAnsi="Times New Roman"/>
          <w:sz w:val="20"/>
        </w:rPr>
        <w:t xml:space="preserve">) takes with respect to any or all Tax Obligations (as defined below), Participant understands that Participant (and not the Company) shall be responsible for any Tax Obligations, which may exceed the amount actually withheld by the Company Group. Participant agrees to indemnify and keep indemnified the Company Group from and against any such Tax Obligations. </w:t>
      </w:r>
    </w:p>
    <w:p>
      <w:pPr>
        <w:pStyle w:val="TextBody"/>
        <w:bidi w:val="0"/>
        <w:spacing w:before="120" w:after="0"/>
        <w:jc w:val="both"/>
        <w:rPr>
          <w:rFonts w:ascii="Times New Roman" w:hAnsi="Times New Roman"/>
          <w:sz w:val="20"/>
        </w:rPr>
      </w:pPr>
      <w:r>
        <w:rPr>
          <w:rFonts w:ascii="Times New Roman" w:hAnsi="Times New Roman"/>
          <w:sz w:val="20"/>
        </w:rPr>
        <w:t xml:space="preserve">(b) The Company Group shall not be obligated to deliver any certificate representing Shares issuable with respect to the Option to Participant or his or her legal representative unless and until Participant or his or her legal representative will have paid or otherwise satisfied in full the amount of all Tax Obligations resulting from the grant, vesting, exercise or settlement of the Option, the distribution of the Shares issuable with respect thereto, or any other taxable event related to the Option. The Company Group will have the authority and the right to deduct or withhold, or require Participant to remit to the Company, an amount sufficient to satisfy any Tax Obligation, including, without limitation, the authority to deduct such amounts from other compensation payable to Participant by the Company Group. Participant acknowledges that if Participant is subject to Tax Obligations in more than one jurisdiction, the Company Group may be required to withhold or account for Tax Obligations in more than one jurisdiction. Participant agrees to pay the Company Group any Tax Obligations that cannot be satisfied by the means described in this Section 3.3 or Section 9.5 of the Plan. </w:t>
      </w:r>
    </w:p>
    <w:p>
      <w:pPr>
        <w:pStyle w:val="TextBody"/>
        <w:bidi w:val="0"/>
        <w:spacing w:before="120" w:after="0"/>
        <w:jc w:val="both"/>
        <w:rPr>
          <w:rFonts w:ascii="Times New Roman" w:hAnsi="Times New Roman"/>
          <w:sz w:val="20"/>
        </w:rPr>
      </w:pPr>
      <w:r>
        <w:rPr>
          <w:rFonts w:ascii="Times New Roman" w:hAnsi="Times New Roman"/>
          <w:sz w:val="20"/>
        </w:rPr>
        <w:t xml:space="preserve">(c) Unless Participant elects to satisfy the Tax Obligation by some other means in accordance with Section 9.5 of the Plan, the Company Group will have the right, but not the obligation, with respect to the Tax Obligation arising as a result of the grant, vesting, exercise or settlement of the Option, to treat Participants failure to provide timely payment in accordance with Section 9.5 of the Plan as Participants election to satisfy the Tax Obligation by requesting the Company Group to withhold a net number of vested Shares otherwise issuable pursuant to the Option having a then-current fair market value not exceeding the amount necessary to satisfy the Tax Obligation in accordance with Section 9.5 of the Plan (provided that if Participant is subject to Section 16 of the Exchange Act, any such action by the Company will require the approval of the Administrator). </w:t>
      </w:r>
    </w:p>
    <w:p>
      <w:pPr>
        <w:pStyle w:val="TextBody"/>
        <w:bidi w:val="0"/>
        <w:spacing w:before="120" w:after="0"/>
        <w:jc w:val="both"/>
        <w:rPr>
          <w:rFonts w:ascii="Times New Roman" w:hAnsi="Times New Roman"/>
          <w:sz w:val="20"/>
        </w:rPr>
      </w:pPr>
      <w:r>
        <w:rPr>
          <w:rFonts w:ascii="Times New Roman" w:hAnsi="Times New Roman"/>
          <w:sz w:val="20"/>
        </w:rPr>
        <w:t xml:space="preserve">(d) Subject to the limitations set forth in Section 9.5 of the Plan, the Company Group may withhold or account for Tax Obligations by considering applicable statutory withholding rates (or such other rate as may be determined by the Company after considering any accounting consequences or costs) (but in no event in excess of such rate as may be required to avoid the liability classification of the Option under generally accepted accounting principles in the United States of America). In the event of over-withholding, Participant may receive a refund of any over-withheld amount in cash and (with no entitlement to the equivalent in Shares) or if not refunded, Participant may seek a refund from the local tax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the event of under-withholding, Participant may be required to pay any additional Tax Obligations directly to the applicable tax authority or to the Company Group. </w:t>
      </w:r>
    </w:p>
    <w:p>
      <w:pPr>
        <w:pStyle w:val="TextBody"/>
        <w:bidi w:val="0"/>
        <w:spacing w:before="120" w:after="0"/>
        <w:jc w:val="both"/>
        <w:rPr>
          <w:rFonts w:ascii="Times New Roman" w:hAnsi="Times New Roman"/>
          <w:sz w:val="20"/>
        </w:rPr>
      </w:pPr>
      <w:r>
        <w:rPr>
          <w:rFonts w:ascii="Times New Roman" w:hAnsi="Times New Roman"/>
          <w:sz w:val="20"/>
        </w:rPr>
        <w:t xml:space="preserve">(e) Neither the Company nor any Subsidiary makes any representation or undertaking regarding the tax treatment to Participant in connection with the awarding, vesting or exercise of the Option or the subsequent sale of Shares. Although the Company Group may endeavor to (i) qualify Options for favorable tax treatment under the laws of the United States or jurisdictions outside of the United States or (ii) avoid adverse tax treatment (e.g., under Section 409A of the Code), the Company Group makes no representation to that effect and expressly disavows any covenant to maintain favorable or avoid unfavorable tax treatment, anything to the contrary in the Plan or this Agreement.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any of its agents. </w:t>
      </w:r>
    </w:p>
    <w:p>
      <w:pPr>
        <w:pStyle w:val="TextBody"/>
        <w:bidi w:val="0"/>
        <w:spacing w:before="120" w:after="0"/>
        <w:jc w:val="both"/>
        <w:rPr>
          <w:rFonts w:ascii="Times New Roman" w:hAnsi="Times New Roman"/>
          <w:sz w:val="20"/>
        </w:rPr>
      </w:pPr>
      <w:r>
        <w:rPr>
          <w:rFonts w:ascii="Times New Roman" w:hAnsi="Times New Roman"/>
          <w:sz w:val="20"/>
        </w:rPr>
        <w:t>(f) For purposes of this Agreement, </w:t>
      </w:r>
      <w:r>
        <w:rPr>
          <w:rFonts w:ascii="Times New Roman" w:hAnsi="Times New Roman"/>
          <w:b/>
          <w:i/>
          <w:sz w:val="20"/>
        </w:rPr>
        <w:t>Tax Obligations</w:t>
      </w:r>
      <w:r>
        <w:rPr>
          <w:rFonts w:ascii="Times New Roman" w:hAnsi="Times New Roman"/>
          <w:sz w:val="20"/>
        </w:rPr>
        <w:t xml:space="preserve"> shall mean (i) all federal, state, local and foreign withholding or other taxes applicable to Participants taxable income, plus (ii) if permitted under the laws of the jurisdiction in which Participant resides, any liability of the Company Group for income tax, withholding tax, wage tax, solidarity surcharge, and any other employment related taxes or social security contributions in any jurisdiction, in each case resulting from the grant, vesting or exercise of the Option, the acquisition of Shares by Participant, the disposal of any Shares, or otherwise pursuant to this Agreement, or any other taxable event related to the Option.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Award Not Transferable; Other Restrictions</w:t>
      </w:r>
      <w:r>
        <w:rPr>
          <w:rFonts w:ascii="Times New Roman" w:hAnsi="Times New Roman"/>
          <w:sz w:val="20"/>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i/>
          <w:sz w:val="20"/>
        </w:rPr>
        <w:t>Lock-Up Period</w:t>
      </w:r>
      <w:r>
        <w:rPr>
          <w:rFonts w:ascii="Times New Roman" w:hAnsi="Times New Roman"/>
          <w:sz w:val="20"/>
        </w:rPr>
        <w:t xml:space="preserve">) of the Plan is expressly incorporated into this Agreement and is applicable to the Shares issued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Clawback Provisions</w:t>
      </w:r>
      <w:r>
        <w:rPr>
          <w:rFonts w:ascii="Times New Roman" w:hAnsi="Times New Roman"/>
          <w:sz w:val="20"/>
        </w:rPr>
        <w:t xml:space="preserve">. By executing this Agreement and accepting this Award, Participant agrees that all compensation received by Participant, including Awards under the Plan (including, without limitation, any proceeds, gains or other economic benefit actually or constructively received by Participant upon receipt or exercise of this Award or upon the receipt or resale of any Shares underlying this Award), shall be subject to reduction, cancellation, forfeiture and/or recoupment to the extent necessary to comply with the Recovery Arrangements and Section 10.13 of the Plan, notwithstanding any other agreement to the contrary. Participant agrees that Participant is not entitled to indemnification in connection with any enforcement of the Recovery Arrangements and expressly waives any rights to such indemnification under the Companys organizational documents or otherwise. By executing this Award Agreement, Participant agrees to take all required action in a reasonably prompt manner, as applicable, to enable the enforcement of the Recovery Arrangements and Section 10.13 of the Plan. </w:t>
      </w:r>
    </w:p>
    <w:p>
      <w:pPr>
        <w:pStyle w:val="TextBody"/>
        <w:bidi w:val="0"/>
        <w:spacing w:before="240" w:after="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w:t>
      </w:r>
      <w:r>
        <w:rPr>
          <w:rFonts w:ascii="Times New Roman" w:hAnsi="Times New Roman"/>
          <w:sz w:val="20"/>
        </w:rPr>
        <w:t xml:space="preserve">. Participant acknowledges that the Option is subject to adjustment, modification and termination in certain events as provided in this Agreement and the Plan. </w:t>
      </w:r>
    </w:p>
    <w:p>
      <w:pPr>
        <w:pStyle w:val="TextBody"/>
        <w:bidi w:val="0"/>
        <w:spacing w:before="240" w:after="0"/>
        <w:jc w:val="both"/>
        <w:rPr>
          <w:rFonts w:ascii="Times New Roman" w:hAnsi="Times New Roman"/>
          <w:sz w:val="20"/>
        </w:rPr>
      </w:pPr>
      <w:r>
        <w:rPr>
          <w:rFonts w:ascii="Times New Roman" w:hAnsi="Times New Roman"/>
          <w:sz w:val="20"/>
        </w:rPr>
        <w:t xml:space="preserve">4.4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 </w:t>
      </w:r>
    </w:p>
    <w:p>
      <w:pPr>
        <w:pStyle w:val="TextBody"/>
        <w:bidi w:val="0"/>
        <w:spacing w:before="240" w:after="0"/>
        <w:jc w:val="both"/>
        <w:rPr>
          <w:rFonts w:ascii="Times New Roman" w:hAnsi="Times New Roman"/>
          <w:sz w:val="20"/>
        </w:rPr>
      </w:pPr>
      <w:r>
        <w:rPr>
          <w:rFonts w:ascii="Times New Roman" w:hAnsi="Times New Roman"/>
          <w:sz w:val="20"/>
        </w:rPr>
        <w:t xml:space="preserve">4.5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4.6 </w:t>
      </w:r>
      <w:r>
        <w:rPr>
          <w:rFonts w:ascii="Times New Roman" w:hAnsi="Times New Roman"/>
          <w:sz w:val="20"/>
          <w:u w:val="single"/>
        </w:rPr>
        <w:t>Conformity to Securities Laws</w:t>
      </w:r>
      <w:r>
        <w:rPr>
          <w:rFonts w:ascii="Times New Roman" w:hAnsi="Times New Roman"/>
          <w:sz w:val="20"/>
        </w:rPr>
        <w:t xml:space="preserve">.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 </w:t>
      </w:r>
    </w:p>
    <w:p>
      <w:pPr>
        <w:pStyle w:val="TextBody"/>
        <w:bidi w:val="0"/>
        <w:spacing w:before="240" w:after="0"/>
        <w:jc w:val="both"/>
        <w:rPr>
          <w:rFonts w:ascii="Times New Roman" w:hAnsi="Times New Roman"/>
          <w:sz w:val="20"/>
        </w:rPr>
      </w:pPr>
      <w:r>
        <w:rPr>
          <w:rFonts w:ascii="Times New Roman" w:hAnsi="Times New Roman"/>
          <w:sz w:val="20"/>
        </w:rPr>
        <w:t xml:space="preserve">4.7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 </w:t>
      </w:r>
    </w:p>
    <w:p>
      <w:pPr>
        <w:pStyle w:val="TextBody"/>
        <w:bidi w:val="0"/>
        <w:spacing w:before="240" w:after="0"/>
        <w:jc w:val="both"/>
        <w:rPr>
          <w:rFonts w:ascii="Times New Roman" w:hAnsi="Times New Roman"/>
          <w:sz w:val="20"/>
        </w:rPr>
      </w:pPr>
      <w:r>
        <w:rPr>
          <w:rFonts w:ascii="Times New Roman" w:hAnsi="Times New Roman"/>
          <w:sz w:val="20"/>
        </w:rPr>
        <w:t xml:space="preserve">4.8 </w:t>
      </w:r>
      <w:r>
        <w:rPr>
          <w:rFonts w:ascii="Times New Roman" w:hAnsi="Times New Roman"/>
          <w:sz w:val="20"/>
          <w:u w:val="single"/>
        </w:rPr>
        <w:t>Entire Agreement</w:t>
      </w:r>
      <w:r>
        <w:rPr>
          <w:rFonts w:ascii="Times New Roman" w:hAnsi="Times New Roman"/>
          <w:sz w:val="20"/>
        </w:rPr>
        <w:t xml:space="preserve">. The Plan, the Grant Notice and this Agreement and any appendices hereto constitute the entire agreement of the parties and supersede in their entirety all prior undertakings and agreements of the Company and Participant with respect to the subject matter hereof. This Agreement may be amended by the Company in accordance with Section 9.6 of the Plan. </w:t>
      </w:r>
    </w:p>
    <w:p>
      <w:pPr>
        <w:pStyle w:val="TextBody"/>
        <w:bidi w:val="0"/>
        <w:spacing w:before="240" w:after="0"/>
        <w:jc w:val="both"/>
        <w:rPr>
          <w:rFonts w:ascii="Times New Roman" w:hAnsi="Times New Roman"/>
          <w:sz w:val="20"/>
        </w:rPr>
      </w:pPr>
      <w:r>
        <w:rPr>
          <w:rFonts w:ascii="Times New Roman" w:hAnsi="Times New Roman"/>
          <w:sz w:val="20"/>
        </w:rPr>
        <w:t xml:space="preserve">4.9 </w:t>
      </w:r>
      <w:r>
        <w:rPr>
          <w:rFonts w:ascii="Times New Roman" w:hAnsi="Times New Roman"/>
          <w:sz w:val="20"/>
          <w:u w:val="single"/>
        </w:rPr>
        <w:t>Agreement Severable</w:t>
      </w:r>
      <w:r>
        <w:rPr>
          <w:rFonts w:ascii="Times New Roman" w:hAnsi="Times New Roman"/>
          <w:sz w:val="20"/>
        </w:rPr>
        <w:t xml:space="preserve">.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4.10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4.11 </w:t>
      </w:r>
      <w:r>
        <w:rPr>
          <w:rFonts w:ascii="Times New Roman" w:hAnsi="Times New Roman"/>
          <w:sz w:val="20"/>
          <w:u w:val="single"/>
        </w:rPr>
        <w:t>Rights as a Stockholder</w:t>
      </w:r>
      <w:r>
        <w:rPr>
          <w:rFonts w:ascii="Times New Roman" w:hAnsi="Times New Roman"/>
          <w:sz w:val="20"/>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4.12 </w:t>
      </w:r>
      <w:r>
        <w:rPr>
          <w:rFonts w:ascii="Times New Roman" w:hAnsi="Times New Roman"/>
          <w:sz w:val="20"/>
          <w:u w:val="single"/>
        </w:rPr>
        <w:t>Not a Contract of Employment</w:t>
      </w:r>
      <w:r>
        <w:rPr>
          <w:rFonts w:ascii="Times New Roman" w:hAnsi="Times New Roman"/>
          <w:sz w:val="20"/>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240" w:after="0"/>
        <w:jc w:val="both"/>
        <w:rPr>
          <w:rFonts w:ascii="Times New Roman" w:hAnsi="Times New Roman"/>
          <w:sz w:val="20"/>
        </w:rPr>
      </w:pPr>
      <w:r>
        <w:rPr>
          <w:rFonts w:ascii="Times New Roman" w:hAnsi="Times New Roman"/>
          <w:sz w:val="20"/>
        </w:rPr>
        <w:t xml:space="preserve">4.13 </w:t>
      </w:r>
      <w:r>
        <w:rPr>
          <w:rFonts w:ascii="Times New Roman" w:hAnsi="Times New Roman"/>
          <w:sz w:val="20"/>
          <w:u w:val="single"/>
        </w:rPr>
        <w:t>Counterparts</w:t>
      </w:r>
      <w:r>
        <w:rPr>
          <w:rFonts w:ascii="Times New Roman" w:hAnsi="Times New Roman"/>
          <w:sz w:val="20"/>
        </w:rPr>
        <w:t xml:space="preserve">. The Grant Notice may be executed in one or more counterparts, including by way of any electronic signature, subject to Applicable Law, each of which will be deemed an original and all of which together will constitute one instrument. </w:t>
      </w:r>
    </w:p>
    <w:p>
      <w:pPr>
        <w:pStyle w:val="TextBody"/>
        <w:bidi w:val="0"/>
        <w:spacing w:before="240" w:after="0"/>
        <w:jc w:val="both"/>
        <w:rPr>
          <w:rFonts w:ascii="Times New Roman" w:hAnsi="Times New Roman"/>
          <w:sz w:val="20"/>
        </w:rPr>
      </w:pPr>
      <w:r>
        <w:rPr>
          <w:rFonts w:ascii="Times New Roman" w:hAnsi="Times New Roman"/>
          <w:sz w:val="20"/>
        </w:rPr>
        <w:t xml:space="preserve">4.14 </w:t>
      </w:r>
      <w:r>
        <w:rPr>
          <w:rFonts w:ascii="Times New Roman" w:hAnsi="Times New Roman"/>
          <w:sz w:val="20"/>
          <w:u w:val="single"/>
        </w:rPr>
        <w:t>Governing Law</w:t>
      </w:r>
      <w:r>
        <w:rPr>
          <w:rFonts w:ascii="Times New Roman" w:hAnsi="Times New Roman"/>
          <w:sz w:val="20"/>
        </w:rPr>
        <w:t xml:space="preserve">. The provisions of the Plan and all Awards made thereunder, including the Option, shall be governed by and interpreted in accordance with the laws of the State of Delaware, disregarding choice-of-law principles of the law of any state that would require the application of the laws of a jurisdiction other than such state. </w:t>
      </w:r>
    </w:p>
    <w:p>
      <w:pPr>
        <w:pStyle w:val="TextBody"/>
        <w:bidi w:val="0"/>
        <w:spacing w:before="240" w:after="0"/>
        <w:jc w:val="both"/>
        <w:rPr>
          <w:rFonts w:ascii="Times New Roman" w:hAnsi="Times New Roman"/>
          <w:sz w:val="20"/>
        </w:rPr>
      </w:pPr>
      <w:r>
        <w:rPr>
          <w:rFonts w:ascii="Times New Roman" w:hAnsi="Times New Roman"/>
          <w:sz w:val="20"/>
        </w:rPr>
        <w:t xml:space="preserve">4.15 </w:t>
      </w:r>
      <w:r>
        <w:rPr>
          <w:rFonts w:ascii="Times New Roman" w:hAnsi="Times New Roman"/>
          <w:sz w:val="20"/>
          <w:u w:val="single"/>
        </w:rPr>
        <w:t>Incentive Stock Options</w:t>
      </w:r>
      <w:r>
        <w:rPr>
          <w:rFonts w:ascii="Times New Roman" w:hAnsi="Times New Roman"/>
          <w:sz w:val="20"/>
        </w:rPr>
        <w:t xml:space="preserve">. If the Option is designated as an Incentive Stock Option, the following provisions, in addition to the terms set forth in Section 5.6 of the Plan, will apply to the Option: </w:t>
      </w:r>
    </w:p>
    <w:p>
      <w:pPr>
        <w:pStyle w:val="TextBody"/>
        <w:bidi w:val="0"/>
        <w:spacing w:before="120" w:after="0"/>
        <w:jc w:val="both"/>
        <w:rPr>
          <w:rFonts w:ascii="Times New Roman" w:hAnsi="Times New Roman"/>
          <w:sz w:val="20"/>
        </w:rPr>
      </w:pPr>
      <w:r>
        <w:rPr>
          <w:rFonts w:ascii="Times New Roman" w:hAnsi="Times New Roman"/>
          <w:sz w:val="20"/>
        </w:rPr>
        <w:t xml:space="preserve">(a) 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will not require Participants consent. Participant also acknowledges that if the Option is exercised more than three (3) months after Participants Termination of Service as an Employee, other than by reason of death or Disability, the Option will be taxed as a Non-Qualified Stock Option. If the Option is an Incentive Stock Option and Participant is a Greater Than 10% Stockholder as of the Grant Date, the term of the Option will not exceed five (5) years from the Grant Date. </w:t>
      </w:r>
    </w:p>
    <w:p>
      <w:pPr>
        <w:pStyle w:val="TextBody"/>
        <w:bidi w:val="0"/>
        <w:spacing w:before="120" w:after="0"/>
        <w:jc w:val="both"/>
        <w:rPr>
          <w:rFonts w:ascii="Times New Roman" w:hAnsi="Times New Roman"/>
          <w:sz w:val="20"/>
        </w:rPr>
      </w:pPr>
      <w:r>
        <w:rPr>
          <w:rFonts w:ascii="Times New Roman" w:hAnsi="Times New Roman"/>
          <w:sz w:val="20"/>
        </w:rPr>
        <w:t xml:space="preserve">(b) 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 </w:t>
      </w:r>
    </w:p>
    <w:p>
      <w:pPr>
        <w:pStyle w:val="TextBody"/>
        <w:bidi w:val="0"/>
        <w:spacing w:before="240" w:after="0"/>
        <w:jc w:val="both"/>
        <w:rPr>
          <w:rFonts w:ascii="Times New Roman" w:hAnsi="Times New Roman"/>
          <w:sz w:val="20"/>
        </w:rPr>
      </w:pPr>
      <w:r>
        <w:rPr>
          <w:rFonts w:ascii="Times New Roman" w:hAnsi="Times New Roman"/>
          <w:sz w:val="20"/>
        </w:rPr>
        <w:t xml:space="preserve">4.16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4.17 </w:t>
      </w:r>
      <w:r>
        <w:rPr>
          <w:rFonts w:ascii="Times New Roman" w:hAnsi="Times New Roman"/>
          <w:sz w:val="20"/>
          <w:u w:val="single"/>
        </w:rPr>
        <w:t>Appendix</w:t>
      </w:r>
      <w:r>
        <w:rPr>
          <w:rFonts w:ascii="Times New Roman" w:hAnsi="Times New Roman"/>
          <w:sz w:val="20"/>
        </w:rPr>
        <w:t xml:space="preserve">. Notwithstanding any provisions in this Agreement, the Option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TO THE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INCENTIVE AWARD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PARTICIPANTS OUTSIDE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This Appendix includes additional terms and conditions applicable to Participants who provide services to the Company in the countries identified below. These terms and conditions are in addition to those set forth in the Grant Notice and Agreement and to the extent there are any inconsistencies between these terms and conditions and those set forth in the Grant Notice or the Agreement, these terms and conditions shall prevail. Any capitalized term used in this Appendix without definition shall have the meaning ascribed to such term in the Plan, the Grant Notice or the Agreement, as applicable. This Appendix forms part of the Agreement. </w:t>
      </w:r>
    </w:p>
    <w:p>
      <w:pPr>
        <w:pStyle w:val="TextBody"/>
        <w:bidi w:val="0"/>
        <w:spacing w:before="240" w:after="0"/>
        <w:jc w:val="both"/>
        <w:rPr>
          <w:rFonts w:ascii="Times New Roman" w:hAnsi="Times New Roman"/>
          <w:sz w:val="20"/>
        </w:rPr>
      </w:pPr>
      <w:r>
        <w:rPr>
          <w:rFonts w:ascii="Times New Roman" w:hAnsi="Times New Roman"/>
          <w:sz w:val="20"/>
        </w:rPr>
        <w:t xml:space="preserve">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 </w:t>
      </w:r>
    </w:p>
    <w:p>
      <w:pPr>
        <w:pStyle w:val="TextBody"/>
        <w:bidi w:val="0"/>
        <w:spacing w:before="240" w:after="0"/>
        <w:jc w:val="both"/>
        <w:rPr>
          <w:rFonts w:ascii="Times New Roman" w:hAnsi="Times New Roman"/>
          <w:sz w:val="20"/>
        </w:rPr>
      </w:pPr>
      <w:r>
        <w:rPr>
          <w:rFonts w:ascii="Times New Roman" w:hAnsi="Times New Roman"/>
          <w:sz w:val="20"/>
        </w:rPr>
        <w:t xml:space="preserve">For Participants convenience and information, the Company has provided certain general information regarding some of the tax and/or exchange control requirements that may apply to Participant in certain of the countries identified below. The Company undertakes no obligation to update any such information and does not ensure that it is complete or correct. As a result, the Company strongly recommends that Participant not rely on the information in this Appendix as the only source of information relating to the consequences of Participants participation in the Plan because the information may be out of date at the time Participant exercises the Option and acquires Shares or sells Shares acquired under the Plan.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 </w:t>
      </w:r>
    </w:p>
    <w:p>
      <w:pPr>
        <w:pStyle w:val="TextBody"/>
        <w:bidi w:val="0"/>
        <w:spacing w:before="240" w:after="0"/>
        <w:jc w:val="both"/>
        <w:rPr>
          <w:rFonts w:ascii="Times New Roman" w:hAnsi="Times New Roman"/>
          <w:b/>
          <w:sz w:val="20"/>
        </w:rPr>
      </w:pPr>
      <w:r>
        <w:rPr>
          <w:rFonts w:ascii="Times New Roman" w:hAnsi="Times New Roman"/>
          <w:b/>
          <w:sz w:val="20"/>
        </w:rPr>
        <w:t xml:space="preserve">Participant is advised to seek appropriate professional advice as to how the relevant exchange control and tax laws in Participants country may apply to Participants individual situation. </w:t>
      </w:r>
    </w:p>
    <w:p>
      <w:pPr>
        <w:pStyle w:val="TextBody"/>
        <w:bidi w:val="0"/>
        <w:spacing w:before="480" w:after="0"/>
        <w:jc w:val="center"/>
        <w:rPr>
          <w:rFonts w:ascii="Times New Roman" w:hAnsi="Times New Roman"/>
          <w:b/>
          <w:sz w:val="20"/>
        </w:rPr>
      </w:pPr>
      <w:r>
        <w:rPr>
          <w:rFonts w:ascii="Times New Roman" w:hAnsi="Times New Roman"/>
          <w:b/>
          <w:sz w:val="20"/>
        </w:rPr>
        <w:t xml:space="preserve">GLOBAL PROVISIONS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Data Protection</w:t>
      </w:r>
      <w:r>
        <w:rPr>
          <w:rFonts w:ascii="Times New Roman" w:hAnsi="Times New Roman"/>
          <w:sz w:val="20"/>
        </w:rPr>
        <w:t>. As a condition for receiving this Award, Participant explicitly and unambiguously consents to the collection, use and transfer, in electronic or other form, of personal data as described in this section by and among the Company Group exclusively for implementing, administering and managing Participants participation in the Plan. The Company Group may hold certain personal information about a Participant, including Participants name, address and telephone number; birthdate; social security, insurance number or other identification number; salary; nationality; job title(s); any Shares held in the Company Group;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Group may transfer the Data amongst themselves as necessary to implement, administer and manage Participants participation in the Plan, and the Company Group may transfer the Data to third parties assisting the Company with Plan implementation, administration and management. These recipients may be located in Participants country, or elsewhere, and Participants country may have different data privacy laws and protections than the recipients country. By accepting an Award, Participant authorizes such recipients to receive, possess, use, retain and transfer the Data, in electronic or other form,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implement, administer and manage Participants participation in the Plan, including any required Data transfer to a broker or other third party with whom the Company or Participant may elect to deposit any Shares. The Data related to Participant will be held only as long as necessary to implement, administer, and manage Participants participation in the Plan. Participant may, at any time, view the Data that the Company holds regarding Participant, request additional information about the storage and processing of the Data regarding Participant, recommend any necessary corrections to the Data regarding Participant or refuse or withdraw the consents in this paragraph in writing, without cost, by contacting the local human resources representative. The Company may cancel Participants ability to participate in the Plan and, in the Administrators discretion, Participant may forfeit any outstanding Awards if Participant refuses or withdraws the consents in this paragraph. For more information on the consequences of refusing or withdrawing consent, Participant may contact his or her local human resources representative. </w:t>
      </w:r>
    </w:p>
    <w:p>
      <w:pPr>
        <w:pStyle w:val="TextBody"/>
        <w:bidi w:val="0"/>
        <w:spacing w:before="240" w:after="0"/>
        <w:jc w:val="both"/>
        <w:rPr>
          <w:rFonts w:ascii="Times New Roman" w:hAnsi="Times New Roman"/>
          <w:b/>
          <w:sz w:val="20"/>
        </w:rPr>
      </w:pPr>
      <w:r>
        <w:rPr>
          <w:rFonts w:ascii="Times New Roman" w:hAnsi="Times New Roman"/>
          <w:b/>
          <w:sz w:val="20"/>
          <w:u w:val="single"/>
        </w:rPr>
        <w:t>If Participant resides in the United Kingdom or the European Union, the Company Group will hold, collect and otherwise process certain Data as set out in the applicable Companys GDPR-compliant data privacy notice, which will be or has been provided to Participant separately. All personal data will be treated in accordance with applicable data protection laws and regulations.</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Insider Trading Restrictions/Market Abuse Laws</w:t>
      </w:r>
      <w:r>
        <w:rPr>
          <w:rFonts w:ascii="Times New Roman" w:hAnsi="Times New Roman"/>
          <w:i/>
          <w:sz w:val="20"/>
        </w:rPr>
        <w:t>.</w:t>
      </w:r>
      <w:r>
        <w:rPr>
          <w:rFonts w:ascii="Times New Roman" w:hAnsi="Times New Roman"/>
          <w:sz w:val="20"/>
        </w:rPr>
        <w:t xml:space="preserve"> Participant may be subject to insider trading restrictions and/or market abuse laws in applicable jurisdictions, including the United States and Participants country, if different, which may affect Participants ability to directly or indirectly, for himself or herself or for a third party, acquire or sell, or attempt to sell, Shares during such times as such Participant is considered to have inside information regarding the Company (as defined by Applicable Laws) or the trade in Shares. Any restrictions under these laws or regulations may be separate and in addition to any restrictions that may be imposed under any applicable Company insider trading policy. It shall be each Participants responsibility to comply with any applicable restrictions, and each Participant should speak with a personal advisor on this matter.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Foreign Asset/Account Reporting; Exchange Controls</w:t>
      </w:r>
      <w:r>
        <w:rPr>
          <w:rFonts w:ascii="Times New Roman" w:hAnsi="Times New Roman"/>
          <w:i/>
          <w:sz w:val="20"/>
        </w:rPr>
        <w:t xml:space="preserve">. </w:t>
      </w:r>
      <w:r>
        <w:rPr>
          <w:rFonts w:ascii="Times New Roman" w:hAnsi="Times New Roman"/>
          <w:sz w:val="20"/>
        </w:rPr>
        <w:t xml:space="preserve">Each country may have certain foreign asset and/or account reporting requirements and/or exchange controls which may affect Participants ability to purchase or hold Shares or cash received in respect of the Option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his or her participation in the Plan to Participants country through a designated bank or broker and/or within a certain time after receipt. It shall be Participants responsibility to be compliant with such regulations, and Participant should consult a personal legal advisor for any details.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Language</w:t>
      </w:r>
      <w:r>
        <w:rPr>
          <w:rFonts w:ascii="Times New Roman" w:hAnsi="Times New Roman"/>
          <w:sz w:val="20"/>
        </w:rPr>
        <w:t>. By participating in the Plan, Participant acknowledges that Participant is proficient in the English language, or has consulted with an advisor who is sufficiently proficient in English, so as to allow him or her to understand the terms and conditions of the Plan and the Award Agreement applicable to Participants country of residence. If Participant has received the Award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r>
        <w:rPr>
          <w:rFonts w:ascii="Times New Roman" w:hAnsi="Times New Roman"/>
          <w:sz w:val="20"/>
          <w:u w:val="single"/>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5. </w:t>
      </w:r>
      <w:r>
        <w:rPr>
          <w:rFonts w:ascii="Times New Roman" w:hAnsi="Times New Roman"/>
          <w:sz w:val="20"/>
          <w:u w:val="single"/>
        </w:rPr>
        <w:t>Currency</w:t>
      </w:r>
      <w:r>
        <w:rPr>
          <w:rFonts w:ascii="Times New Roman" w:hAnsi="Times New Roman"/>
          <w:sz w:val="20"/>
        </w:rPr>
        <w:t xml:space="preserve">. Participant understands that, any amounts related to the Option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Option,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of any amounts due to Participant or as a result of the subsequent sale of any Shares acquired under the Option. </w:t>
      </w:r>
    </w:p>
    <w:p>
      <w:pPr>
        <w:pStyle w:val="TextBody"/>
        <w:bidi w:val="0"/>
        <w:spacing w:before="240" w:after="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Additional Restrictions</w:t>
      </w:r>
      <w:r>
        <w:rPr>
          <w:rFonts w:ascii="Times New Roman" w:hAnsi="Times New Roman"/>
          <w:sz w:val="20"/>
        </w:rPr>
        <w:t xml:space="preserve">. The Company reserves the right to impose other requirements on the Option and the shares of Stock purchased upon exercise of the Option, to the extent the Company determines it is necessary or advisable in order to comply with local laws or facilitate the administration of the Plan, and to require Participant to sign any additional agreements or undertakings that may be necessary to accomplish the foregoing. </w:t>
      </w:r>
    </w:p>
    <w:p>
      <w:pPr>
        <w:pStyle w:val="TextBody"/>
        <w:bidi w:val="0"/>
        <w:spacing w:before="240" w:after="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Securities Law Notice</w:t>
      </w:r>
      <w:r>
        <w:rPr>
          <w:rFonts w:ascii="Times New Roman" w:hAnsi="Times New Roman"/>
          <w:sz w:val="20"/>
        </w:rPr>
        <w:t xml:space="preserve">. Unless otherwise noted, neither the Company nor the Shares are registered with any local stock exchange or under the control of any local securities regulator outside the United States. The Award Agreement (of which this Addendum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 </w:t>
      </w:r>
    </w:p>
    <w:p>
      <w:pPr>
        <w:pStyle w:val="TextBody"/>
        <w:bidi w:val="0"/>
        <w:spacing w:before="240" w:after="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No EU Prospectus</w:t>
      </w:r>
      <w:r>
        <w:rPr>
          <w:rFonts w:ascii="Times New Roman" w:hAnsi="Times New Roman"/>
          <w:sz w:val="20"/>
        </w:rPr>
        <w:t xml:space="preserve">. This document does not constitute a prospectus within the meaning of Regulation (EU) 2017/1129. In participating in the Plan, Participant acknowledges that no prospectus will be published for the purpose of the offering and issuance of the Options and sale of the underlying Shares and any offering of the Option or the underlying Shares is conducted by the Company in reliance on an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 </w:t>
      </w:r>
    </w:p>
    <w:p>
      <w:pPr>
        <w:pStyle w:val="TextBody"/>
        <w:bidi w:val="0"/>
        <w:spacing w:before="240" w:after="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Acknowledgment of Nature of Plan and Rights</w:t>
      </w:r>
      <w:r>
        <w:rPr>
          <w:rFonts w:ascii="Times New Roman" w:hAnsi="Times New Roman"/>
          <w:sz w:val="20"/>
        </w:rPr>
        <w:t xml:space="preserve">. In participating in the Plan, Participant acknowledges that: </w:t>
      </w:r>
    </w:p>
    <w:p>
      <w:pPr>
        <w:pStyle w:val="TextBody"/>
        <w:bidi w:val="0"/>
        <w:spacing w:before="120" w:after="0"/>
        <w:jc w:val="both"/>
        <w:rPr>
          <w:rFonts w:ascii="Times New Roman" w:hAnsi="Times New Roman"/>
          <w:sz w:val="20"/>
        </w:rPr>
      </w:pPr>
      <w:r>
        <w:rPr>
          <w:rFonts w:ascii="Times New Roman" w:hAnsi="Times New Roman"/>
          <w:sz w:val="20"/>
        </w:rPr>
        <w:t xml:space="preserve">(a) For employment and labor law purposes, the Option and any Shares issuable upon exercise of the Option are an extraordinary item that do not constitute wages of any kind for services of any kind rendered to the Company Group, and the award of rights is outside the scope of Participants employment or service contract, if any; </w:t>
      </w:r>
    </w:p>
    <w:p>
      <w:pPr>
        <w:pStyle w:val="TextBody"/>
        <w:bidi w:val="0"/>
        <w:spacing w:before="120" w:after="0"/>
        <w:jc w:val="both"/>
        <w:rPr>
          <w:rFonts w:ascii="Times New Roman" w:hAnsi="Times New Roman"/>
          <w:sz w:val="20"/>
        </w:rPr>
      </w:pPr>
      <w:r>
        <w:rPr>
          <w:rFonts w:ascii="Times New Roman" w:hAnsi="Times New Roman"/>
          <w:sz w:val="20"/>
        </w:rPr>
        <w:t xml:space="preserve">(b) For employment and labor law purposes, the Option and any Shares issuable upon exercise of the Option are not part of normal or expected wages or salary for any purposes, including, but not limited to, calculation of any severance, resignation, termination, redundancy, dismissal, end of service payments or entitlements, notice of termination or indemnity, compensation or damages in lieu of such notice, bonuses, holiday pay, long-service awards, pension or retirement benefits or similar payments and in no event should be considered as compensation for, or relating in any way to, past services for the Company Group; </w:t>
      </w:r>
    </w:p>
    <w:p>
      <w:pPr>
        <w:pStyle w:val="TextBody"/>
        <w:bidi w:val="0"/>
        <w:spacing w:before="120" w:after="0"/>
        <w:jc w:val="both"/>
        <w:rPr>
          <w:rFonts w:ascii="Times New Roman" w:hAnsi="Times New Roman"/>
          <w:sz w:val="20"/>
        </w:rPr>
      </w:pPr>
      <w:r>
        <w:rPr>
          <w:rFonts w:ascii="Times New Roman" w:hAnsi="Times New Roman"/>
          <w:sz w:val="20"/>
        </w:rPr>
        <w:t xml:space="preserve">(c) The Option and any Shares issuable upon exercise of the Option are not intended to be an integral component of compensation or to replace any pension rights 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(d) Neither the rights nor any provision of Plan or the policies adopted pursuant to the Plan confer upon any Participant any right with respect to service or employment or continuation of current service or employment and shall not be interpreted to form a service or employment contract or relationship with the Company Group;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The future value of the underlying Shares is unknown and cannot be predicted with certainty; </w:t>
      </w:r>
    </w:p>
    <w:p>
      <w:pPr>
        <w:pStyle w:val="TextBody"/>
        <w:bidi w:val="0"/>
        <w:spacing w:before="120" w:after="0"/>
        <w:jc w:val="both"/>
        <w:rPr>
          <w:rFonts w:ascii="Times New Roman" w:hAnsi="Times New Roman"/>
          <w:sz w:val="20"/>
        </w:rPr>
      </w:pPr>
      <w:r>
        <w:rPr>
          <w:rFonts w:ascii="Times New Roman" w:hAnsi="Times New Roman"/>
          <w:sz w:val="20"/>
        </w:rPr>
        <w:t xml:space="preserve">(f) If the underlying Shares do not increase in value, the right may have no value; </w:t>
      </w:r>
    </w:p>
    <w:p>
      <w:pPr>
        <w:pStyle w:val="TextBody"/>
        <w:bidi w:val="0"/>
        <w:spacing w:before="120" w:after="0"/>
        <w:jc w:val="both"/>
        <w:rPr>
          <w:rFonts w:ascii="Times New Roman" w:hAnsi="Times New Roman"/>
          <w:sz w:val="20"/>
        </w:rPr>
      </w:pPr>
      <w:r>
        <w:rPr>
          <w:rFonts w:ascii="Times New Roman" w:hAnsi="Times New Roman"/>
          <w:sz w:val="20"/>
        </w:rPr>
        <w:t xml:space="preserve">(g) If Participant exercises the Option and acquires Shares, the value of the Shares acquired upon purchase may increase or decrease in value, even below the exercise price of the Option; </w:t>
      </w:r>
    </w:p>
    <w:p>
      <w:pPr>
        <w:pStyle w:val="TextBody"/>
        <w:bidi w:val="0"/>
        <w:spacing w:before="120" w:after="0"/>
        <w:jc w:val="both"/>
        <w:rPr>
          <w:rFonts w:ascii="Times New Roman" w:hAnsi="Times New Roman"/>
          <w:sz w:val="20"/>
        </w:rPr>
      </w:pPr>
      <w:r>
        <w:rPr>
          <w:rFonts w:ascii="Times New Roman" w:hAnsi="Times New Roman"/>
          <w:sz w:val="20"/>
        </w:rPr>
        <w:t xml:space="preserve">(h) In consideration of the grant of the Option hereunder, no claim or entitlement to compensation or damages arises from termination of the Option, and no claim or entitlement to compensation or damages shall arise from forfeiture of the Option resulting from termination of Participants employment by the Company Group (for any reason whatsoever, whether with or without Cause, whether with or without prior notice, and whether or not in breach of local employment or labor laws) and Participant irrevocably releases the Company Group from any such claim that may arise; if, notwithstanding the foregoing, any such claim is found by a court of competent jurisdiction to have arisen, Participant shall be deemed irrevocably to have waived Participants entitlement to pursue such claim; and </w:t>
      </w:r>
    </w:p>
    <w:p>
      <w:pPr>
        <w:pStyle w:val="TextBody"/>
        <w:bidi w:val="0"/>
        <w:spacing w:before="120" w:after="0"/>
        <w:jc w:val="both"/>
        <w:rPr>
          <w:rFonts w:ascii="Times New Roman" w:hAnsi="Times New Roman"/>
          <w:sz w:val="20"/>
        </w:rPr>
      </w:pPr>
      <w:r>
        <w:rPr>
          <w:rFonts w:ascii="Times New Roman" w:hAnsi="Times New Roman"/>
          <w:sz w:val="20"/>
        </w:rPr>
        <w:t xml:space="preserve">(i) For purposes of the Option, a Termination of Service will be deemed to have occurred as of the date Participant is no longer actively providing services to the Company (regardless of the reason for such Termination of Service and whether or not later found to be invalid or in breach of employment laws in the jurisdiction where Participant is employed or otherwise rendering services, or the terms of Participants employment or other service agreement, if any). Participants employment or service relationship will not be extended by any notice period (e.g., Participants period of service will not be extended by any contractual notice period or period of garden leave or similar period mandated under employment laws in the jurisdiction where Participant is employed or otherwise rendering services, or the terms of Participants employment or other service agreement, if any). Unless otherwise expressly provided in the Plan or determined by the Company (a) Participants right to vest in the Option, if any, will terminate as of the date of Termination of Service, and (b) the period (if any) during which the Option may be exercised after a Termination of Service will commence on such date. Notwithstanding the forgoing, the Administrator shall have exclusive discretion to determine when a Termination of Service has occurred for purposes of the Option (including when Participant is no longer considered to be actively providing services while on a leave of absence). In the event of Participants leave of absence, vesting of the Option shall be governed by the Companys leave of absence policies, as may be amended from time to time, and in accordance with Applicable Laws. </w:t>
      </w:r>
      <w:r>
        <w:br w:type="page"/>
      </w:r>
    </w:p>
    <w:p>
      <w:pPr>
        <w:pStyle w:val="HorizontalLine"/>
        <w:pBdr>
          <w:bottom w:val="double" w:sz="6" w:space="0" w:color="808080"/>
        </w:pBdr>
        <w:bidi w:val="0"/>
        <w:jc w:val="left"/>
        <w:rPr/>
      </w:pPr>
      <w:r>
        <w:rPr/>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CG ONCOLOGY, INC. </w:t>
      </w:r>
    </w:p>
    <w:p>
      <w:pPr>
        <w:pStyle w:val="TextBody"/>
        <w:pBdr/>
        <w:bidi w:val="0"/>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2024 INCENTIVE AWARD PLAN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GRANT NOTICE </w:t>
      </w:r>
    </w:p>
    <w:p>
      <w:pPr>
        <w:pStyle w:val="TextBody"/>
        <w:bidi w:val="0"/>
        <w:spacing w:before="240" w:after="0"/>
        <w:jc w:val="both"/>
        <w:rPr>
          <w:rFonts w:ascii="Times New Roman" w:hAnsi="Times New Roman"/>
          <w:sz w:val="20"/>
        </w:rPr>
      </w:pPr>
      <w:r>
        <w:rPr>
          <w:rFonts w:ascii="Times New Roman" w:hAnsi="Times New Roman"/>
          <w:sz w:val="20"/>
        </w:rPr>
        <w:t>Capitalized terms not specifically defined in this Restricted Stock Unit Grant Notice (the </w:t>
      </w:r>
      <w:r>
        <w:rPr>
          <w:rFonts w:ascii="Times New Roman" w:hAnsi="Times New Roman"/>
          <w:b/>
          <w:i/>
          <w:sz w:val="20"/>
        </w:rPr>
        <w:t>Grant Notice</w:t>
      </w:r>
      <w:r>
        <w:rPr>
          <w:rFonts w:ascii="Times New Roman" w:hAnsi="Times New Roman"/>
          <w:sz w:val="20"/>
        </w:rPr>
        <w:t>) have the meanings given to them in the 2024 Incentive Award Plan (as amended from time to time, the </w:t>
      </w:r>
      <w:r>
        <w:rPr>
          <w:rFonts w:ascii="Times New Roman" w:hAnsi="Times New Roman"/>
          <w:b/>
          <w:i/>
          <w:sz w:val="20"/>
        </w:rPr>
        <w:t>Plan</w:t>
      </w:r>
      <w:r>
        <w:rPr>
          <w:rFonts w:ascii="Times New Roman" w:hAnsi="Times New Roman"/>
          <w:sz w:val="20"/>
        </w:rPr>
        <w:t>) of CG Oncology,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Company hereby grants to the participant listed below (</w:t>
      </w:r>
      <w:r>
        <w:rPr>
          <w:rFonts w:ascii="Times New Roman" w:hAnsi="Times New Roman"/>
          <w:b/>
          <w:i/>
          <w:sz w:val="20"/>
        </w:rPr>
        <w:t>Participant</w:t>
      </w:r>
      <w:r>
        <w:rPr>
          <w:rFonts w:ascii="Times New Roman" w:hAnsi="Times New Roman"/>
          <w:sz w:val="20"/>
        </w:rPr>
        <w:t>) the Restricted Stock Units described in this Grant Notice (the </w:t>
      </w:r>
      <w:r>
        <w:rPr>
          <w:rFonts w:ascii="Times New Roman" w:hAnsi="Times New Roman"/>
          <w:b/>
          <w:i/>
          <w:sz w:val="20"/>
        </w:rPr>
        <w:t>RSUs</w:t>
      </w:r>
      <w:r>
        <w:rPr>
          <w:rFonts w:ascii="Times New Roman" w:hAnsi="Times New Roman"/>
          <w:sz w:val="20"/>
        </w:rPr>
        <w:t xml:space="preserve">), subject to the terms and conditions of the Plan and the Restricted Stock Unit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xml:space="preserve">), both of which are incorporated into this Grant Notice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4"/>
        <w:gridCol w:w="123"/>
        <w:gridCol w:w="7048"/>
      </w:tblGrid>
      <w:tr>
        <w:trPr/>
        <w:tc>
          <w:tcPr>
            <w:tcW w:w="303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48" w:type="dxa"/>
            <w:tcBorders/>
            <w:vAlign w:val="center"/>
          </w:tcPr>
          <w:p>
            <w:pPr>
              <w:pStyle w:val="TableContents"/>
              <w:bidi w:val="0"/>
              <w:spacing w:before="0" w:after="283"/>
              <w:jc w:val="left"/>
              <w:rPr>
                <w:sz w:val="4"/>
                <w:szCs w:val="4"/>
              </w:rPr>
            </w:pPr>
            <w:r>
              <w:rPr>
                <w:sz w:val="4"/>
                <w:szCs w:val="4"/>
              </w:rPr>
            </w:r>
          </w:p>
        </w:tc>
      </w:tr>
      <w:tr>
        <w:trPr/>
        <w:tc>
          <w:tcPr>
            <w:tcW w:w="3034" w:type="dxa"/>
            <w:tcBorders/>
            <w:vAlign w:val="bottom"/>
          </w:tcPr>
          <w:p>
            <w:pPr>
              <w:pStyle w:val="TableContents"/>
              <w:bidi w:val="0"/>
              <w:spacing w:before="0" w:after="283"/>
              <w:jc w:val="left"/>
              <w:rPr>
                <w:b/>
                <w:sz w:val="22"/>
              </w:rPr>
            </w:pPr>
            <w:r>
              <w:rPr>
                <w:b/>
                <w:sz w:val="22"/>
              </w:rPr>
              <w:t>Participant:</w:t>
            </w:r>
          </w:p>
        </w:tc>
        <w:tc>
          <w:tcPr>
            <w:tcW w:w="123" w:type="dxa"/>
            <w:tcBorders/>
            <w:vAlign w:val="bottom"/>
          </w:tcPr>
          <w:p>
            <w:pPr>
              <w:pStyle w:val="TableContents"/>
              <w:bidi w:val="0"/>
              <w:spacing w:before="0" w:after="283"/>
              <w:jc w:val="left"/>
              <w:rPr/>
            </w:pPr>
            <w:r>
              <w:rPr/>
              <w:t>  </w:t>
            </w:r>
          </w:p>
        </w:tc>
        <w:tc>
          <w:tcPr>
            <w:tcW w:w="70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[Insert Participant Name]</w:t>
            </w:r>
          </w:p>
        </w:tc>
      </w:tr>
      <w:tr>
        <w:trPr>
          <w:trHeight w:val="120" w:hRule="atLeast"/>
        </w:trPr>
        <w:tc>
          <w:tcPr>
            <w:tcW w:w="3034" w:type="dxa"/>
            <w:tcBorders/>
            <w:vAlign w:val="center"/>
          </w:tcPr>
          <w:p>
            <w:pPr>
              <w:pStyle w:val="TableContents"/>
              <w:bidi w:val="0"/>
              <w:spacing w:before="0" w:after="283"/>
              <w:jc w:val="left"/>
              <w:rPr>
                <w:sz w:val="4"/>
                <w:szCs w:val="4"/>
              </w:rPr>
            </w:pPr>
            <w:r>
              <w:rPr>
                <w:sz w:val="4"/>
                <w:szCs w:val="4"/>
              </w:rPr>
            </w:r>
          </w:p>
        </w:tc>
        <w:tc>
          <w:tcPr>
            <w:tcW w:w="7171" w:type="dxa"/>
            <w:gridSpan w:val="2"/>
            <w:tcBorders/>
            <w:vAlign w:val="center"/>
          </w:tcPr>
          <w:p>
            <w:pPr>
              <w:pStyle w:val="TableContents"/>
              <w:bidi w:val="0"/>
              <w:spacing w:before="0" w:after="283"/>
              <w:jc w:val="left"/>
              <w:rPr>
                <w:sz w:val="4"/>
                <w:szCs w:val="4"/>
              </w:rPr>
            </w:pPr>
            <w:r>
              <w:rPr>
                <w:sz w:val="4"/>
                <w:szCs w:val="4"/>
              </w:rPr>
            </w:r>
          </w:p>
        </w:tc>
      </w:tr>
      <w:tr>
        <w:trPr/>
        <w:tc>
          <w:tcPr>
            <w:tcW w:w="3034" w:type="dxa"/>
            <w:tcBorders/>
            <w:vAlign w:val="bottom"/>
          </w:tcPr>
          <w:p>
            <w:pPr>
              <w:pStyle w:val="TableContents"/>
              <w:bidi w:val="0"/>
              <w:spacing w:before="0" w:after="283"/>
              <w:jc w:val="left"/>
              <w:rPr>
                <w:b/>
                <w:sz w:val="22"/>
              </w:rPr>
            </w:pPr>
            <w:r>
              <w:rPr>
                <w:b/>
                <w:sz w:val="22"/>
              </w:rPr>
              <w:t>Grant Date:</w:t>
            </w:r>
          </w:p>
        </w:tc>
        <w:tc>
          <w:tcPr>
            <w:tcW w:w="123" w:type="dxa"/>
            <w:tcBorders/>
            <w:vAlign w:val="bottom"/>
          </w:tcPr>
          <w:p>
            <w:pPr>
              <w:pStyle w:val="TableContents"/>
              <w:bidi w:val="0"/>
              <w:spacing w:before="0" w:after="283"/>
              <w:jc w:val="left"/>
              <w:rPr/>
            </w:pPr>
            <w:r>
              <w:rPr/>
              <w:t>  </w:t>
            </w:r>
          </w:p>
        </w:tc>
        <w:tc>
          <w:tcPr>
            <w:tcW w:w="70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[Insert Grant Date]</w:t>
            </w:r>
          </w:p>
        </w:tc>
      </w:tr>
      <w:tr>
        <w:trPr>
          <w:trHeight w:val="120" w:hRule="atLeast"/>
        </w:trPr>
        <w:tc>
          <w:tcPr>
            <w:tcW w:w="3034" w:type="dxa"/>
            <w:tcBorders/>
            <w:vAlign w:val="center"/>
          </w:tcPr>
          <w:p>
            <w:pPr>
              <w:pStyle w:val="TableContents"/>
              <w:bidi w:val="0"/>
              <w:spacing w:before="0" w:after="283"/>
              <w:jc w:val="left"/>
              <w:rPr>
                <w:sz w:val="4"/>
                <w:szCs w:val="4"/>
              </w:rPr>
            </w:pPr>
            <w:r>
              <w:rPr>
                <w:sz w:val="4"/>
                <w:szCs w:val="4"/>
              </w:rPr>
            </w:r>
          </w:p>
        </w:tc>
        <w:tc>
          <w:tcPr>
            <w:tcW w:w="7171" w:type="dxa"/>
            <w:gridSpan w:val="2"/>
            <w:tcBorders/>
            <w:vAlign w:val="center"/>
          </w:tcPr>
          <w:p>
            <w:pPr>
              <w:pStyle w:val="TableContents"/>
              <w:bidi w:val="0"/>
              <w:spacing w:before="0" w:after="283"/>
              <w:jc w:val="left"/>
              <w:rPr>
                <w:sz w:val="4"/>
                <w:szCs w:val="4"/>
              </w:rPr>
            </w:pPr>
            <w:r>
              <w:rPr>
                <w:sz w:val="4"/>
                <w:szCs w:val="4"/>
              </w:rPr>
            </w:r>
          </w:p>
        </w:tc>
      </w:tr>
      <w:tr>
        <w:trPr/>
        <w:tc>
          <w:tcPr>
            <w:tcW w:w="3034" w:type="dxa"/>
            <w:tcBorders/>
            <w:vAlign w:val="bottom"/>
          </w:tcPr>
          <w:p>
            <w:pPr>
              <w:pStyle w:val="TableContents"/>
              <w:bidi w:val="0"/>
              <w:spacing w:before="0" w:after="283"/>
              <w:jc w:val="left"/>
              <w:rPr>
                <w:b/>
                <w:sz w:val="22"/>
              </w:rPr>
            </w:pPr>
            <w:r>
              <w:rPr>
                <w:b/>
                <w:sz w:val="22"/>
              </w:rPr>
              <w:t>Number of RSUs:</w:t>
            </w:r>
          </w:p>
        </w:tc>
        <w:tc>
          <w:tcPr>
            <w:tcW w:w="123" w:type="dxa"/>
            <w:tcBorders/>
            <w:vAlign w:val="bottom"/>
          </w:tcPr>
          <w:p>
            <w:pPr>
              <w:pStyle w:val="TableContents"/>
              <w:bidi w:val="0"/>
              <w:spacing w:before="0" w:after="283"/>
              <w:jc w:val="left"/>
              <w:rPr/>
            </w:pPr>
            <w:r>
              <w:rPr/>
              <w:t>  </w:t>
            </w:r>
          </w:p>
        </w:tc>
        <w:tc>
          <w:tcPr>
            <w:tcW w:w="70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[Insert Number of RSUs]</w:t>
            </w:r>
          </w:p>
        </w:tc>
      </w:tr>
      <w:tr>
        <w:trPr>
          <w:trHeight w:val="120" w:hRule="atLeast"/>
        </w:trPr>
        <w:tc>
          <w:tcPr>
            <w:tcW w:w="3034" w:type="dxa"/>
            <w:tcBorders/>
            <w:vAlign w:val="center"/>
          </w:tcPr>
          <w:p>
            <w:pPr>
              <w:pStyle w:val="TableContents"/>
              <w:bidi w:val="0"/>
              <w:spacing w:before="0" w:after="283"/>
              <w:jc w:val="left"/>
              <w:rPr>
                <w:sz w:val="4"/>
                <w:szCs w:val="4"/>
              </w:rPr>
            </w:pPr>
            <w:r>
              <w:rPr>
                <w:sz w:val="4"/>
                <w:szCs w:val="4"/>
              </w:rPr>
            </w:r>
          </w:p>
        </w:tc>
        <w:tc>
          <w:tcPr>
            <w:tcW w:w="7171" w:type="dxa"/>
            <w:gridSpan w:val="2"/>
            <w:tcBorders/>
            <w:vAlign w:val="center"/>
          </w:tcPr>
          <w:p>
            <w:pPr>
              <w:pStyle w:val="TableContents"/>
              <w:bidi w:val="0"/>
              <w:spacing w:before="0" w:after="283"/>
              <w:jc w:val="left"/>
              <w:rPr>
                <w:sz w:val="4"/>
                <w:szCs w:val="4"/>
              </w:rPr>
            </w:pPr>
            <w:r>
              <w:rPr>
                <w:sz w:val="4"/>
                <w:szCs w:val="4"/>
              </w:rPr>
            </w:r>
          </w:p>
        </w:tc>
      </w:tr>
      <w:tr>
        <w:trPr/>
        <w:tc>
          <w:tcPr>
            <w:tcW w:w="3034" w:type="dxa"/>
            <w:tcBorders/>
            <w:vAlign w:val="bottom"/>
          </w:tcPr>
          <w:p>
            <w:pPr>
              <w:pStyle w:val="TableContents"/>
              <w:bidi w:val="0"/>
              <w:spacing w:before="0" w:after="283"/>
              <w:jc w:val="left"/>
              <w:rPr>
                <w:b/>
                <w:sz w:val="22"/>
              </w:rPr>
            </w:pPr>
            <w:r>
              <w:rPr>
                <w:b/>
                <w:sz w:val="22"/>
              </w:rPr>
              <w:t>Vesting Commencement Date:</w:t>
            </w:r>
          </w:p>
        </w:tc>
        <w:tc>
          <w:tcPr>
            <w:tcW w:w="123" w:type="dxa"/>
            <w:tcBorders/>
            <w:vAlign w:val="bottom"/>
          </w:tcPr>
          <w:p>
            <w:pPr>
              <w:pStyle w:val="TableContents"/>
              <w:bidi w:val="0"/>
              <w:spacing w:before="0" w:after="283"/>
              <w:jc w:val="left"/>
              <w:rPr/>
            </w:pPr>
            <w:r>
              <w:rPr/>
              <w:t>  </w:t>
            </w:r>
          </w:p>
        </w:tc>
        <w:tc>
          <w:tcPr>
            <w:tcW w:w="70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[Insert Vesting Commencement Date]</w:t>
            </w:r>
          </w:p>
        </w:tc>
      </w:tr>
      <w:tr>
        <w:trPr>
          <w:trHeight w:val="120" w:hRule="atLeast"/>
        </w:trPr>
        <w:tc>
          <w:tcPr>
            <w:tcW w:w="3034" w:type="dxa"/>
            <w:tcBorders/>
            <w:vAlign w:val="center"/>
          </w:tcPr>
          <w:p>
            <w:pPr>
              <w:pStyle w:val="TableContents"/>
              <w:bidi w:val="0"/>
              <w:spacing w:before="0" w:after="283"/>
              <w:jc w:val="left"/>
              <w:rPr>
                <w:sz w:val="4"/>
                <w:szCs w:val="4"/>
              </w:rPr>
            </w:pPr>
            <w:r>
              <w:rPr>
                <w:sz w:val="4"/>
                <w:szCs w:val="4"/>
              </w:rPr>
            </w:r>
          </w:p>
        </w:tc>
        <w:tc>
          <w:tcPr>
            <w:tcW w:w="7171" w:type="dxa"/>
            <w:gridSpan w:val="2"/>
            <w:tcBorders/>
            <w:vAlign w:val="center"/>
          </w:tcPr>
          <w:p>
            <w:pPr>
              <w:pStyle w:val="TableContents"/>
              <w:bidi w:val="0"/>
              <w:spacing w:before="0" w:after="283"/>
              <w:jc w:val="left"/>
              <w:rPr>
                <w:sz w:val="4"/>
                <w:szCs w:val="4"/>
              </w:rPr>
            </w:pPr>
            <w:r>
              <w:rPr>
                <w:sz w:val="4"/>
                <w:szCs w:val="4"/>
              </w:rPr>
            </w:r>
          </w:p>
        </w:tc>
      </w:tr>
      <w:tr>
        <w:trPr/>
        <w:tc>
          <w:tcPr>
            <w:tcW w:w="3034" w:type="dxa"/>
            <w:tcBorders/>
          </w:tcPr>
          <w:p>
            <w:pPr>
              <w:pStyle w:val="TableContents"/>
              <w:bidi w:val="0"/>
              <w:spacing w:before="0" w:after="283"/>
              <w:jc w:val="left"/>
              <w:rPr>
                <w:b/>
                <w:sz w:val="22"/>
              </w:rPr>
            </w:pPr>
            <w:r>
              <w:rPr>
                <w:b/>
                <w:sz w:val="22"/>
              </w:rPr>
              <w:t>Vesting Schedule:</w:t>
            </w:r>
          </w:p>
        </w:tc>
        <w:tc>
          <w:tcPr>
            <w:tcW w:w="123" w:type="dxa"/>
            <w:tcBorders/>
            <w:vAlign w:val="bottom"/>
          </w:tcPr>
          <w:p>
            <w:pPr>
              <w:pStyle w:val="TableContents"/>
              <w:bidi w:val="0"/>
              <w:spacing w:before="0" w:after="283"/>
              <w:jc w:val="left"/>
              <w:rPr/>
            </w:pPr>
            <w:r>
              <w:rPr/>
              <w:t>  </w:t>
            </w:r>
          </w:p>
        </w:tc>
        <w:tc>
          <w:tcPr>
            <w:tcW w:w="70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[Insert Vesting Schedule]</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In addition, in the event Participant experiences a Termination of Service as a result of (a) 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portion of the RSUs shall become fully vested and exercisable on the date of such Termination of Service.</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 </w:t>
      </w:r>
    </w:p>
    <w:p>
      <w:pPr>
        <w:pStyle w:val="TextBody"/>
        <w:bidi w:val="0"/>
        <w:spacing w:before="240" w:after="0"/>
        <w:jc w:val="both"/>
        <w:rPr>
          <w:rFonts w:ascii="Times New Roman" w:hAnsi="Times New Roman"/>
          <w:sz w:val="20"/>
        </w:rPr>
      </w:pPr>
      <w:r>
        <w:rPr>
          <w:rFonts w:ascii="Times New Roman" w:hAnsi="Times New Roman"/>
          <w:sz w:val="20"/>
        </w:rPr>
        <w:t xml:space="preserve">By accepting (whether in writing, electronically or otherwise, including an acceptance through an electronic capitalization table system used by the Company) the RSUs, Participant agrees to be bound by the terms of this Grant Notice, the Plan and the Agreement. Participant has reviewed the Plan, this Grant Notice and the Agreement in their entirety, has received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p>
      <w:pPr>
        <w:pStyle w:val="TextBody"/>
        <w:bidi w:val="0"/>
        <w:spacing w:before="240" w:after="0"/>
        <w:jc w:val="both"/>
        <w:rPr>
          <w:rFonts w:ascii="Times New Roman" w:hAnsi="Times New Roman"/>
          <w:sz w:val="20"/>
        </w:rPr>
      </w:pPr>
      <w:r>
        <w:rPr>
          <w:rFonts w:ascii="Times New Roman" w:hAnsi="Times New Roman"/>
          <w:i/>
          <w:sz w:val="20"/>
        </w:rPr>
        <w:t>Internet Availability of Plan Materials</w:t>
      </w:r>
      <w:r>
        <w:rPr>
          <w:rFonts w:ascii="Times New Roman" w:hAnsi="Times New Roman"/>
          <w:sz w:val="20"/>
        </w:rPr>
        <w:t xml:space="preserve">. The Company will furnish Plan materials (including the Plan, prospectus, annual report on Form 10-K and proxy statement and other information provided to the Companys stockholders) relating to the Plan to Participant electronically, instead of mailing printed copies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w:t>
      </w:r>
      <w:r>
        <w:rPr>
          <w:rFonts w:ascii="Times New Roman" w:hAnsi="Times New Roman"/>
          <w:sz w:val="20"/>
          <w:u w:val="single"/>
        </w:rPr>
        <w:t>https://cgoncology.com/</w:t>
      </w:r>
      <w:r>
        <w:rPr>
          <w:rFonts w:ascii="Times New Roman" w:hAnsi="Times New Roman"/>
          <w:sz w:val="20"/>
        </w:rPr>
        <w:t>. The Plan is available at [</w:t>
      </w:r>
      <w:r>
        <w:rPr>
          <w:rFonts w:ascii="Times New Roman" w:hAnsi="Times New Roman"/>
          <w:b/>
          <w:i/>
          <w:sz w:val="20"/>
        </w:rPr>
        <w:t>insert location</w:t>
      </w:r>
      <w:r>
        <w:rPr>
          <w:rFonts w:ascii="Times New Roman" w:hAnsi="Times New Roman"/>
          <w:sz w:val="20"/>
        </w:rPr>
        <w:t xml:space="preserve">]. However, if Participant would prefer to receive printed copies of the Plan materials or information provided to the Companys stockholders without charge, please contact: CG Oncology, Inc., Attn: Secretary, 400 Spectrum Center Drive, Suite 2040, Irvine, CA 92618, Telephone: (949) 409-3700, Email: information@cgoncology.com.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1"/>
        <w:gridCol w:w="141"/>
        <w:gridCol w:w="3697"/>
        <w:gridCol w:w="137"/>
        <w:gridCol w:w="1260"/>
        <w:gridCol w:w="147"/>
        <w:gridCol w:w="3612"/>
      </w:tblGrid>
      <w:tr>
        <w:trPr/>
        <w:tc>
          <w:tcPr>
            <w:tcW w:w="121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CG ONCOLOGY, INC.</w:t>
            </w:r>
          </w:p>
        </w:tc>
        <w:tc>
          <w:tcPr>
            <w:tcW w:w="137" w:type="dxa"/>
            <w:tcBorders/>
            <w:vAlign w:val="bottom"/>
          </w:tcPr>
          <w:p>
            <w:pPr>
              <w:pStyle w:val="TableContents"/>
              <w:bidi w:val="0"/>
              <w:spacing w:before="0" w:after="283"/>
              <w:jc w:val="left"/>
              <w:rPr/>
            </w:pPr>
            <w:r>
              <w:rPr/>
              <w:t>  </w:t>
            </w:r>
          </w:p>
        </w:tc>
        <w:tc>
          <w:tcPr>
            <w:tcW w:w="5019"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PARTICIPANT</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397" w:type="dxa"/>
            <w:gridSpan w:val="2"/>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41" w:type="dxa"/>
            <w:tcBorders/>
            <w:vAlign w:val="bottom"/>
          </w:tcPr>
          <w:p>
            <w:pPr>
              <w:pStyle w:val="TableContents"/>
              <w:bidi w:val="0"/>
              <w:spacing w:before="0" w:after="283"/>
              <w:jc w:val="left"/>
              <w:rPr/>
            </w:pPr>
            <w:r>
              <w:rPr/>
              <w:t>  </w:t>
            </w:r>
          </w:p>
        </w:tc>
        <w:tc>
          <w:tcPr>
            <w:tcW w:w="3697" w:type="dxa"/>
            <w:tcBorders/>
          </w:tcPr>
          <w:p>
            <w:pPr>
              <w:pStyle w:val="TableContents"/>
              <w:pBdr>
                <w:bottom w:val="single" w:sz="2" w:space="1" w:color="000000"/>
              </w:pBdr>
              <w:bidi w:val="0"/>
              <w:spacing w:before="0" w:after="20"/>
              <w:jc w:val="both"/>
              <w:rPr/>
            </w:pPr>
            <w:r>
              <w:rPr/>
              <w:t> </w:t>
            </w:r>
          </w:p>
        </w:tc>
        <w:tc>
          <w:tcPr>
            <w:tcW w:w="137"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47" w:type="dxa"/>
            <w:tcBorders/>
            <w:vAlign w:val="bottom"/>
          </w:tcPr>
          <w:p>
            <w:pPr>
              <w:pStyle w:val="TableContents"/>
              <w:bidi w:val="0"/>
              <w:spacing w:before="0" w:after="283"/>
              <w:jc w:val="left"/>
              <w:rPr/>
            </w:pPr>
            <w:r>
              <w:rPr/>
              <w:t>  </w:t>
            </w:r>
          </w:p>
        </w:tc>
        <w:tc>
          <w:tcPr>
            <w:tcW w:w="3612" w:type="dxa"/>
            <w:tcBorders/>
          </w:tcPr>
          <w:p>
            <w:pPr>
              <w:pStyle w:val="TableContents"/>
              <w:pBdr>
                <w:bottom w:val="single" w:sz="2" w:space="1" w:color="000000"/>
              </w:pBdr>
              <w:bidi w:val="0"/>
              <w:spacing w:before="0" w:after="20"/>
              <w:jc w:val="both"/>
              <w:rPr/>
            </w:pPr>
            <w:r>
              <w:rPr/>
              <w:t> </w:t>
            </w:r>
          </w:p>
        </w:tc>
      </w:tr>
      <w:tr>
        <w:trPr/>
        <w:tc>
          <w:tcPr>
            <w:tcW w:w="1211" w:type="dxa"/>
            <w:tcBorders/>
          </w:tcPr>
          <w:p>
            <w:pPr>
              <w:pStyle w:val="TableContents"/>
              <w:bidi w:val="0"/>
              <w:spacing w:before="0" w:after="0"/>
              <w:jc w:val="both"/>
              <w:rPr>
                <w:rFonts w:ascii="Times New Roman" w:hAnsi="Times New Roman"/>
                <w:sz w:val="20"/>
              </w:rPr>
            </w:pPr>
            <w:r>
              <w:rPr>
                <w:rFonts w:ascii="Times New Roman" w:hAnsi="Times New Roman"/>
                <w:sz w:val="20"/>
              </w:rPr>
              <w:t>Print Name:</w:t>
            </w:r>
          </w:p>
        </w:tc>
        <w:tc>
          <w:tcPr>
            <w:tcW w:w="141" w:type="dxa"/>
            <w:tcBorders/>
            <w:vAlign w:val="bottom"/>
          </w:tcPr>
          <w:p>
            <w:pPr>
              <w:pStyle w:val="TableContents"/>
              <w:bidi w:val="0"/>
              <w:spacing w:before="0" w:after="283"/>
              <w:jc w:val="left"/>
              <w:rPr/>
            </w:pPr>
            <w:r>
              <w:rPr/>
              <w:t>  </w:t>
            </w:r>
          </w:p>
        </w:tc>
        <w:tc>
          <w:tcPr>
            <w:tcW w:w="3697" w:type="dxa"/>
            <w:tcBorders/>
          </w:tcPr>
          <w:p>
            <w:pPr>
              <w:pStyle w:val="TableContents"/>
              <w:pBdr>
                <w:bottom w:val="single" w:sz="2" w:space="1" w:color="000000"/>
              </w:pBdr>
              <w:bidi w:val="0"/>
              <w:spacing w:before="0" w:after="20"/>
              <w:jc w:val="both"/>
              <w:rPr/>
            </w:pPr>
            <w:r>
              <w:rPr/>
              <w:t> </w:t>
            </w:r>
          </w:p>
        </w:tc>
        <w:tc>
          <w:tcPr>
            <w:tcW w:w="137"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0"/>
              <w:jc w:val="both"/>
              <w:rPr>
                <w:rFonts w:ascii="Times New Roman" w:hAnsi="Times New Roman"/>
                <w:sz w:val="20"/>
              </w:rPr>
            </w:pPr>
            <w:r>
              <w:rPr>
                <w:rFonts w:ascii="Times New Roman" w:hAnsi="Times New Roman"/>
                <w:sz w:val="20"/>
              </w:rPr>
              <w:t>Print Name:</w:t>
            </w:r>
          </w:p>
        </w:tc>
        <w:tc>
          <w:tcPr>
            <w:tcW w:w="147" w:type="dxa"/>
            <w:tcBorders/>
            <w:vAlign w:val="bottom"/>
          </w:tcPr>
          <w:p>
            <w:pPr>
              <w:pStyle w:val="TableContents"/>
              <w:bidi w:val="0"/>
              <w:spacing w:before="0" w:after="283"/>
              <w:jc w:val="left"/>
              <w:rPr/>
            </w:pPr>
            <w:r>
              <w:rPr/>
              <w:t>  </w:t>
            </w:r>
          </w:p>
        </w:tc>
        <w:tc>
          <w:tcPr>
            <w:tcW w:w="3612" w:type="dxa"/>
            <w:tcBorders/>
          </w:tcPr>
          <w:p>
            <w:pPr>
              <w:pStyle w:val="TableContents"/>
              <w:pBdr>
                <w:bottom w:val="single" w:sz="2" w:space="1" w:color="000000"/>
              </w:pBdr>
              <w:bidi w:val="0"/>
              <w:spacing w:before="0" w:after="20"/>
              <w:jc w:val="both"/>
              <w:rPr/>
            </w:pPr>
            <w:r>
              <w:rPr/>
              <w:t> </w:t>
            </w:r>
          </w:p>
        </w:tc>
      </w:tr>
      <w:tr>
        <w:trPr/>
        <w:tc>
          <w:tcPr>
            <w:tcW w:w="1211"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41" w:type="dxa"/>
            <w:tcBorders/>
            <w:vAlign w:val="bottom"/>
          </w:tcPr>
          <w:p>
            <w:pPr>
              <w:pStyle w:val="TableContents"/>
              <w:bidi w:val="0"/>
              <w:spacing w:before="0" w:after="283"/>
              <w:jc w:val="left"/>
              <w:rPr/>
            </w:pPr>
            <w:r>
              <w:rPr/>
              <w:t>  </w:t>
            </w:r>
          </w:p>
        </w:tc>
        <w:tc>
          <w:tcPr>
            <w:tcW w:w="3697" w:type="dxa"/>
            <w:tcBorders/>
          </w:tcPr>
          <w:p>
            <w:pPr>
              <w:pStyle w:val="TableContents"/>
              <w:pBdr>
                <w:bottom w:val="single" w:sz="2" w:space="1" w:color="000000"/>
              </w:pBdr>
              <w:bidi w:val="0"/>
              <w:spacing w:before="0" w:after="20"/>
              <w:jc w:val="both"/>
              <w:rPr/>
            </w:pPr>
            <w:r>
              <w:rPr/>
              <w:t> </w:t>
            </w:r>
          </w:p>
        </w:tc>
        <w:tc>
          <w:tcPr>
            <w:tcW w:w="137"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361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both"/>
        <w:rPr>
          <w:rFonts w:ascii="Times New Roman" w:hAnsi="Times New Roman"/>
          <w:sz w:val="20"/>
        </w:rPr>
      </w:pPr>
      <w:r>
        <w:rPr>
          <w:rFonts w:ascii="Times New Roman" w:hAnsi="Times New Roman"/>
          <w:sz w:val="20"/>
        </w:rPr>
        <w:t xml:space="preserve">Capitalized terms not specifically defined in this Agreement have the meanings specified in the Grant Notice or, if not defined in the Grant Notice, in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Award of RSUs</w:t>
      </w:r>
      <w:r>
        <w:rPr>
          <w:rFonts w:ascii="Times New Roman" w:hAnsi="Times New Roman"/>
          <w:sz w:val="20"/>
        </w:rPr>
        <w:t>. The Company has granted the RSUs to Participant effective as of the grant date set forth in the Grant Notice (the </w:t>
      </w:r>
      <w:r>
        <w:rPr>
          <w:rFonts w:ascii="Times New Roman" w:hAnsi="Times New Roman"/>
          <w:b/>
          <w:i/>
          <w:sz w:val="20"/>
        </w:rPr>
        <w:t>Grant Date</w:t>
      </w:r>
      <w:r>
        <w:rPr>
          <w:rFonts w:ascii="Times New Roman" w:hAnsi="Times New Roman"/>
          <w:sz w:val="20"/>
        </w:rPr>
        <w:t xml:space="preserve">). Each RSU represents the right to receive one Share, as set forth in this Agreement. Participant will have no right to the distribution of any Shares until the time (if ever) the RSUs have vested. </w:t>
      </w:r>
    </w:p>
    <w:p>
      <w:pPr>
        <w:pStyle w:val="TextBody"/>
        <w:bidi w:val="0"/>
        <w:spacing w:before="240" w:after="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Incorporation of Terms of Plan</w:t>
      </w:r>
      <w:r>
        <w:rPr>
          <w:rFonts w:ascii="Times New Roman" w:hAnsi="Times New Roman"/>
          <w:sz w:val="20"/>
        </w:rPr>
        <w:t xml:space="preserve">. The RSUs are subject to the terms and conditions set forth in this Agreement and the Plan, which is incorporated herein by reference. In the event of any inconsistency between the Plan and this Agreement, the terms of the Plan will control. </w:t>
      </w:r>
    </w:p>
    <w:p>
      <w:pPr>
        <w:pStyle w:val="TextBody"/>
        <w:bidi w:val="0"/>
        <w:spacing w:before="240" w:after="0"/>
        <w:jc w:val="both"/>
        <w:rPr>
          <w:rFonts w:ascii="Times New Roman" w:hAnsi="Times New Roman"/>
          <w:sz w:val="20"/>
        </w:rPr>
      </w:pPr>
      <w:r>
        <w:rPr>
          <w:rFonts w:ascii="Times New Roman" w:hAnsi="Times New Roman"/>
          <w:sz w:val="20"/>
        </w:rPr>
        <w:t xml:space="preserve">1.3 </w:t>
      </w:r>
      <w:r>
        <w:rPr>
          <w:rFonts w:ascii="Times New Roman" w:hAnsi="Times New Roman"/>
          <w:sz w:val="20"/>
          <w:u w:val="single"/>
        </w:rPr>
        <w:t>Unsecured Promise</w:t>
      </w:r>
      <w:r>
        <w:rPr>
          <w:rFonts w:ascii="Times New Roman" w:hAnsi="Times New Roman"/>
          <w:sz w:val="20"/>
        </w:rPr>
        <w:t xml:space="preserve">. The RSUs will at all times prior to settlement represent an unsecured Company obligation payable only from the Companys general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VESTING; FORFEITURE AND SETTLEMENT </w:t>
      </w:r>
    </w:p>
    <w:p>
      <w:pPr>
        <w:pStyle w:val="TextBody"/>
        <w:bidi w:val="0"/>
        <w:spacing w:before="240" w:after="0"/>
        <w:jc w:val="both"/>
        <w:rPr>
          <w:rFonts w:ascii="Times New Roman" w:hAnsi="Times New Roman"/>
          <w:sz w:val="20"/>
        </w:rPr>
      </w:pPr>
      <w:r>
        <w:rPr>
          <w:rFonts w:ascii="Times New Roman" w:hAnsi="Times New Roman"/>
          <w:sz w:val="20"/>
        </w:rPr>
        <w:t xml:space="preserve">2.1 </w:t>
      </w:r>
      <w:r>
        <w:rPr>
          <w:rFonts w:ascii="Times New Roman" w:hAnsi="Times New Roman"/>
          <w:sz w:val="20"/>
          <w:u w:val="single"/>
        </w:rPr>
        <w:t>Vesting; Forfeiture</w:t>
      </w:r>
      <w:r>
        <w:rPr>
          <w:rFonts w:ascii="Times New Roman" w:hAnsi="Times New Roman"/>
          <w:sz w:val="20"/>
        </w:rPr>
        <w:t>. The RSUs will vest according to the vesting schedule in the Grant Notice (the </w:t>
      </w:r>
      <w:r>
        <w:rPr>
          <w:rFonts w:ascii="Times New Roman" w:hAnsi="Times New Roman"/>
          <w:b/>
          <w:i/>
          <w:sz w:val="20"/>
        </w:rPr>
        <w:t>Vesting Schedule</w:t>
      </w:r>
      <w:r>
        <w:rPr>
          <w:rFonts w:ascii="Times New Roman" w:hAnsi="Times New Roman"/>
          <w:sz w:val="20"/>
        </w:rPr>
        <w:t xml:space="preserve">), except that any fraction of an RSU that would otherwise be vested will be accumulated and will vest only when a whole RSU has accumulated. Except as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 </w:t>
      </w:r>
    </w:p>
    <w:p>
      <w:pPr>
        <w:pStyle w:val="TextBody"/>
        <w:bidi w:val="0"/>
        <w:spacing w:before="240" w:after="0"/>
        <w:jc w:val="both"/>
        <w:rPr>
          <w:rFonts w:ascii="Times New Roman" w:hAnsi="Times New Roman"/>
          <w:sz w:val="20"/>
        </w:rPr>
      </w:pPr>
      <w:r>
        <w:rPr>
          <w:rFonts w:ascii="Times New Roman" w:hAnsi="Times New Roman"/>
          <w:sz w:val="20"/>
        </w:rPr>
        <w:t xml:space="preserve">2.2 </w:t>
      </w:r>
      <w:r>
        <w:rPr>
          <w:rFonts w:ascii="Times New Roman" w:hAnsi="Times New Roman"/>
          <w:sz w:val="20"/>
          <w:u w:val="single"/>
        </w:rPr>
        <w:t>Settlement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RSUs will be paid in Shares as soon as administratively practicable after the vesting of the applicable RSU,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w:t>
      </w:r>
    </w:p>
    <w:p>
      <w:pPr>
        <w:pStyle w:val="TextBody"/>
        <w:bidi w:val="0"/>
        <w:spacing w:before="240" w:after="0"/>
        <w:jc w:val="both"/>
        <w:rPr>
          <w:rFonts w:ascii="Times New Roman" w:hAnsi="Times New Roman"/>
          <w:sz w:val="20"/>
        </w:rPr>
      </w:pPr>
      <w:r>
        <w:rPr>
          <w:rFonts w:ascii="Times New Roman" w:hAnsi="Times New Roman"/>
          <w:sz w:val="20"/>
        </w:rPr>
        <w:t xml:space="preserve">(b) All distributions shall be made by the Company in the form of whole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(c) Neither the time nor form of distribution of Shares with respect to the RSUs may be changed, except as may be permitted by the Administrator in accordance with the Plan and Section 409A of the Code and the Treasury Regulations thereunder.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TAXATION AND TAX WITHHOLDING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Regardless of any action the Company, any Subsidiary or Participants employing company, if different (the </w:t>
      </w:r>
      <w:r>
        <w:rPr>
          <w:rFonts w:ascii="Times New Roman" w:hAnsi="Times New Roman"/>
          <w:b/>
          <w:i/>
          <w:sz w:val="20"/>
        </w:rPr>
        <w:t>Employer</w:t>
      </w:r>
      <w:r>
        <w:rPr>
          <w:rFonts w:ascii="Times New Roman" w:hAnsi="Times New Roman"/>
          <w:sz w:val="20"/>
        </w:rPr>
        <w:t>, and, collectively, the </w:t>
      </w:r>
      <w:r>
        <w:rPr>
          <w:rFonts w:ascii="Times New Roman" w:hAnsi="Times New Roman"/>
          <w:b/>
          <w:i/>
          <w:sz w:val="20"/>
        </w:rPr>
        <w:t>Company Group</w:t>
      </w:r>
      <w:r>
        <w:rPr>
          <w:rFonts w:ascii="Times New Roman" w:hAnsi="Times New Roman"/>
          <w:sz w:val="20"/>
        </w:rPr>
        <w:t xml:space="preserve">) takes with respect to any or all Tax Obligations (as defined below), Participant understands that Participant (and not the Company) shall be responsible for any Tax Obligations, which may exceed the amount actually withheld by the Company Group. Participant agrees to indemnify and keep indemnified the Company Group from and against any such Tax Obligations. </w:t>
      </w:r>
    </w:p>
    <w:p>
      <w:pPr>
        <w:pStyle w:val="TextBody"/>
        <w:bidi w:val="0"/>
        <w:spacing w:before="240" w:after="0"/>
        <w:jc w:val="both"/>
        <w:rPr>
          <w:rFonts w:ascii="Times New Roman" w:hAnsi="Times New Roman"/>
          <w:sz w:val="20"/>
        </w:rPr>
      </w:pPr>
      <w:r>
        <w:rPr>
          <w:rFonts w:ascii="Times New Roman" w:hAnsi="Times New Roman"/>
          <w:sz w:val="20"/>
        </w:rPr>
        <w:t xml:space="preserve">(b) The Company Group shall not be obligated to deliver any certificate representing Shares issuable with respect to the RSUs to Participant or his or her legal representative unless and until Participant or his or her legal representative will have paid or otherwise satisfied in full the amount of all Tax Obligations resulting from the grant, vesting, or settlement of the RSUs, the distribution of the Shares issuable with respect thereto, or any other taxable event related to the RSUs. The Company Group will have the authority and the right to deduct or withhold, or require Participant to remit to the Company, an amount sufficient to satisfy any Tax Obligation, including, without limitation, the authority to deduct such amounts from other compensation payable to Participant by the Company Group. Participant acknowledges that if Participant is subject to Tax Obligations in more than one jurisdiction, the Company Group may be required to withhold or account for Tax Obligations in more than one jurisdiction. Participant agrees to pay the Company Group any Tax Obligations that cannot be satisfied by the means described in this Section 3.1 or Section 9.5 of the Plan. </w:t>
      </w:r>
    </w:p>
    <w:p>
      <w:pPr>
        <w:pStyle w:val="TextBody"/>
        <w:bidi w:val="0"/>
        <w:spacing w:before="240" w:after="0"/>
        <w:jc w:val="both"/>
        <w:rPr>
          <w:rFonts w:ascii="Times New Roman" w:hAnsi="Times New Roman"/>
          <w:sz w:val="20"/>
        </w:rPr>
      </w:pPr>
      <w:r>
        <w:rPr>
          <w:rFonts w:ascii="Times New Roman" w:hAnsi="Times New Roman"/>
          <w:sz w:val="20"/>
        </w:rPr>
        <w:t xml:space="preserve">(c) Unless Participant elects to satisfy the Tax Obligation by some other means in accordance with Section 9.5 of the Plan, the Company Group will have the right, but not the obligation, with respect to the Tax Obligation arising as a result of the grant, vesting, or settlement of the RSUs, to treat Participants failure to provide timely payment in accordance with Section 9.5 of the Plan as Participants election to satisfy the Tax Obligation by requesting the Company Group to withhold a net number of vested Shares otherwise issuable pursuant to the RSUs having a then-current fair market value not exceeding the amount necessary to satisfy the Tax Obligation in accordance with Section 9.5 of the Plan (provided that if Participant is subject to Section 16 of the Exchange Act, any such action by the Company will require the approval of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(d) Subject to the limitations set forth in Section 9.5 of the Plan, the Company Group may withhold or account for Tax Obligations by considering applicable statutory withholding rates (or such other rate as may be determined by the Company after considering any accounting consequences or costs) (but in no event in excess of such rate as may be required to avoid the liability classification of the RSUs under generally accepted accounting principles in the United States of America). In the event of over-withholding, Participant may receive a refund of any over-withheld amount in cash and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Group. </w:t>
      </w:r>
    </w:p>
    <w:p>
      <w:pPr>
        <w:pStyle w:val="TextBody"/>
        <w:bidi w:val="0"/>
        <w:spacing w:before="240" w:after="0"/>
        <w:jc w:val="both"/>
        <w:rPr>
          <w:rFonts w:ascii="Times New Roman" w:hAnsi="Times New Roman"/>
          <w:sz w:val="20"/>
        </w:rPr>
      </w:pPr>
      <w:r>
        <w:rPr>
          <w:rFonts w:ascii="Times New Roman" w:hAnsi="Times New Roman"/>
          <w:sz w:val="20"/>
        </w:rPr>
        <w:t xml:space="preserve">(c) Neither the Company nor any Subsidiary makes any representation or undertaking regarding the tax treatment to Participant in connection with the awarding, vesting or settlement of the RSUs or the subsequent sale of Shares. The Company and its Subsidiaries do not commit and are under no obligation to structure the RSUs to reduce or eliminate Participants tax liability.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any of its agents. </w:t>
      </w:r>
    </w:p>
    <w:p>
      <w:pPr>
        <w:pStyle w:val="TextBody"/>
        <w:bidi w:val="0"/>
        <w:spacing w:before="240" w:after="0"/>
        <w:jc w:val="both"/>
        <w:rPr>
          <w:rFonts w:ascii="Times New Roman" w:hAnsi="Times New Roman"/>
          <w:sz w:val="20"/>
        </w:rPr>
      </w:pPr>
      <w:r>
        <w:rPr>
          <w:rFonts w:ascii="Times New Roman" w:hAnsi="Times New Roman"/>
          <w:sz w:val="20"/>
        </w:rPr>
        <w:t>(e) For purposes of this Agreement, </w:t>
      </w:r>
      <w:r>
        <w:rPr>
          <w:rFonts w:ascii="Times New Roman" w:hAnsi="Times New Roman"/>
          <w:b/>
          <w:i/>
          <w:sz w:val="20"/>
        </w:rPr>
        <w:t>Tax Obligations</w:t>
      </w:r>
      <w:r>
        <w:rPr>
          <w:rFonts w:ascii="Times New Roman" w:hAnsi="Times New Roman"/>
          <w:sz w:val="20"/>
        </w:rPr>
        <w:t xml:space="preserve"> shall mean (i) all federal, state, local and foreign withholding or other taxes applicable to Participants taxable income, plus (ii) if permitted under the laws of the jurisdiction in which Participant resides, any liability of the Company Group for income tax, withholding tax, wage tax, solidarity surcharge, and any other employment related taxes or social security contributions in any jurisdiction, in each case resulting from the grant, vesting or settlement of the RSUs, the acquisition of Shares by Participant, the disposal of any Shares, or otherwise pursuant to this Agreement, or any other taxable event related to the RSUs.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Award Not Transferable; Other Restrictions</w:t>
      </w:r>
      <w:r>
        <w:rPr>
          <w:rFonts w:ascii="Times New Roman" w:hAnsi="Times New Roman"/>
          <w:sz w:val="20"/>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b/>
          <w:i/>
          <w:sz w:val="20"/>
        </w:rPr>
        <w:t>Lock-Up Period</w:t>
      </w:r>
      <w:r>
        <w:rPr>
          <w:rFonts w:ascii="Times New Roman" w:hAnsi="Times New Roman"/>
          <w:sz w:val="20"/>
        </w:rPr>
        <w:t xml:space="preserve">) of the Plan is expressly incorporated into this Agreement and is applicable to the Shares issued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Clawback Provisions</w:t>
      </w:r>
      <w:r>
        <w:rPr>
          <w:rFonts w:ascii="Times New Roman" w:hAnsi="Times New Roman"/>
          <w:sz w:val="20"/>
        </w:rPr>
        <w:t xml:space="preserve">. By executing this Agreement and accepting this Award, Participant agrees that all compensation received by Participant, including Awards under the Plan (including, without limitation, any proceeds, gains or other economic benefit actually or constructively received by Participant upon receipt of this Award or upon the receipt or resale of any Shares underlying this Award), shall be subject to reduction, cancellation, forfeiture and/or recoupment to the extent necessary to comply with the Recovery Arrangements and Section 10.13 of the Plan, notwithstanding any other agreement to the contrary. Participant agrees that Participant is not entitled to indemnification in connection with any enforcement of the Recovery Arrangements and expressly waives any rights to such indemnification under the Companys organizational documents or otherwise. By executing this Award Agreement, Participant agrees to take all required action in a reasonably prompt manner, as applicable, to enable the enforcement of the Recovery Arrangements and Section 10.13 of the Plan. </w:t>
      </w:r>
    </w:p>
    <w:p>
      <w:pPr>
        <w:pStyle w:val="TextBody"/>
        <w:bidi w:val="0"/>
        <w:spacing w:before="240" w:after="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w:t>
      </w:r>
      <w:r>
        <w:rPr>
          <w:rFonts w:ascii="Times New Roman" w:hAnsi="Times New Roman"/>
          <w:sz w:val="20"/>
        </w:rPr>
        <w:t xml:space="preserve">. Participant acknowledges that the RSUs and the Shares subject to the RSUs are subject to adjustment, modification and termination in certain events as provided in this Agreement and the Plan. </w:t>
      </w:r>
    </w:p>
    <w:p>
      <w:pPr>
        <w:pStyle w:val="TextBody"/>
        <w:bidi w:val="0"/>
        <w:spacing w:before="240" w:after="0"/>
        <w:jc w:val="both"/>
        <w:rPr>
          <w:rFonts w:ascii="Times New Roman" w:hAnsi="Times New Roman"/>
          <w:sz w:val="20"/>
        </w:rPr>
      </w:pPr>
      <w:r>
        <w:rPr>
          <w:rFonts w:ascii="Times New Roman" w:hAnsi="Times New Roman"/>
          <w:sz w:val="20"/>
        </w:rPr>
        <w:t xml:space="preserve">4.4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 </w:t>
      </w:r>
    </w:p>
    <w:p>
      <w:pPr>
        <w:pStyle w:val="TextBody"/>
        <w:bidi w:val="0"/>
        <w:spacing w:before="240" w:after="0"/>
        <w:jc w:val="both"/>
        <w:rPr>
          <w:rFonts w:ascii="Times New Roman" w:hAnsi="Times New Roman"/>
          <w:sz w:val="20"/>
        </w:rPr>
      </w:pPr>
      <w:r>
        <w:rPr>
          <w:rFonts w:ascii="Times New Roman" w:hAnsi="Times New Roman"/>
          <w:sz w:val="20"/>
        </w:rPr>
        <w:t xml:space="preserve">4.5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4.6 </w:t>
      </w:r>
      <w:r>
        <w:rPr>
          <w:rFonts w:ascii="Times New Roman" w:hAnsi="Times New Roman"/>
          <w:sz w:val="20"/>
          <w:u w:val="single"/>
        </w:rPr>
        <w:t>Conformity to Securities Laws</w:t>
      </w:r>
      <w:r>
        <w:rPr>
          <w:rFonts w:ascii="Times New Roman" w:hAnsi="Times New Roman"/>
          <w:sz w:val="20"/>
        </w:rPr>
        <w:t xml:space="preserve">.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 </w:t>
      </w:r>
    </w:p>
    <w:p>
      <w:pPr>
        <w:pStyle w:val="TextBody"/>
        <w:bidi w:val="0"/>
        <w:spacing w:before="240" w:after="0"/>
        <w:jc w:val="both"/>
        <w:rPr>
          <w:rFonts w:ascii="Times New Roman" w:hAnsi="Times New Roman"/>
          <w:sz w:val="20"/>
        </w:rPr>
      </w:pPr>
      <w:r>
        <w:rPr>
          <w:rFonts w:ascii="Times New Roman" w:hAnsi="Times New Roman"/>
          <w:sz w:val="20"/>
        </w:rPr>
        <w:t xml:space="preserve">4.7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 </w:t>
      </w:r>
    </w:p>
    <w:p>
      <w:pPr>
        <w:pStyle w:val="TextBody"/>
        <w:bidi w:val="0"/>
        <w:spacing w:before="240" w:after="0"/>
        <w:jc w:val="both"/>
        <w:rPr>
          <w:rFonts w:ascii="Times New Roman" w:hAnsi="Times New Roman"/>
          <w:sz w:val="20"/>
        </w:rPr>
      </w:pPr>
      <w:r>
        <w:rPr>
          <w:rFonts w:ascii="Times New Roman" w:hAnsi="Times New Roman"/>
          <w:sz w:val="20"/>
        </w:rPr>
        <w:t xml:space="preserve">4.8 </w:t>
      </w:r>
      <w:r>
        <w:rPr>
          <w:rFonts w:ascii="Times New Roman" w:hAnsi="Times New Roman"/>
          <w:sz w:val="20"/>
          <w:u w:val="single"/>
        </w:rPr>
        <w:t>Entire Agreemen</w:t>
      </w:r>
      <w:r>
        <w:rPr>
          <w:rFonts w:ascii="Times New Roman" w:hAnsi="Times New Roman"/>
          <w:sz w:val="20"/>
        </w:rPr>
        <w:t xml:space="preserve">t.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 </w:t>
      </w:r>
    </w:p>
    <w:p>
      <w:pPr>
        <w:pStyle w:val="TextBody"/>
        <w:bidi w:val="0"/>
        <w:spacing w:before="240" w:after="0"/>
        <w:jc w:val="both"/>
        <w:rPr>
          <w:rFonts w:ascii="Times New Roman" w:hAnsi="Times New Roman"/>
          <w:sz w:val="20"/>
        </w:rPr>
      </w:pPr>
      <w:r>
        <w:rPr>
          <w:rFonts w:ascii="Times New Roman" w:hAnsi="Times New Roman"/>
          <w:sz w:val="20"/>
        </w:rPr>
        <w:t xml:space="preserve">4.9 </w:t>
      </w:r>
      <w:r>
        <w:rPr>
          <w:rFonts w:ascii="Times New Roman" w:hAnsi="Times New Roman"/>
          <w:sz w:val="20"/>
          <w:u w:val="single"/>
        </w:rPr>
        <w:t>Agreement Severable</w:t>
      </w:r>
      <w:r>
        <w:rPr>
          <w:rFonts w:ascii="Times New Roman" w:hAnsi="Times New Roman"/>
          <w:sz w:val="20"/>
        </w:rPr>
        <w:t xml:space="preserve">.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4.10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4.11 </w:t>
      </w:r>
      <w:r>
        <w:rPr>
          <w:rFonts w:ascii="Times New Roman" w:hAnsi="Times New Roman"/>
          <w:sz w:val="20"/>
          <w:u w:val="single"/>
        </w:rPr>
        <w:t>Rights as a Stockholder</w:t>
      </w:r>
      <w:r>
        <w:rPr>
          <w:rFonts w:ascii="Times New Roman" w:hAnsi="Times New Roman"/>
          <w:sz w:val="20"/>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w:t>
      </w:r>
    </w:p>
    <w:p>
      <w:pPr>
        <w:pStyle w:val="TextBody"/>
        <w:bidi w:val="0"/>
        <w:spacing w:before="240" w:after="0"/>
        <w:jc w:val="both"/>
        <w:rPr>
          <w:rFonts w:ascii="Times New Roman" w:hAnsi="Times New Roman"/>
          <w:sz w:val="20"/>
        </w:rPr>
      </w:pPr>
      <w:r>
        <w:rPr>
          <w:rFonts w:ascii="Times New Roman" w:hAnsi="Times New Roman"/>
          <w:sz w:val="20"/>
        </w:rPr>
        <w:t xml:space="preserve">4.12 </w:t>
      </w:r>
      <w:r>
        <w:rPr>
          <w:rFonts w:ascii="Times New Roman" w:hAnsi="Times New Roman"/>
          <w:sz w:val="20"/>
          <w:u w:val="single"/>
        </w:rPr>
        <w:t>Not a Contract of Employment</w:t>
      </w:r>
      <w:r>
        <w:rPr>
          <w:rFonts w:ascii="Times New Roman" w:hAnsi="Times New Roman"/>
          <w:sz w:val="20"/>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240" w:after="0"/>
        <w:jc w:val="both"/>
        <w:rPr>
          <w:rFonts w:ascii="Times New Roman" w:hAnsi="Times New Roman"/>
          <w:sz w:val="20"/>
        </w:rPr>
      </w:pPr>
      <w:r>
        <w:rPr>
          <w:rFonts w:ascii="Times New Roman" w:hAnsi="Times New Roman"/>
          <w:sz w:val="20"/>
        </w:rPr>
        <w:t xml:space="preserve">4.13 </w:t>
      </w:r>
      <w:r>
        <w:rPr>
          <w:rFonts w:ascii="Times New Roman" w:hAnsi="Times New Roman"/>
          <w:sz w:val="20"/>
          <w:u w:val="single"/>
        </w:rPr>
        <w:t>Counterparts</w:t>
      </w:r>
      <w:r>
        <w:rPr>
          <w:rFonts w:ascii="Times New Roman" w:hAnsi="Times New Roman"/>
          <w:sz w:val="20"/>
        </w:rPr>
        <w:t xml:space="preserve">. The Grant Notice may be executed in one or more counterparts, including by way of any electronic signature, subject to Applicable Law, each of which will be deemed an original and all of which together will constitute one instrument.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4.14 </w:t>
      </w:r>
      <w:r>
        <w:rPr>
          <w:rFonts w:ascii="Times New Roman" w:hAnsi="Times New Roman"/>
          <w:sz w:val="20"/>
          <w:u w:val="single"/>
        </w:rPr>
        <w:t>Governing Law</w:t>
      </w:r>
      <w:r>
        <w:rPr>
          <w:rFonts w:ascii="Times New Roman" w:hAnsi="Times New Roman"/>
          <w:sz w:val="20"/>
        </w:rPr>
        <w:t xml:space="preserve">.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 </w:t>
      </w:r>
    </w:p>
    <w:p>
      <w:pPr>
        <w:pStyle w:val="TextBody"/>
        <w:bidi w:val="0"/>
        <w:spacing w:before="240" w:after="0"/>
        <w:jc w:val="both"/>
        <w:rPr>
          <w:rFonts w:ascii="Times New Roman" w:hAnsi="Times New Roman"/>
          <w:sz w:val="20"/>
        </w:rPr>
      </w:pPr>
      <w:r>
        <w:rPr>
          <w:rFonts w:ascii="Times New Roman" w:hAnsi="Times New Roman"/>
          <w:sz w:val="20"/>
        </w:rPr>
        <w:t xml:space="preserve">4.15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 </w:t>
      </w:r>
    </w:p>
    <w:p>
      <w:pPr>
        <w:pStyle w:val="TextBody"/>
        <w:bidi w:val="0"/>
        <w:spacing w:before="240" w:after="0"/>
        <w:jc w:val="both"/>
        <w:rPr>
          <w:rFonts w:ascii="Times New Roman" w:hAnsi="Times New Roman"/>
          <w:sz w:val="20"/>
        </w:rPr>
      </w:pPr>
      <w:r>
        <w:rPr>
          <w:rFonts w:ascii="Times New Roman" w:hAnsi="Times New Roman"/>
          <w:sz w:val="20"/>
        </w:rPr>
        <w:t xml:space="preserve">(b) This Agreement is not intended to provide for any deferral of compensation subject to Section 409A of the Code, and, accordingly, the Shares issuable pursuant to the RSUs hereunder shall be distributed to Participant no later than the later of: (A) 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 </w:t>
      </w:r>
    </w:p>
    <w:p>
      <w:pPr>
        <w:pStyle w:val="TextBody"/>
        <w:bidi w:val="0"/>
        <w:spacing w:before="240" w:after="0"/>
        <w:jc w:val="both"/>
        <w:rPr>
          <w:rFonts w:ascii="Times New Roman" w:hAnsi="Times New Roman"/>
          <w:sz w:val="20"/>
        </w:rPr>
      </w:pPr>
      <w:r>
        <w:rPr>
          <w:rFonts w:ascii="Times New Roman" w:hAnsi="Times New Roman"/>
          <w:sz w:val="20"/>
        </w:rPr>
        <w:t xml:space="preserve">4.16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RSUs awarded under the Plan or future awards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4.17 </w:t>
      </w:r>
      <w:r>
        <w:rPr>
          <w:rFonts w:ascii="Times New Roman" w:hAnsi="Times New Roman"/>
          <w:sz w:val="20"/>
          <w:u w:val="single"/>
        </w:rPr>
        <w:t>Appendix</w:t>
      </w:r>
      <w:r>
        <w:rPr>
          <w:rFonts w:ascii="Times New Roman" w:hAnsi="Times New Roman"/>
          <w:sz w:val="20"/>
        </w:rPr>
        <w:t xml:space="preserve">. Notwithstanding any provisions in this Agreement, the RSUs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TO THE 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INCENTIVE AWARD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PARTICIPANTS OUTSIDE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This Appendix includes additional terms and conditions applicable to Participants who provide services to the Company in the countries identified below. These terms and conditions are in addition to those set forth in the Grant Notice and Agreement and to the extent there are any inconsistencies between these terms and conditions and those set forth in the Grant Notice or the Agreement, these terms and conditions shall prevail. Any capitalized term used in this Appendix without definition shall have the meaning ascribed to such term in the Plan, the Grant Notice or the Agreement, as applicable. This Appendix forms part of the Agreement. </w:t>
      </w:r>
    </w:p>
    <w:p>
      <w:pPr>
        <w:pStyle w:val="TextBody"/>
        <w:bidi w:val="0"/>
        <w:spacing w:before="240" w:after="0"/>
        <w:jc w:val="both"/>
        <w:rPr>
          <w:rFonts w:ascii="Times New Roman" w:hAnsi="Times New Roman"/>
          <w:sz w:val="20"/>
        </w:rPr>
      </w:pPr>
      <w:r>
        <w:rPr>
          <w:rFonts w:ascii="Times New Roman" w:hAnsi="Times New Roman"/>
          <w:sz w:val="20"/>
        </w:rPr>
        <w:t xml:space="preserve">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 </w:t>
      </w:r>
    </w:p>
    <w:p>
      <w:pPr>
        <w:pStyle w:val="TextBody"/>
        <w:bidi w:val="0"/>
        <w:spacing w:before="240" w:after="0"/>
        <w:jc w:val="both"/>
        <w:rPr>
          <w:rFonts w:ascii="Times New Roman" w:hAnsi="Times New Roman"/>
          <w:sz w:val="20"/>
        </w:rPr>
      </w:pPr>
      <w:r>
        <w:rPr>
          <w:rFonts w:ascii="Times New Roman" w:hAnsi="Times New Roman"/>
          <w:sz w:val="20"/>
        </w:rPr>
        <w:t xml:space="preserve">For Participants convenience and information, the Company has provided certain general information regarding some of the tax and/or exchange control requirements that may apply to Participant in certain of the countries identified below. The Company undertakes no obligation to update any such information and does not ensure that it is complete or correct. As a result, the Company strongly recommends that Participant not rely on the information in this Appendix as the only source of information relating to the consequences of Participants participation in the Plan because the information may be out of date at the time the RSUs vest and are settled and Participant acquires Shares or sells Shares acquired under the Plan.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 </w:t>
      </w:r>
    </w:p>
    <w:p>
      <w:pPr>
        <w:pStyle w:val="TextBody"/>
        <w:bidi w:val="0"/>
        <w:spacing w:before="240" w:after="0"/>
        <w:jc w:val="both"/>
        <w:rPr>
          <w:rFonts w:ascii="Times New Roman" w:hAnsi="Times New Roman"/>
          <w:b/>
          <w:sz w:val="20"/>
        </w:rPr>
      </w:pPr>
      <w:r>
        <w:rPr>
          <w:rFonts w:ascii="Times New Roman" w:hAnsi="Times New Roman"/>
          <w:b/>
          <w:sz w:val="20"/>
        </w:rPr>
        <w:t xml:space="preserve">Participant is advised to seek appropriate professional advice as to how the relevant exchange control and tax laws in Participants country may apply to Participants individual situation. </w:t>
      </w:r>
    </w:p>
    <w:p>
      <w:pPr>
        <w:pStyle w:val="TextBody"/>
        <w:bidi w:val="0"/>
        <w:spacing w:before="480" w:after="0"/>
        <w:jc w:val="center"/>
        <w:rPr>
          <w:rFonts w:ascii="Times New Roman" w:hAnsi="Times New Roman"/>
          <w:b/>
          <w:sz w:val="20"/>
        </w:rPr>
      </w:pPr>
      <w:r>
        <w:rPr>
          <w:rFonts w:ascii="Times New Roman" w:hAnsi="Times New Roman"/>
          <w:b/>
          <w:sz w:val="20"/>
        </w:rPr>
        <w:t xml:space="preserve">GLOBAL PROVISIONS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Data Protection</w:t>
      </w:r>
      <w:r>
        <w:rPr>
          <w:rFonts w:ascii="Times New Roman" w:hAnsi="Times New Roman"/>
          <w:sz w:val="20"/>
        </w:rPr>
        <w:t>. As a condition for receiving this Award, Participant explicitly and unambiguously consents to the collection, use and transfer, in electronic or other form, of personal data as described in this section by and among the Company Group exclusively for implementing, administering and managing Participants participation in the Plan. The Company Group may hold certain personal information about a Participant, including Participants name, address and telephone number; birthdate; social security, insurance number or other identification number; salary; nationality; job title(s); any Shares held in the Company Group;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Group may transfer the Data amongst themselves as necessary to implement, administer and manage Participants participation in the Plan, and the Company Group may transfer the Data to third parties assisting the Company with Plan implementation, administration and management. These recipients may be located in Participants country, or elsewhere, and Participants country may have different data privacy laws and protections than the recipients country. By accepting an Award, Participant authorizes such recipients to receive, possess, use, retain and transfer the Data, in electronic or other form,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implement, administer and manage Participants participation in the Plan, including any required Data transfer to a broker or other third party with whom the Company or Participant may elect to deposit any Shares. The Data related to Participant will be held only as long as necessary to implement, administer, and manage Participants participation in the Plan. Participant may, at any time, view the Data that the Company holds regarding Participant, request additional information about the storage and processing of the Data regarding Participant, recommend any necessary corrections to the Data regarding Participant or refuse or withdraw the consents in this paragraph in writing, without cost, by contacting the local human resources representative. The Company may cancel Participants ability to participate in the Plan and, in the Administrators discretion, Participant may forfeit any outstanding Awards if Participant refuses or withdraws the consents in this paragraph. For more information on the consequences of refusing or withdrawing consent, Participant may contact his or her local human resources representative. </w:t>
      </w:r>
    </w:p>
    <w:p>
      <w:pPr>
        <w:pStyle w:val="TextBody"/>
        <w:bidi w:val="0"/>
        <w:spacing w:before="240" w:after="0"/>
        <w:jc w:val="both"/>
        <w:rPr>
          <w:rFonts w:ascii="Times New Roman" w:hAnsi="Times New Roman"/>
          <w:b/>
          <w:sz w:val="20"/>
        </w:rPr>
      </w:pPr>
      <w:r>
        <w:rPr>
          <w:rFonts w:ascii="Times New Roman" w:hAnsi="Times New Roman"/>
          <w:b/>
          <w:sz w:val="20"/>
          <w:u w:val="single"/>
        </w:rPr>
        <w:t>If Participant resides in the United Kingdom or the European Union, the Company Group will hold, collect and otherwise process certain Data as set out in the applicable Companys GDPR-compliant data privacy notice, which will be or has been provided to Participant separately. All personal data will be treated in accordance with applicable data protection laws and regulations.</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Insider Trading Restrictions/Market Abuse Laws</w:t>
      </w:r>
      <w:r>
        <w:rPr>
          <w:rFonts w:ascii="Times New Roman" w:hAnsi="Times New Roman"/>
          <w:i/>
          <w:sz w:val="20"/>
        </w:rPr>
        <w:t>.</w:t>
      </w:r>
      <w:r>
        <w:rPr>
          <w:rFonts w:ascii="Times New Roman" w:hAnsi="Times New Roman"/>
          <w:sz w:val="20"/>
        </w:rPr>
        <w:t xml:space="preserve"> Participant may be subject to insider trading restrictions and/or market abuse laws in applicable jurisdictions, including the United States and Participants country, if different, which may affect Participants ability to directly or indirectly, for himself or herself or for a third party, acquire or sell, or attempt to sell, Shares during such times as such Participant is considered to have inside information regarding the Company (as defined by Applicable Laws) or the trade in Shares. Any restrictions under these laws or regulations may be separate and in addition to any restrictions that may be imposed under any applicable Company insider trading policy. It shall be each Participants responsibility to comply with any applicable restrictions, and each Participant should speak with a personal advisor on this matter.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Foreign Asset/Account Reporting; Exchange Controls</w:t>
      </w:r>
      <w:r>
        <w:rPr>
          <w:rFonts w:ascii="Times New Roman" w:hAnsi="Times New Roman"/>
          <w:i/>
          <w:sz w:val="20"/>
        </w:rPr>
        <w:t xml:space="preserve">. </w:t>
      </w:r>
      <w:r>
        <w:rPr>
          <w:rFonts w:ascii="Times New Roman" w:hAnsi="Times New Roman"/>
          <w:sz w:val="20"/>
        </w:rPr>
        <w:t xml:space="preserve">Each country may have certain foreign asset and/or account reporting requirements and/or exchange controls which may affect Participants ability to purchase or hold Shares or cash received in respect of the RSUs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his or her participation in the Plan to Participants country through a designated bank or broker and/or within a certain time after receipt. It shall be Participants responsibility to be compliant with such regulations, and Participant should consult a personal legal advisor for any details.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Language</w:t>
      </w:r>
      <w:r>
        <w:rPr>
          <w:rFonts w:ascii="Times New Roman" w:hAnsi="Times New Roman"/>
          <w:sz w:val="20"/>
        </w:rPr>
        <w:t>. By participating in the Plan, Participant acknowledges that Participant is proficient in the English language, or has consulted with an advisor who is sufficiently proficient in English, so as to allow him or her to understand the terms and conditions of the Plan and the Award Agreement applicable to Participants country of residence. If Participant has received the Award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r>
        <w:rPr>
          <w:rFonts w:ascii="Times New Roman" w:hAnsi="Times New Roman"/>
          <w:sz w:val="20"/>
          <w:u w:val="single"/>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5. </w:t>
      </w:r>
      <w:r>
        <w:rPr>
          <w:rFonts w:ascii="Times New Roman" w:hAnsi="Times New Roman"/>
          <w:sz w:val="20"/>
          <w:u w:val="single"/>
        </w:rPr>
        <w:t>Currency</w:t>
      </w:r>
      <w:r>
        <w:rPr>
          <w:rFonts w:ascii="Times New Roman" w:hAnsi="Times New Roman"/>
          <w:sz w:val="20"/>
        </w:rPr>
        <w:t xml:space="preserve">. Participant understands that, any amounts related to the RSUs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RSUs,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of any amounts due to Participant or as a result of the subsequent sale of any Shares issuable upon settlement of the Award. </w:t>
      </w:r>
    </w:p>
    <w:p>
      <w:pPr>
        <w:pStyle w:val="TextBody"/>
        <w:bidi w:val="0"/>
        <w:spacing w:before="240" w:after="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Additional Restrictions</w:t>
      </w:r>
      <w:r>
        <w:rPr>
          <w:rFonts w:ascii="Times New Roman" w:hAnsi="Times New Roman"/>
          <w:sz w:val="20"/>
        </w:rPr>
        <w:t xml:space="preserve">. The Company reserves the right to impose other requirements on the RSUs and the shares of Stock issuable upon settlement of the Award, to the extent the Company determines it is necessary or advisable in order to comply with local laws or facilitate the administration of the Plan, and to require Participant to sign any additional agreements or undertakings that may be necessary to accomplish the foregoing. </w:t>
      </w:r>
    </w:p>
    <w:p>
      <w:pPr>
        <w:pStyle w:val="TextBody"/>
        <w:bidi w:val="0"/>
        <w:spacing w:before="240" w:after="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Securities Law Notice</w:t>
      </w:r>
      <w:r>
        <w:rPr>
          <w:rFonts w:ascii="Times New Roman" w:hAnsi="Times New Roman"/>
          <w:sz w:val="20"/>
        </w:rPr>
        <w:t xml:space="preserve">. Unless otherwise noted, neither the Company nor the Shares are registered with any local stock exchange or under the control of any local securities regulator outside the United States. The Award Agreement (of which this Addendum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 </w:t>
      </w:r>
    </w:p>
    <w:p>
      <w:pPr>
        <w:pStyle w:val="TextBody"/>
        <w:bidi w:val="0"/>
        <w:spacing w:before="240" w:after="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No EU Prospectus</w:t>
      </w:r>
      <w:r>
        <w:rPr>
          <w:rFonts w:ascii="Times New Roman" w:hAnsi="Times New Roman"/>
          <w:sz w:val="20"/>
        </w:rPr>
        <w:t xml:space="preserve">. This document does not constitute a prospectus within the meaning of Regulation (EU) 2017/1129. In participating in the Plan, Participant acknowledges that no prospectus will be published for the purpose of the offering, issuance and sale of the underlying Shares and any offering of the Shares is conducted by the Company in reliance on an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 </w:t>
      </w:r>
    </w:p>
    <w:p>
      <w:pPr>
        <w:pStyle w:val="TextBody"/>
        <w:bidi w:val="0"/>
        <w:spacing w:before="240" w:after="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Acknowledgment of Nature of Plan and Rights</w:t>
      </w:r>
      <w:r>
        <w:rPr>
          <w:rFonts w:ascii="Times New Roman" w:hAnsi="Times New Roman"/>
          <w:sz w:val="20"/>
        </w:rPr>
        <w:t xml:space="preserve">. In participating in the Plan, Participant acknowledges that: </w:t>
      </w:r>
    </w:p>
    <w:p>
      <w:pPr>
        <w:pStyle w:val="TextBody"/>
        <w:bidi w:val="0"/>
        <w:spacing w:before="240" w:after="0"/>
        <w:jc w:val="both"/>
        <w:rPr>
          <w:rFonts w:ascii="Times New Roman" w:hAnsi="Times New Roman"/>
          <w:sz w:val="20"/>
        </w:rPr>
      </w:pPr>
      <w:r>
        <w:rPr>
          <w:rFonts w:ascii="Times New Roman" w:hAnsi="Times New Roman"/>
          <w:sz w:val="20"/>
        </w:rPr>
        <w:t xml:space="preserve">(a) For employment and labor law purposes, the RSUs and any Shares issuable upon settlement of the RSUs are an extraordinary item that do not constitute wages of any kind for services of any kind rendered to the Company Group, and the award of rights is outside the scope of Participants employment or service contract, if any; </w:t>
      </w:r>
    </w:p>
    <w:p>
      <w:pPr>
        <w:pStyle w:val="TextBody"/>
        <w:bidi w:val="0"/>
        <w:spacing w:before="240" w:after="0"/>
        <w:jc w:val="both"/>
        <w:rPr>
          <w:rFonts w:ascii="Times New Roman" w:hAnsi="Times New Roman"/>
          <w:sz w:val="20"/>
        </w:rPr>
      </w:pPr>
      <w:r>
        <w:rPr>
          <w:rFonts w:ascii="Times New Roman" w:hAnsi="Times New Roman"/>
          <w:sz w:val="20"/>
        </w:rPr>
        <w:t xml:space="preserve">(b) For employment and labor law purposes, the RSUs and any Shares issuable upon settlement of the RSUs are not part of normal or expected wages or salary for any purposes, including, but not limited to, calculation of any severance, resignation, termination, redundancy, dismissal, end of service payments or entitlements, notice of termination or indemnity, compensation or damages in lieu of such notice, bonuses, holiday pay, long-service awards, pension or retirement benefits or similar payments and in no event should be considered as compensation for, or relating in any way to, past services for the Company Group; </w:t>
      </w:r>
    </w:p>
    <w:p>
      <w:pPr>
        <w:pStyle w:val="TextBody"/>
        <w:bidi w:val="0"/>
        <w:spacing w:before="240" w:after="0"/>
        <w:jc w:val="both"/>
        <w:rPr>
          <w:rFonts w:ascii="Times New Roman" w:hAnsi="Times New Roman"/>
          <w:sz w:val="20"/>
        </w:rPr>
      </w:pPr>
      <w:r>
        <w:rPr>
          <w:rFonts w:ascii="Times New Roman" w:hAnsi="Times New Roman"/>
          <w:sz w:val="20"/>
        </w:rPr>
        <w:t xml:space="preserve">(c) The RSUs and any Shares issuable upon settlement of the RSUs are not intended to be an integral component of compensation or to replace any pension rights or compensation; </w:t>
      </w:r>
    </w:p>
    <w:p>
      <w:pPr>
        <w:pStyle w:val="TextBody"/>
        <w:bidi w:val="0"/>
        <w:spacing w:before="240" w:after="0"/>
        <w:jc w:val="both"/>
        <w:rPr>
          <w:rFonts w:ascii="Times New Roman" w:hAnsi="Times New Roman"/>
          <w:sz w:val="20"/>
        </w:rPr>
      </w:pPr>
      <w:r>
        <w:rPr>
          <w:rFonts w:ascii="Times New Roman" w:hAnsi="Times New Roman"/>
          <w:sz w:val="20"/>
        </w:rPr>
        <w:t xml:space="preserve">(d) Neither the rights nor any provision of Plan or the policies adopted pursuant to the Plan confer upon any Participant any right with respect to service or employment or continuation of current service or employment and shall not be interpreted to form a service or employment contract or relationship with the Company Group; </w:t>
      </w:r>
    </w:p>
    <w:p>
      <w:pPr>
        <w:pStyle w:val="TextBody"/>
        <w:bidi w:val="0"/>
        <w:spacing w:before="240" w:after="0"/>
        <w:jc w:val="both"/>
        <w:rPr>
          <w:rFonts w:ascii="Times New Roman" w:hAnsi="Times New Roman"/>
          <w:sz w:val="20"/>
        </w:rPr>
      </w:pPr>
      <w:r>
        <w:rPr>
          <w:rFonts w:ascii="Times New Roman" w:hAnsi="Times New Roman"/>
          <w:sz w:val="20"/>
        </w:rPr>
        <w:t xml:space="preserve">(e) The future value of the underlying Shares is unknown and cannot be predicted with certainty;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If the underlying Shares do not increase in value, the right may have no value; </w:t>
      </w:r>
    </w:p>
    <w:p>
      <w:pPr>
        <w:pStyle w:val="TextBody"/>
        <w:bidi w:val="0"/>
        <w:spacing w:before="240" w:after="0"/>
        <w:jc w:val="both"/>
        <w:rPr>
          <w:rFonts w:ascii="Times New Roman" w:hAnsi="Times New Roman"/>
          <w:sz w:val="20"/>
        </w:rPr>
      </w:pPr>
      <w:r>
        <w:rPr>
          <w:rFonts w:ascii="Times New Roman" w:hAnsi="Times New Roman"/>
          <w:sz w:val="20"/>
        </w:rPr>
        <w:t xml:space="preserve">(g) If the RSUs vest and settle and Participant acquires Shares, the value of the Shares acquired upon settlement may increase or decrease in value; </w:t>
      </w:r>
    </w:p>
    <w:p>
      <w:pPr>
        <w:pStyle w:val="TextBody"/>
        <w:bidi w:val="0"/>
        <w:spacing w:before="240" w:after="0"/>
        <w:jc w:val="both"/>
        <w:rPr>
          <w:rFonts w:ascii="Times New Roman" w:hAnsi="Times New Roman"/>
          <w:sz w:val="20"/>
        </w:rPr>
      </w:pPr>
      <w:r>
        <w:rPr>
          <w:rFonts w:ascii="Times New Roman" w:hAnsi="Times New Roman"/>
          <w:sz w:val="20"/>
        </w:rPr>
        <w:t xml:space="preserve">(h) In consideration of the grant of the RSUs hereunder, no claim or entitlement to compensation or damages arises from termination of the RSUs, and no claim or entitlement to compensation or damages shall arise from forfeiture of the RSUs resulting from termination of Participants employment by the Company Group (for any reason whatsoever, whether with or without Cause, whether with or without prior notice, and whether or not in breach of local employment or labor laws) and Participant irrevocably releases the Company Group from any such claim that may arise; if, notwithstanding the foregoing, any such claim is found by a court of competent jurisdiction to have arisen, Participant shall be deemed irrevocably to have waived Participants entitlement to pursue such claim; and </w:t>
      </w:r>
    </w:p>
    <w:p>
      <w:pPr>
        <w:pStyle w:val="TextBody"/>
        <w:bidi w:val="0"/>
        <w:spacing w:before="240" w:after="0"/>
        <w:jc w:val="both"/>
        <w:rPr>
          <w:rFonts w:ascii="Times New Roman" w:hAnsi="Times New Roman"/>
          <w:sz w:val="20"/>
        </w:rPr>
      </w:pPr>
      <w:r>
        <w:rPr>
          <w:rFonts w:ascii="Times New Roman" w:hAnsi="Times New Roman"/>
          <w:sz w:val="20"/>
        </w:rPr>
        <w:t xml:space="preserve">(i) For purposes of the RSUs, a Termination of Service will be deemed to have occurred as of the date Participant is no longer actively providing services to the Company (regardless of the reason for such Termination of Service and whether or not later found to be invalid or in breach of employment laws in the jurisdiction where Participant is employed or otherwise rendering services, or the terms of Participants employment or other service agreement, if any). Participants employment or service relationship will not be extended by any notice period (e.g., Participants period of service will not be extended by any contractual notice period or period of garden leave or similar period mandated under employment laws in the jurisdiction where Participant is employed or otherwise rendering services, or the terms of Participants employment or other service agreement, if any). Unless otherwise expressly provided in the Plan or determined by the Company, Participants right to vest in the RSUs, if any, will terminate as of the date of Termination of Service. Notwithstanding the forgoing, the Administrator shall have exclusive discretion to determine when a Termination of Service has occurred for purposes of the RSUs (including when Participant is no longer considered to be actively providing services while on a leave of absence). In the event of Participants leave of absence, vesting of the RSUs shall be governed by the Companys leave of absence policies, as may be amended from time to time, and in accordance with Applicable Laws. </w:t>
      </w:r>
    </w:p>
    <w:p>
      <w:pPr>
        <w:pStyle w:val="TextBody"/>
        <w:bidi w:val="0"/>
        <w:spacing w:before="0" w:after="0"/>
        <w:jc w:val="right"/>
        <w:rPr>
          <w:rFonts w:ascii="Times New Roman" w:hAnsi="Times New Roman"/>
          <w:b/>
          <w:sz w:val="20"/>
        </w:rPr>
      </w:pPr>
      <w:bookmarkStart w:id="52" w:name="d551455dex104.htm"/>
      <w:bookmarkStart w:id="53" w:name="ksd551455dex104"/>
      <w:bookmarkEnd w:id="52"/>
      <w:bookmarkEnd w:id="53"/>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both"/>
        <w:rPr>
          <w:rFonts w:ascii="Times New Roman" w:hAnsi="Times New Roman"/>
          <w:sz w:val="20"/>
        </w:rPr>
      </w:pPr>
      <w:r>
        <w:rPr>
          <w:rFonts w:ascii="Times New Roman" w:hAnsi="Times New Roman"/>
          <w:sz w:val="20"/>
        </w:rPr>
        <w:t xml:space="preserve">The purpose of this Plan is to assist Eligible Participants of the Company and its Designated Subsidiaries in acquiring a stock ownership interest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Participants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Plan, the Administrator may designate separate Offerings under the Plan in which Eligible Participants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w:t>
      </w:r>
      <w:r>
        <w:rPr>
          <w:rFonts w:ascii="Times New Roman" w:hAnsi="Times New Roman"/>
          <w:i/>
          <w:sz w:val="20"/>
        </w:rPr>
        <w:t>provided</w:t>
      </w:r>
      <w:r>
        <w:rPr>
          <w:rFonts w:ascii="Times New Roman" w:hAnsi="Times New Roman"/>
          <w:sz w:val="20"/>
        </w:rPr>
        <w:t xml:space="preserve">, that no Eligible Non-Employee Service Providers shall be permitted to participate in any Offering under the Section 423 Component. Solely by way of example and without limiting the foregoing, the Company could, but shall not be required to, provide for simultaneous Offerings under the Section 423 Component and the Non-Section 423 Component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CONSTRUCTION </w:t>
      </w:r>
    </w:p>
    <w:p>
      <w:pPr>
        <w:pStyle w:val="TextBody"/>
        <w:bidi w:val="0"/>
        <w:spacing w:before="240" w:after="0"/>
        <w:jc w:val="both"/>
        <w:rPr>
          <w:rFonts w:ascii="Times New Roman" w:hAnsi="Times New Roman"/>
          <w:sz w:val="20"/>
        </w:rPr>
      </w:pPr>
      <w:r>
        <w:rPr>
          <w:rFonts w:ascii="Times New Roman" w:hAnsi="Times New Roman"/>
          <w:sz w:val="20"/>
        </w:rPr>
        <w:t xml:space="preserve">Wherever the following terms are used in the Plan they shall have the meanings specified below, unless the context clearly indicates otherwise. </w:t>
      </w:r>
    </w:p>
    <w:p>
      <w:pPr>
        <w:pStyle w:val="TextBody"/>
        <w:bidi w:val="0"/>
        <w:spacing w:before="240" w:after="0"/>
        <w:jc w:val="both"/>
        <w:rPr>
          <w:rFonts w:ascii="Times New Roman" w:hAnsi="Times New Roman"/>
          <w:sz w:val="20"/>
        </w:rPr>
      </w:pPr>
      <w:r>
        <w:rPr>
          <w:rFonts w:ascii="Times New Roman" w:hAnsi="Times New Roman"/>
          <w:sz w:val="20"/>
        </w:rPr>
        <w:t>2.1 </w:t>
      </w:r>
      <w:r>
        <w:rPr>
          <w:rFonts w:ascii="Times New Roman" w:hAnsi="Times New Roman"/>
          <w:b/>
          <w:i/>
          <w:sz w:val="20"/>
        </w:rPr>
        <w:t>Administrator</w:t>
      </w:r>
      <w:r>
        <w:rPr>
          <w:rFonts w:ascii="Times New Roman" w:hAnsi="Times New Roman"/>
          <w:sz w:val="20"/>
        </w:rPr>
        <w:t xml:space="preserve"> means the entity that conducts the general administration of the Plan as provided in Article XI. </w:t>
      </w:r>
    </w:p>
    <w:p>
      <w:pPr>
        <w:pStyle w:val="TextBody"/>
        <w:bidi w:val="0"/>
        <w:spacing w:before="240" w:after="0"/>
        <w:jc w:val="both"/>
        <w:rPr>
          <w:rFonts w:ascii="Times New Roman" w:hAnsi="Times New Roman"/>
          <w:sz w:val="20"/>
        </w:rPr>
      </w:pPr>
      <w:r>
        <w:rPr>
          <w:rFonts w:ascii="Times New Roman" w:hAnsi="Times New Roman"/>
          <w:sz w:val="20"/>
        </w:rPr>
        <w:t>2.2 </w:t>
      </w:r>
      <w:r>
        <w:rPr>
          <w:rFonts w:ascii="Times New Roman" w:hAnsi="Times New Roman"/>
          <w:b/>
          <w:i/>
          <w:sz w:val="20"/>
        </w:rPr>
        <w:t>Agent</w:t>
      </w:r>
      <w:r>
        <w:rPr>
          <w:rFonts w:ascii="Times New Roman" w:hAnsi="Times New Roman"/>
          <w:sz w:val="20"/>
        </w:rPr>
        <w:t xml:space="preserve"> means the brokerage firm, bank or other financial institution, entity or person(s), if any, engaged, retained, appointed or authorized to act as the agent of the Company or an Employee with regard to the Plan. </w:t>
      </w:r>
    </w:p>
    <w:p>
      <w:pPr>
        <w:pStyle w:val="TextBody"/>
        <w:bidi w:val="0"/>
        <w:spacing w:before="240" w:after="0"/>
        <w:jc w:val="both"/>
        <w:rPr>
          <w:rFonts w:ascii="Times New Roman" w:hAnsi="Times New Roman"/>
          <w:sz w:val="20"/>
        </w:rPr>
      </w:pPr>
      <w:r>
        <w:rPr>
          <w:rFonts w:ascii="Times New Roman" w:hAnsi="Times New Roman"/>
          <w:sz w:val="20"/>
        </w:rPr>
        <w:t>2.3 </w:t>
      </w:r>
      <w:r>
        <w:rPr>
          <w:rFonts w:ascii="Times New Roman" w:hAnsi="Times New Roman"/>
          <w:b/>
          <w:i/>
          <w:sz w:val="20"/>
        </w:rPr>
        <w:t>Applicable Law</w:t>
      </w:r>
      <w:r>
        <w:rPr>
          <w:rFonts w:ascii="Times New Roman" w:hAnsi="Times New Roman"/>
          <w:sz w:val="20"/>
        </w:rPr>
        <w:t xml:space="preserve">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2.4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both"/>
        <w:rPr>
          <w:rFonts w:ascii="Times New Roman" w:hAnsi="Times New Roman"/>
          <w:sz w:val="20"/>
        </w:rPr>
      </w:pPr>
      <w:r>
        <w:rPr>
          <w:rFonts w:ascii="Times New Roman" w:hAnsi="Times New Roman"/>
          <w:sz w:val="20"/>
        </w:rPr>
        <w:t>2.5 </w:t>
      </w:r>
      <w:r>
        <w:rPr>
          <w:rFonts w:ascii="Times New Roman" w:hAnsi="Times New Roman"/>
          <w:b/>
          <w:i/>
          <w:sz w:val="20"/>
        </w:rPr>
        <w:t>Code</w:t>
      </w:r>
      <w:r>
        <w:rPr>
          <w:rFonts w:ascii="Times New Roman" w:hAnsi="Times New Roman"/>
          <w:sz w:val="20"/>
        </w:rPr>
        <w:t xml:space="preserve"> means the U.S. Internal Revenue Code of 1986, as amended, and the regulations issued thereunder. </w:t>
      </w:r>
    </w:p>
    <w:p>
      <w:pPr>
        <w:pStyle w:val="TextBody"/>
        <w:bidi w:val="0"/>
        <w:spacing w:before="240" w:after="0"/>
        <w:jc w:val="both"/>
        <w:rPr>
          <w:rFonts w:ascii="Times New Roman" w:hAnsi="Times New Roman"/>
          <w:sz w:val="20"/>
        </w:rPr>
      </w:pPr>
      <w:r>
        <w:rPr>
          <w:rFonts w:ascii="Times New Roman" w:hAnsi="Times New Roman"/>
          <w:sz w:val="20"/>
        </w:rPr>
        <w:t>2.6 </w:t>
      </w:r>
      <w:r>
        <w:rPr>
          <w:rFonts w:ascii="Times New Roman" w:hAnsi="Times New Roman"/>
          <w:b/>
          <w:i/>
          <w:sz w:val="20"/>
        </w:rPr>
        <w:t>Common Stock</w:t>
      </w:r>
      <w:r>
        <w:rPr>
          <w:rFonts w:ascii="Times New Roman" w:hAnsi="Times New Roman"/>
          <w:sz w:val="20"/>
        </w:rPr>
        <w:t xml:space="preserve"> means common stock of the Company and such other securities of the Company that may be substituted therefore. </w:t>
      </w:r>
    </w:p>
    <w:p>
      <w:pPr>
        <w:pStyle w:val="TextBody"/>
        <w:bidi w:val="0"/>
        <w:spacing w:before="240" w:after="0"/>
        <w:jc w:val="both"/>
        <w:rPr>
          <w:rFonts w:ascii="Times New Roman" w:hAnsi="Times New Roman"/>
          <w:sz w:val="20"/>
        </w:rPr>
      </w:pPr>
      <w:r>
        <w:rPr>
          <w:rFonts w:ascii="Times New Roman" w:hAnsi="Times New Roman"/>
          <w:sz w:val="20"/>
        </w:rPr>
        <w:t>2.7 </w:t>
      </w:r>
      <w:r>
        <w:rPr>
          <w:rFonts w:ascii="Times New Roman" w:hAnsi="Times New Roman"/>
          <w:b/>
          <w:i/>
          <w:sz w:val="20"/>
        </w:rPr>
        <w:t>Company</w:t>
      </w:r>
      <w:r>
        <w:rPr>
          <w:rFonts w:ascii="Times New Roman" w:hAnsi="Times New Roman"/>
          <w:sz w:val="20"/>
        </w:rPr>
        <w:t xml:space="preserve"> means CG Oncology, Inc., a Delaware corporation, or any successor. </w:t>
      </w:r>
    </w:p>
    <w:p>
      <w:pPr>
        <w:pStyle w:val="TextBody"/>
        <w:bidi w:val="0"/>
        <w:spacing w:before="240" w:after="0"/>
        <w:jc w:val="both"/>
        <w:rPr>
          <w:rFonts w:ascii="Times New Roman" w:hAnsi="Times New Roman"/>
          <w:sz w:val="20"/>
        </w:rPr>
      </w:pPr>
      <w:r>
        <w:rPr>
          <w:rFonts w:ascii="Times New Roman" w:hAnsi="Times New Roman"/>
          <w:sz w:val="20"/>
        </w:rPr>
        <w:t>2.8 </w:t>
      </w:r>
      <w:r>
        <w:rPr>
          <w:rFonts w:ascii="Times New Roman" w:hAnsi="Times New Roman"/>
          <w:b/>
          <w:i/>
          <w:sz w:val="20"/>
        </w:rPr>
        <w:t>Compensation</w:t>
      </w:r>
      <w:r>
        <w:rPr>
          <w:rFonts w:ascii="Times New Roman" w:hAnsi="Times New Roman"/>
          <w:sz w:val="20"/>
        </w:rPr>
        <w:t xml:space="preserve"> of an Eligible Participant means, unless otherwise determined by the Administrator, the gross base compensation or wages (or fees, in the case of an Eligible Consultant) received by such Eligible Participant as compensation for services to the Company or any Designated Subsidiary, excluding overtime payments, sales commissions, incentive compensation, bonuses, expense reimbursements, income received in connection with any compensatory equity awards, fringe benefits and other special payments. </w:t>
      </w:r>
    </w:p>
    <w:p>
      <w:pPr>
        <w:pStyle w:val="TextBody"/>
        <w:bidi w:val="0"/>
        <w:spacing w:before="240" w:after="0"/>
        <w:jc w:val="both"/>
        <w:rPr>
          <w:rFonts w:ascii="Times New Roman" w:hAnsi="Times New Roman"/>
          <w:sz w:val="20"/>
        </w:rPr>
      </w:pPr>
      <w:r>
        <w:rPr>
          <w:rFonts w:ascii="Times New Roman" w:hAnsi="Times New Roman"/>
          <w:sz w:val="20"/>
        </w:rPr>
        <w:t>2.9 </w:t>
      </w:r>
      <w:r>
        <w:rPr>
          <w:rFonts w:ascii="Times New Roman" w:hAnsi="Times New Roman"/>
          <w:b/>
          <w:i/>
          <w:sz w:val="20"/>
        </w:rPr>
        <w:t>Consultant</w:t>
      </w:r>
      <w:r>
        <w:rPr>
          <w:rFonts w:ascii="Times New Roman" w:hAnsi="Times New Roman"/>
          <w:sz w:val="20"/>
        </w:rPr>
        <w:t> means any person, including any adviser, engaged by the Company or its parent or Designated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 For purposes of the Plan, </w:t>
      </w:r>
      <w:r>
        <w:rPr>
          <w:rFonts w:ascii="Times New Roman" w:hAnsi="Times New Roman"/>
          <w:b/>
          <w:i/>
          <w:sz w:val="20"/>
        </w:rPr>
        <w:t>Consultant</w:t>
      </w:r>
      <w:r>
        <w:rPr>
          <w:rFonts w:ascii="Times New Roman" w:hAnsi="Times New Roman"/>
          <w:sz w:val="20"/>
        </w:rPr>
        <w:t xml:space="preserve"> shall include any individual who is engaged by the Company or a Designated Subsidiary through a professional employer organization who does not otherwise qualify as an Employee, provided he or she is considered a consultant or advisor for purposes of Form S-8. </w:t>
      </w:r>
    </w:p>
    <w:p>
      <w:pPr>
        <w:pStyle w:val="TextBody"/>
        <w:bidi w:val="0"/>
        <w:spacing w:before="240" w:after="0"/>
        <w:jc w:val="both"/>
        <w:rPr>
          <w:rFonts w:ascii="Times New Roman" w:hAnsi="Times New Roman"/>
          <w:sz w:val="20"/>
        </w:rPr>
      </w:pPr>
      <w:r>
        <w:rPr>
          <w:rFonts w:ascii="Times New Roman" w:hAnsi="Times New Roman"/>
          <w:sz w:val="20"/>
        </w:rPr>
        <w:t>2.10 </w:t>
      </w:r>
      <w:r>
        <w:rPr>
          <w:rFonts w:ascii="Times New Roman" w:hAnsi="Times New Roman"/>
          <w:b/>
          <w:i/>
          <w:sz w:val="20"/>
        </w:rPr>
        <w:t>Designated Subsidiary</w:t>
      </w:r>
      <w:r>
        <w:rPr>
          <w:rFonts w:ascii="Times New Roman" w:hAnsi="Times New Roman"/>
          <w:sz w:val="20"/>
        </w:rPr>
        <w:t xml:space="preserve"> means any Subsidiary designated by the Administrator in accordance with Section 11.2(b), such designation to specify whether such participation by Eligible Employees employed by such Designated Subsidiary is in the Section 423 Component or Non-Section 423 Component. The Administrator shall designate whether a Designated Subsidiary shall permit participation by Eligible Non-Employee Service Providers, and any such participation by Eligible Non-Employee Service Providers shall be in the Non-Section 423 Component. All of the Eligible Employees of a Designated Subsidiary may be eligible to participate in either the Section 423 Component or Non-Section 423 Component, but not both; provided that the Eligible Employees of a Subsidiary that, for U.S. tax purposes, is disregarded from the Company or any Subsidiary that participates in the Section 423 Component shall automatically constitute a Designated Subsidiary that participates in the Section 423 Component. </w:t>
      </w:r>
    </w:p>
    <w:p>
      <w:pPr>
        <w:pStyle w:val="TextBody"/>
        <w:bidi w:val="0"/>
        <w:spacing w:before="240" w:after="0"/>
        <w:jc w:val="both"/>
        <w:rPr>
          <w:rFonts w:ascii="Times New Roman" w:hAnsi="Times New Roman"/>
          <w:sz w:val="20"/>
        </w:rPr>
      </w:pPr>
      <w:r>
        <w:rPr>
          <w:rFonts w:ascii="Times New Roman" w:hAnsi="Times New Roman"/>
          <w:sz w:val="20"/>
        </w:rPr>
        <w:t>2.11 </w:t>
      </w:r>
      <w:r>
        <w:rPr>
          <w:rFonts w:ascii="Times New Roman" w:hAnsi="Times New Roman"/>
          <w:b/>
          <w:i/>
          <w:sz w:val="20"/>
        </w:rPr>
        <w:t>Effectiv</w:t>
      </w:r>
      <w:r>
        <w:rPr>
          <w:rFonts w:ascii="Times New Roman" w:hAnsi="Times New Roman"/>
          <w:sz w:val="20"/>
        </w:rPr>
        <w:t xml:space="preserve">e </w:t>
      </w:r>
      <w:r>
        <w:rPr>
          <w:rFonts w:ascii="Times New Roman" w:hAnsi="Times New Roman"/>
          <w:b/>
          <w:i/>
          <w:sz w:val="20"/>
        </w:rPr>
        <w:t>Date</w:t>
      </w:r>
      <w:r>
        <w:rPr>
          <w:rFonts w:ascii="Times New Roman" w:hAnsi="Times New Roman"/>
          <w:sz w:val="20"/>
        </w:rPr>
        <w:t xml:space="preserve"> means the Pricing Date, provided that the Board and the stockholders of the Company have approved and adopted the Plan prior to or on such date. </w:t>
      </w:r>
    </w:p>
    <w:p>
      <w:pPr>
        <w:pStyle w:val="TextBody"/>
        <w:bidi w:val="0"/>
        <w:spacing w:before="240" w:after="0"/>
        <w:jc w:val="both"/>
        <w:rPr>
          <w:rFonts w:ascii="Times New Roman" w:hAnsi="Times New Roman"/>
          <w:sz w:val="20"/>
        </w:rPr>
      </w:pPr>
      <w:r>
        <w:rPr>
          <w:rFonts w:ascii="Times New Roman" w:hAnsi="Times New Roman"/>
          <w:sz w:val="20"/>
        </w:rPr>
        <w:t>2.12 </w:t>
      </w:r>
      <w:r>
        <w:rPr>
          <w:rFonts w:ascii="Times New Roman" w:hAnsi="Times New Roman"/>
          <w:b/>
          <w:i/>
          <w:sz w:val="20"/>
        </w:rPr>
        <w:t>Eligible Employee</w:t>
      </w:r>
      <w:r>
        <w:rPr>
          <w:rFonts w:ascii="Times New Roman" w:hAnsi="Times New Roman"/>
          <w:sz w:val="20"/>
        </w:rPr>
        <w:t xml:space="preserve"> means: </w:t>
      </w:r>
    </w:p>
    <w:p>
      <w:pPr>
        <w:pStyle w:val="TextBody"/>
        <w:bidi w:val="0"/>
        <w:spacing w:before="120" w:after="0"/>
        <w:jc w:val="both"/>
        <w:rPr>
          <w:rFonts w:ascii="Times New Roman" w:hAnsi="Times New Roman"/>
          <w:sz w:val="20"/>
        </w:rPr>
      </w:pPr>
      <w:r>
        <w:rPr>
          <w:rFonts w:ascii="Times New Roman" w:hAnsi="Times New Roman"/>
          <w:sz w:val="20"/>
        </w:rPr>
        <w:t xml:space="preserve">(a)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w:t>
      </w:r>
    </w:p>
    <w:p>
      <w:pPr>
        <w:pStyle w:val="TextBody"/>
        <w:bidi w:val="0"/>
        <w:spacing w:before="120" w:after="0"/>
        <w:jc w:val="both"/>
        <w:rPr>
          <w:rFonts w:ascii="Times New Roman" w:hAnsi="Times New Roman"/>
          <w:sz w:val="20"/>
        </w:rPr>
      </w:pPr>
      <w:r>
        <w:rPr>
          <w:rFonts w:ascii="Times New Roman" w:hAnsi="Times New Roman"/>
          <w:sz w:val="20"/>
        </w:rPr>
        <w:t xml:space="preserve">(b)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exclusion in clauses (i), (ii), (iii), (iv) or (v) shall be applied in an identical manner under each Offering Period to all Employees, in accordance with Treas. Reg. Section 1.423-2(e). </w:t>
      </w:r>
    </w:p>
    <w:p>
      <w:pPr>
        <w:pStyle w:val="TextBody"/>
        <w:bidi w:val="0"/>
        <w:spacing w:before="120" w:after="0"/>
        <w:jc w:val="both"/>
        <w:rPr>
          <w:rFonts w:ascii="Times New Roman" w:hAnsi="Times New Roman"/>
          <w:sz w:val="20"/>
        </w:rPr>
      </w:pPr>
      <w:r>
        <w:rPr>
          <w:rFonts w:ascii="Times New Roman" w:hAnsi="Times New Roman"/>
          <w:sz w:val="20"/>
        </w:rPr>
        <w:t xml:space="preserve">(c) 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 </w:t>
      </w:r>
    </w:p>
    <w:p>
      <w:pPr>
        <w:pStyle w:val="TextBody"/>
        <w:bidi w:val="0"/>
        <w:spacing w:before="240" w:after="0"/>
        <w:jc w:val="both"/>
        <w:rPr>
          <w:rFonts w:ascii="Times New Roman" w:hAnsi="Times New Roman"/>
          <w:sz w:val="20"/>
        </w:rPr>
      </w:pPr>
      <w:r>
        <w:rPr>
          <w:rFonts w:ascii="Times New Roman" w:hAnsi="Times New Roman"/>
          <w:sz w:val="20"/>
        </w:rPr>
        <w:t>2.13 </w:t>
      </w:r>
      <w:r>
        <w:rPr>
          <w:rFonts w:ascii="Times New Roman" w:hAnsi="Times New Roman"/>
          <w:b/>
          <w:i/>
          <w:sz w:val="20"/>
        </w:rPr>
        <w:t>Eligible Non-Employee Service Provider</w:t>
      </w:r>
      <w:r>
        <w:rPr>
          <w:rFonts w:ascii="Times New Roman" w:hAnsi="Times New Roman"/>
          <w:sz w:val="20"/>
        </w:rPr>
        <w:t xml:space="preserve"> means a Consultant who is a citizen or resident of a foreign jurisdiction or otherwise provides services in a location outside of the United States who is designated by the Administrator to participate in the Non-Section 423 Component. In no event shall an Eligible Non-Employee Service Provider be eligible to participate in the Section 423 Component. </w:t>
      </w:r>
    </w:p>
    <w:p>
      <w:pPr>
        <w:pStyle w:val="TextBody"/>
        <w:bidi w:val="0"/>
        <w:spacing w:before="240" w:after="0"/>
        <w:jc w:val="both"/>
        <w:rPr>
          <w:rFonts w:ascii="Times New Roman" w:hAnsi="Times New Roman"/>
          <w:sz w:val="20"/>
        </w:rPr>
      </w:pPr>
      <w:r>
        <w:rPr>
          <w:rFonts w:ascii="Times New Roman" w:hAnsi="Times New Roman"/>
          <w:sz w:val="20"/>
        </w:rPr>
        <w:t>2.14 </w:t>
      </w:r>
      <w:r>
        <w:rPr>
          <w:rFonts w:ascii="Times New Roman" w:hAnsi="Times New Roman"/>
          <w:b/>
          <w:i/>
          <w:sz w:val="20"/>
        </w:rPr>
        <w:t>Eligible Participant</w:t>
      </w:r>
      <w:r>
        <w:rPr>
          <w:rFonts w:ascii="Times New Roman" w:hAnsi="Times New Roman"/>
          <w:sz w:val="20"/>
        </w:rPr>
        <w:t xml:space="preserve"> means an Eligible Employee or an Eligible Non-Employee Service Provider. </w:t>
      </w:r>
    </w:p>
    <w:p>
      <w:pPr>
        <w:pStyle w:val="TextBody"/>
        <w:bidi w:val="0"/>
        <w:spacing w:before="240" w:after="0"/>
        <w:jc w:val="both"/>
        <w:rPr>
          <w:rFonts w:ascii="Times New Roman" w:hAnsi="Times New Roman"/>
          <w:sz w:val="20"/>
        </w:rPr>
      </w:pPr>
      <w:r>
        <w:rPr>
          <w:rFonts w:ascii="Times New Roman" w:hAnsi="Times New Roman"/>
          <w:sz w:val="20"/>
        </w:rPr>
        <w:t>2.15 </w:t>
      </w:r>
      <w:r>
        <w:rPr>
          <w:rFonts w:ascii="Times New Roman" w:hAnsi="Times New Roman"/>
          <w:b/>
          <w:i/>
          <w:sz w:val="20"/>
        </w:rPr>
        <w:t>Employee</w:t>
      </w:r>
      <w:r>
        <w:rPr>
          <w:rFonts w:ascii="Times New Roman" w:hAnsi="Times New Roman"/>
          <w:sz w:val="20"/>
        </w:rPr>
        <w:t xml:space="preserve"> means any individual who renders services to the Company or any Designated Subsidiary in the status of an employee, and, with respect to the Section 423 Component, a person who is an employee of the Company or any Designated Subsidiary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 Reg. Section 1.421-1(h)(2). Where the period of leave exceeds three (3) months (or such other period specified in Treas. Reg. Section 1.421-1(h)(2)) and the individuals right to reemployment is not guaranteed either by statute or by contract, the employment relationship shall be deemed to have terminated on the first day immediately following such three (3)-month period. </w:t>
      </w:r>
    </w:p>
    <w:p>
      <w:pPr>
        <w:pStyle w:val="TextBody"/>
        <w:bidi w:val="0"/>
        <w:spacing w:before="240" w:after="0"/>
        <w:jc w:val="both"/>
        <w:rPr>
          <w:rFonts w:ascii="Times New Roman" w:hAnsi="Times New Roman"/>
          <w:sz w:val="20"/>
        </w:rPr>
      </w:pPr>
      <w:r>
        <w:rPr>
          <w:rFonts w:ascii="Times New Roman" w:hAnsi="Times New Roman"/>
          <w:sz w:val="20"/>
        </w:rPr>
        <w:t>2.16 </w:t>
      </w:r>
      <w:r>
        <w:rPr>
          <w:rFonts w:ascii="Times New Roman" w:hAnsi="Times New Roman"/>
          <w:b/>
          <w:i/>
          <w:sz w:val="20"/>
        </w:rPr>
        <w:t>Enrollment Date</w:t>
      </w:r>
      <w:r>
        <w:rPr>
          <w:rFonts w:ascii="Times New Roman" w:hAnsi="Times New Roman"/>
          <w:sz w:val="20"/>
        </w:rPr>
        <w:t xml:space="preserve"> means the first Trading Day of each Offering Period; provided that, the Enrollment Date for the Initial Offering Period shall be the Pricing Date. </w:t>
      </w:r>
    </w:p>
    <w:p>
      <w:pPr>
        <w:pStyle w:val="TextBody"/>
        <w:bidi w:val="0"/>
        <w:spacing w:before="240" w:after="0"/>
        <w:jc w:val="both"/>
        <w:rPr>
          <w:rFonts w:ascii="Times New Roman" w:hAnsi="Times New Roman"/>
          <w:sz w:val="20"/>
        </w:rPr>
      </w:pPr>
      <w:r>
        <w:rPr>
          <w:rFonts w:ascii="Times New Roman" w:hAnsi="Times New Roman"/>
          <w:sz w:val="20"/>
        </w:rPr>
        <w:t>2.17 </w:t>
      </w:r>
      <w:r>
        <w:rPr>
          <w:rFonts w:ascii="Times New Roman" w:hAnsi="Times New Roman"/>
          <w:b/>
          <w:i/>
          <w:sz w:val="20"/>
        </w:rPr>
        <w:t>Fair Market Value</w:t>
      </w:r>
      <w:r>
        <w:rPr>
          <w:rFonts w:ascii="Times New Roman" w:hAnsi="Times New Roman"/>
          <w:sz w:val="20"/>
        </w:rPr>
        <w:t xml:space="preserve">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(iii) without an established market for the Shares, the Administrator may determine the Fair Market Value in its discretion; or (iv)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the Initial Offering Period, the Fair Market Value as specified in the Offering Document approved by the Administrator with respect to the Initial Offering Period. </w:t>
      </w:r>
    </w:p>
    <w:p>
      <w:pPr>
        <w:pStyle w:val="TextBody"/>
        <w:bidi w:val="0"/>
        <w:spacing w:before="240" w:after="0"/>
        <w:jc w:val="both"/>
        <w:rPr>
          <w:rFonts w:ascii="Times New Roman" w:hAnsi="Times New Roman"/>
          <w:sz w:val="20"/>
        </w:rPr>
      </w:pPr>
      <w:r>
        <w:rPr>
          <w:rFonts w:ascii="Times New Roman" w:hAnsi="Times New Roman"/>
          <w:sz w:val="20"/>
        </w:rPr>
        <w:t>2.18 </w:t>
      </w:r>
      <w:r>
        <w:rPr>
          <w:rFonts w:ascii="Times New Roman" w:hAnsi="Times New Roman"/>
          <w:b/>
          <w:i/>
          <w:sz w:val="20"/>
        </w:rPr>
        <w:t>Initial Offering Period</w:t>
      </w:r>
      <w:r>
        <w:rPr>
          <w:rFonts w:ascii="Times New Roman" w:hAnsi="Times New Roman"/>
          <w:sz w:val="20"/>
        </w:rPr>
        <w:t xml:space="preserve"> means the period commencing on the Pricing Date and ending on the date set forth in the Offering Document approved by the Administrator with respect to the Initial Offering Period. </w:t>
      </w:r>
    </w:p>
    <w:p>
      <w:pPr>
        <w:pStyle w:val="TextBody"/>
        <w:bidi w:val="0"/>
        <w:spacing w:before="240" w:after="0"/>
        <w:jc w:val="both"/>
        <w:rPr>
          <w:rFonts w:ascii="Times New Roman" w:hAnsi="Times New Roman"/>
          <w:sz w:val="20"/>
        </w:rPr>
      </w:pPr>
      <w:r>
        <w:rPr>
          <w:rFonts w:ascii="Times New Roman" w:hAnsi="Times New Roman"/>
          <w:sz w:val="20"/>
        </w:rPr>
        <w:t>2.19 </w:t>
      </w:r>
      <w:r>
        <w:rPr>
          <w:rFonts w:ascii="Times New Roman" w:hAnsi="Times New Roman"/>
          <w:b/>
          <w:i/>
          <w:sz w:val="20"/>
        </w:rPr>
        <w:t>Non-Section 423 Component</w:t>
      </w:r>
      <w:r>
        <w:rPr>
          <w:rFonts w:ascii="Times New Roman" w:hAnsi="Times New Roman"/>
          <w:sz w:val="20"/>
        </w:rPr>
        <w:t xml:space="preserve"> means those Offerings under the Plan, together with the sub-plans, appendices, rules or procedures, if any, adopted by the Administrator as a part of this Plan, in each case, pursuant to which rights to purchase Shares during an Offering Period may be granted to Eligible Participants that need not satisfy the requirements for rights to purchase Shares granted pursuant to an employee stock purchase plan that are set forth under Section 423 of the Code. </w:t>
      </w:r>
    </w:p>
    <w:p>
      <w:pPr>
        <w:pStyle w:val="TextBody"/>
        <w:bidi w:val="0"/>
        <w:spacing w:before="240" w:after="0"/>
        <w:jc w:val="both"/>
        <w:rPr>
          <w:rFonts w:ascii="Times New Roman" w:hAnsi="Times New Roman"/>
          <w:sz w:val="20"/>
        </w:rPr>
      </w:pPr>
      <w:r>
        <w:rPr>
          <w:rFonts w:ascii="Times New Roman" w:hAnsi="Times New Roman"/>
          <w:sz w:val="20"/>
        </w:rPr>
        <w:t>2.20 </w:t>
      </w:r>
      <w:r>
        <w:rPr>
          <w:rFonts w:ascii="Times New Roman" w:hAnsi="Times New Roman"/>
          <w:b/>
          <w:i/>
          <w:sz w:val="20"/>
        </w:rPr>
        <w:t>Offering</w:t>
      </w:r>
      <w:r>
        <w:rPr>
          <w:rFonts w:ascii="Times New Roman" w:hAnsi="Times New Roman"/>
          <w:sz w:val="20"/>
        </w:rPr>
        <w:t xml:space="preserve"> means an offer under the Plan of a right to purchase Shares that may be exercised during an Offering Period as further described in Article IV hereof. Unless otherwise specified by the Administrator, (a) Offerings under the Section 423 Component and the Non-Section 423 Component shall be treated as separate and distinct Offerings under separate and distinct plans, (b) each Offering to the Eligible Employees of the Company or a Designated Subsidiary shall be deemed a separate and distinct Offering under a separate and distinct plan, and (c) each Offering to the Eligible Non-Employee Service Providers of the Company or a Designated Subsidiary shall be deemed a separate and distinct Offering under a separate and distinct plan, in each case, even if the dates and other terms of the applicable Offering Periods of each such Offering are identical, and the provisions of the Plan will separately apply to each Offering. To the extent permitted by Treas. Reg. Section 1.423-2(a)(1), the terms of each separate Offering under the Section 423 Component need not be identical, provided that the terms of the Section 423 Component and an Offering thereunder together satisfy Treas. Reg. Section 1.423-2(a)(2) and (a)(3). To the extent the terms of any Offering under the Section 423 Component do not satisfy the requirements for rights to purchase Shares granted pursuant to an employee stock purchase plan as set forth under Section 423 of the Code, then the Plan and such Offering shall be deemed to be amended to accomplish the objectives of the terms as originally written to the fullest extent permitted by law and in compliance with Section 423 of the Code. </w:t>
      </w:r>
    </w:p>
    <w:p>
      <w:pPr>
        <w:pStyle w:val="TextBody"/>
        <w:bidi w:val="0"/>
        <w:spacing w:before="240" w:after="0"/>
        <w:jc w:val="both"/>
        <w:rPr>
          <w:rFonts w:ascii="Times New Roman" w:hAnsi="Times New Roman"/>
          <w:sz w:val="20"/>
        </w:rPr>
      </w:pPr>
      <w:r>
        <w:rPr>
          <w:rFonts w:ascii="Times New Roman" w:hAnsi="Times New Roman"/>
          <w:sz w:val="20"/>
        </w:rPr>
        <w:t>2.21 </w:t>
      </w:r>
      <w:r>
        <w:rPr>
          <w:rFonts w:ascii="Times New Roman" w:hAnsi="Times New Roman"/>
          <w:b/>
          <w:i/>
          <w:sz w:val="20"/>
        </w:rPr>
        <w:t>Offering Document</w:t>
      </w:r>
      <w:r>
        <w:rPr>
          <w:rFonts w:ascii="Times New Roman" w:hAnsi="Times New Roman"/>
          <w:sz w:val="20"/>
        </w:rPr>
        <w:t xml:space="preserve"> has the meaning given to such term in Section 4.1. </w:t>
      </w:r>
    </w:p>
    <w:p>
      <w:pPr>
        <w:pStyle w:val="TextBody"/>
        <w:bidi w:val="0"/>
        <w:spacing w:before="240" w:after="0"/>
        <w:jc w:val="both"/>
        <w:rPr>
          <w:rFonts w:ascii="Times New Roman" w:hAnsi="Times New Roman"/>
          <w:sz w:val="20"/>
        </w:rPr>
      </w:pPr>
      <w:r>
        <w:rPr>
          <w:rFonts w:ascii="Times New Roman" w:hAnsi="Times New Roman"/>
          <w:sz w:val="20"/>
        </w:rPr>
        <w:t>2.22 </w:t>
      </w:r>
      <w:r>
        <w:rPr>
          <w:rFonts w:ascii="Times New Roman" w:hAnsi="Times New Roman"/>
          <w:b/>
          <w:i/>
          <w:sz w:val="20"/>
        </w:rPr>
        <w:t>Offering Period</w:t>
      </w:r>
      <w:r>
        <w:rPr>
          <w:rFonts w:ascii="Times New Roman" w:hAnsi="Times New Roman"/>
          <w:sz w:val="20"/>
        </w:rPr>
        <w:t xml:space="preserve"> has the meaning given to such term in Section 4.1. </w:t>
      </w:r>
    </w:p>
    <w:p>
      <w:pPr>
        <w:pStyle w:val="TextBody"/>
        <w:bidi w:val="0"/>
        <w:spacing w:before="240" w:after="0"/>
        <w:jc w:val="both"/>
        <w:rPr>
          <w:rFonts w:ascii="Times New Roman" w:hAnsi="Times New Roman"/>
          <w:sz w:val="20"/>
        </w:rPr>
      </w:pPr>
      <w:r>
        <w:rPr>
          <w:rFonts w:ascii="Times New Roman" w:hAnsi="Times New Roman"/>
          <w:sz w:val="20"/>
        </w:rPr>
        <w:t>2.23 </w:t>
      </w:r>
      <w:r>
        <w:rPr>
          <w:rFonts w:ascii="Times New Roman" w:hAnsi="Times New Roman"/>
          <w:b/>
          <w:i/>
          <w:sz w:val="20"/>
        </w:rPr>
        <w:t>Parent</w:t>
      </w:r>
      <w:r>
        <w:rPr>
          <w:rFonts w:ascii="Times New Roman" w:hAnsi="Times New Roman"/>
          <w:sz w:val="20"/>
        </w:rPr>
        <w:t xml:space="preserve">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 </w:t>
      </w:r>
    </w:p>
    <w:p>
      <w:pPr>
        <w:pStyle w:val="TextBody"/>
        <w:bidi w:val="0"/>
        <w:spacing w:before="240" w:after="0"/>
        <w:jc w:val="both"/>
        <w:rPr>
          <w:rFonts w:ascii="Times New Roman" w:hAnsi="Times New Roman"/>
          <w:sz w:val="20"/>
        </w:rPr>
      </w:pPr>
      <w:r>
        <w:rPr>
          <w:rFonts w:ascii="Times New Roman" w:hAnsi="Times New Roman"/>
          <w:sz w:val="20"/>
        </w:rPr>
        <w:t>2.24 </w:t>
      </w:r>
      <w:r>
        <w:rPr>
          <w:rFonts w:ascii="Times New Roman" w:hAnsi="Times New Roman"/>
          <w:b/>
          <w:i/>
          <w:sz w:val="20"/>
        </w:rPr>
        <w:t>Participant</w:t>
      </w:r>
      <w:r>
        <w:rPr>
          <w:rFonts w:ascii="Times New Roman" w:hAnsi="Times New Roman"/>
          <w:sz w:val="20"/>
        </w:rPr>
        <w:t xml:space="preserve"> means any Eligible Participant who has executed a subscription agreement (which may be electronic) and been granted rights to purchase Shares pursuant to the Plan (or, with respect to the Initial Offering Period, those Participants specified in the Offering Document approved by the Administrator with respect to the Initial Offering Period). </w:t>
      </w:r>
    </w:p>
    <w:p>
      <w:pPr>
        <w:pStyle w:val="TextBody"/>
        <w:bidi w:val="0"/>
        <w:spacing w:before="240" w:after="0"/>
        <w:jc w:val="both"/>
        <w:rPr>
          <w:rFonts w:ascii="Times New Roman" w:hAnsi="Times New Roman"/>
          <w:sz w:val="20"/>
        </w:rPr>
      </w:pPr>
      <w:r>
        <w:rPr>
          <w:rFonts w:ascii="Times New Roman" w:hAnsi="Times New Roman"/>
          <w:sz w:val="20"/>
        </w:rPr>
        <w:t>2.25 </w:t>
      </w:r>
      <w:r>
        <w:rPr>
          <w:rFonts w:ascii="Times New Roman" w:hAnsi="Times New Roman"/>
          <w:b/>
          <w:i/>
          <w:sz w:val="20"/>
        </w:rPr>
        <w:t>Payday</w:t>
      </w:r>
      <w:r>
        <w:rPr>
          <w:rFonts w:ascii="Times New Roman" w:hAnsi="Times New Roman"/>
          <w:sz w:val="20"/>
        </w:rPr>
        <w:t xml:space="preserve"> means the regular and recurring established day for payment of Compensation to an Employee or Consultant of the Company or any Designated Subsidiary. </w:t>
      </w:r>
    </w:p>
    <w:p>
      <w:pPr>
        <w:pStyle w:val="TextBody"/>
        <w:bidi w:val="0"/>
        <w:spacing w:before="240" w:after="0"/>
        <w:jc w:val="both"/>
        <w:rPr>
          <w:rFonts w:ascii="Times New Roman" w:hAnsi="Times New Roman"/>
          <w:sz w:val="20"/>
        </w:rPr>
      </w:pPr>
      <w:r>
        <w:rPr>
          <w:rFonts w:ascii="Times New Roman" w:hAnsi="Times New Roman"/>
          <w:sz w:val="20"/>
        </w:rPr>
        <w:t>2.26 </w:t>
      </w:r>
      <w:r>
        <w:rPr>
          <w:rFonts w:ascii="Times New Roman" w:hAnsi="Times New Roman"/>
          <w:b/>
          <w:i/>
          <w:sz w:val="20"/>
        </w:rPr>
        <w:t>Plan</w:t>
      </w:r>
      <w:r>
        <w:rPr>
          <w:rFonts w:ascii="Times New Roman" w:hAnsi="Times New Roman"/>
          <w:sz w:val="20"/>
        </w:rPr>
        <w:t xml:space="preserve"> means this 2024 Employee Stock Purchase Plan, including both the Section 423 Component and Non-Section 423 Component and any other sub-plans or appendices hereto, as amended from time to time. </w:t>
      </w:r>
    </w:p>
    <w:p>
      <w:pPr>
        <w:pStyle w:val="TextBody"/>
        <w:bidi w:val="0"/>
        <w:spacing w:before="240" w:after="0"/>
        <w:jc w:val="both"/>
        <w:rPr>
          <w:rFonts w:ascii="Times New Roman" w:hAnsi="Times New Roman"/>
          <w:sz w:val="20"/>
        </w:rPr>
      </w:pPr>
      <w:r>
        <w:rPr>
          <w:rFonts w:ascii="Times New Roman" w:hAnsi="Times New Roman"/>
          <w:sz w:val="20"/>
        </w:rPr>
        <w:t>2.27 </w:t>
      </w:r>
      <w:r>
        <w:rPr>
          <w:rFonts w:ascii="Times New Roman" w:hAnsi="Times New Roman"/>
          <w:b/>
          <w:i/>
          <w:sz w:val="20"/>
        </w:rPr>
        <w:t>Pricing Date</w:t>
      </w:r>
      <w:r>
        <w:rPr>
          <w:rFonts w:ascii="Times New Roman" w:hAnsi="Times New Roman"/>
          <w:sz w:val="20"/>
        </w:rPr>
        <w:t xml:space="preserve"> means the date upon which the Companys Registration Statement on Form S-1 filed with the Securities and Exchange Commission relating to the underwritten public offering of shares of Common Stock becomes effective. </w:t>
      </w:r>
    </w:p>
    <w:p>
      <w:pPr>
        <w:pStyle w:val="TextBody"/>
        <w:bidi w:val="0"/>
        <w:spacing w:before="240" w:after="0"/>
        <w:jc w:val="both"/>
        <w:rPr>
          <w:rFonts w:ascii="Times New Roman" w:hAnsi="Times New Roman"/>
          <w:sz w:val="20"/>
        </w:rPr>
      </w:pPr>
      <w:r>
        <w:rPr>
          <w:rFonts w:ascii="Times New Roman" w:hAnsi="Times New Roman"/>
          <w:sz w:val="20"/>
        </w:rPr>
        <w:t>2.28 </w:t>
      </w:r>
      <w:r>
        <w:rPr>
          <w:rFonts w:ascii="Times New Roman" w:hAnsi="Times New Roman"/>
          <w:b/>
          <w:i/>
          <w:sz w:val="20"/>
        </w:rPr>
        <w:t>Pricing Date Fully-Diluted Shares</w:t>
      </w:r>
      <w:r>
        <w:rPr>
          <w:rFonts w:ascii="Times New Roman" w:hAnsi="Times New Roman"/>
          <w:sz w:val="20"/>
        </w:rPr>
        <w:t xml:space="preserve"> means, as of the Pricing Date, the sum of (a) the Shares outstanding on such date (calculated on an as-converted basis after giving effect to the conversion of the Companys outstanding securities into Shares in connection with the initial public offering and after giving effect to the issuance of Shares to be sold in the initial public offering (assuming the exercise in full of the underwriters option to purchase additional Shares in such initial public offering)), (b) the Shares subject to compensatory equity awards (including stock options) outstanding on such date (with the number of Shares subject to performance-based compensatory equity awards calculated at the maximum level of performance), and (c) all Shares available for future issuance under the Plan and the Companys 2024 Incentive Award Plan as of such date. </w:t>
      </w:r>
    </w:p>
    <w:p>
      <w:pPr>
        <w:pStyle w:val="TextBody"/>
        <w:bidi w:val="0"/>
        <w:spacing w:before="240" w:after="0"/>
        <w:jc w:val="both"/>
        <w:rPr>
          <w:rFonts w:ascii="Times New Roman" w:hAnsi="Times New Roman"/>
          <w:sz w:val="20"/>
        </w:rPr>
      </w:pPr>
      <w:r>
        <w:rPr>
          <w:rFonts w:ascii="Times New Roman" w:hAnsi="Times New Roman"/>
          <w:sz w:val="20"/>
        </w:rPr>
        <w:t>2.29 </w:t>
      </w:r>
      <w:r>
        <w:rPr>
          <w:rFonts w:ascii="Times New Roman" w:hAnsi="Times New Roman"/>
          <w:b/>
          <w:i/>
          <w:sz w:val="20"/>
        </w:rPr>
        <w:t>Purchase Date</w:t>
      </w:r>
      <w:r>
        <w:rPr>
          <w:rFonts w:ascii="Times New Roman" w:hAnsi="Times New Roman"/>
          <w:sz w:val="20"/>
        </w:rPr>
        <w:t xml:space="preserve"> means the last Trading Day of each Purchase Period or such other date as determined by the Administrator and set forth in the Offering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2.30 </w:t>
      </w:r>
      <w:r>
        <w:rPr>
          <w:rFonts w:ascii="Times New Roman" w:hAnsi="Times New Roman"/>
          <w:b/>
          <w:i/>
          <w:sz w:val="20"/>
        </w:rPr>
        <w:t>Purchase Period</w:t>
      </w:r>
      <w:r>
        <w:rPr>
          <w:rFonts w:ascii="Times New Roman" w:hAnsi="Times New Roman"/>
          <w:sz w:val="20"/>
        </w:rPr>
        <w:t xml:space="preserve"> shall refer to one or more periods within an Offering Period, as designated in the applicable Offering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Purchase Period is designated by the Administrator in the applicable Offering Document, the Purchase Period for each Offering Period covered by such Offering Document shall be the same as the applicable Offering Period. </w:t>
      </w:r>
    </w:p>
    <w:p>
      <w:pPr>
        <w:pStyle w:val="TextBody"/>
        <w:bidi w:val="0"/>
        <w:spacing w:before="240" w:after="0"/>
        <w:jc w:val="both"/>
        <w:rPr>
          <w:rFonts w:ascii="Times New Roman" w:hAnsi="Times New Roman"/>
          <w:sz w:val="20"/>
        </w:rPr>
      </w:pPr>
      <w:r>
        <w:rPr>
          <w:rFonts w:ascii="Times New Roman" w:hAnsi="Times New Roman"/>
          <w:sz w:val="20"/>
        </w:rPr>
        <w:t>2.31 </w:t>
      </w:r>
      <w:r>
        <w:rPr>
          <w:rFonts w:ascii="Times New Roman" w:hAnsi="Times New Roman"/>
          <w:b/>
          <w:i/>
          <w:sz w:val="20"/>
        </w:rPr>
        <w:t>Purchase Price</w:t>
      </w:r>
      <w:r>
        <w:rPr>
          <w:rFonts w:ascii="Times New Roman" w:hAnsi="Times New Roman"/>
          <w:sz w:val="20"/>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Purchase Price may be adjusted by the Administrator pursuant to Article VIII and shall not be less than the par value of a Share. </w:t>
      </w:r>
    </w:p>
    <w:p>
      <w:pPr>
        <w:pStyle w:val="TextBody"/>
        <w:bidi w:val="0"/>
        <w:spacing w:before="240" w:after="0"/>
        <w:jc w:val="both"/>
        <w:rPr>
          <w:rFonts w:ascii="Times New Roman" w:hAnsi="Times New Roman"/>
          <w:sz w:val="20"/>
        </w:rPr>
      </w:pPr>
      <w:r>
        <w:rPr>
          <w:rFonts w:ascii="Times New Roman" w:hAnsi="Times New Roman"/>
          <w:sz w:val="20"/>
        </w:rPr>
        <w:t>2.32 </w:t>
      </w:r>
      <w:r>
        <w:rPr>
          <w:rFonts w:ascii="Times New Roman" w:hAnsi="Times New Roman"/>
          <w:b/>
          <w:i/>
          <w:sz w:val="20"/>
        </w:rPr>
        <w:t>Section</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 To the extent any provision of the Plan with respect to the Section 423 Component does not satisfy the requirements for rights to purchase Shares granted pursuant to an employee stock purchase plan as set forth under Section 423 of the Code, then the Plan shall be deemed to be amended to accomplish the objectives of the terms as originally written to the fullest extent permitted by law and in compliance with Section 423 of the Code. </w:t>
      </w:r>
    </w:p>
    <w:p>
      <w:pPr>
        <w:pStyle w:val="TextBody"/>
        <w:bidi w:val="0"/>
        <w:spacing w:before="240" w:after="0"/>
        <w:jc w:val="both"/>
        <w:rPr>
          <w:rFonts w:ascii="Times New Roman" w:hAnsi="Times New Roman"/>
          <w:sz w:val="20"/>
        </w:rPr>
      </w:pPr>
      <w:r>
        <w:rPr>
          <w:rFonts w:ascii="Times New Roman" w:hAnsi="Times New Roman"/>
          <w:sz w:val="20"/>
        </w:rPr>
        <w:t>2.33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both"/>
        <w:rPr>
          <w:rFonts w:ascii="Times New Roman" w:hAnsi="Times New Roman"/>
          <w:sz w:val="20"/>
        </w:rPr>
      </w:pPr>
      <w:r>
        <w:rPr>
          <w:rFonts w:ascii="Times New Roman" w:hAnsi="Times New Roman"/>
          <w:sz w:val="20"/>
        </w:rPr>
        <w:t>2.34 </w:t>
      </w:r>
      <w:r>
        <w:rPr>
          <w:rFonts w:ascii="Times New Roman" w:hAnsi="Times New Roman"/>
          <w:b/>
          <w:i/>
          <w:sz w:val="20"/>
        </w:rPr>
        <w:t>Share</w:t>
      </w:r>
      <w:r>
        <w:rPr>
          <w:rFonts w:ascii="Times New Roman" w:hAnsi="Times New Roman"/>
          <w:sz w:val="20"/>
        </w:rPr>
        <w:t xml:space="preserve"> means a share of Common Stock. </w:t>
      </w:r>
    </w:p>
    <w:p>
      <w:pPr>
        <w:pStyle w:val="TextBody"/>
        <w:bidi w:val="0"/>
        <w:spacing w:before="240" w:after="0"/>
        <w:jc w:val="both"/>
        <w:rPr>
          <w:rFonts w:ascii="Times New Roman" w:hAnsi="Times New Roman"/>
          <w:sz w:val="20"/>
        </w:rPr>
      </w:pPr>
      <w:r>
        <w:rPr>
          <w:rFonts w:ascii="Times New Roman" w:hAnsi="Times New Roman"/>
          <w:sz w:val="20"/>
        </w:rPr>
        <w:t>2.35 </w:t>
      </w:r>
      <w:r>
        <w:rPr>
          <w:rFonts w:ascii="Times New Roman" w:hAnsi="Times New Roman"/>
          <w:b/>
          <w:i/>
          <w:sz w:val="20"/>
        </w:rPr>
        <w:t>Subsidiary</w:t>
      </w:r>
      <w:r>
        <w:rPr>
          <w:rFonts w:ascii="Times New Roman" w:hAnsi="Times New Roman"/>
          <w:sz w:val="20"/>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hAnsi="Times New Roman"/>
          <w:sz w:val="20"/>
          <w:u w:val="single"/>
        </w:rPr>
        <w:t>provided</w:t>
      </w:r>
      <w:r>
        <w:rPr>
          <w:rFonts w:ascii="Times New Roman" w:hAnsi="Times New Roman"/>
          <w:sz w:val="20"/>
        </w:rPr>
        <w:t xml:space="preserve">, however, that a limited liability company or partnership may be treated as a Subsidiary to the extent either (a) such entity is treated as a disregarded entity under Treas. Reg. Section 301.7701-3(a) by reason of the Company or any other Subsidiary that is a corporation being the sole owner of such entity, or (b) such entity elects to be classified as a corporation under Treas. Reg.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that constitutes a parent or subsidiary of the Company for purposes of Form S-8 of the Securities Act and whose employees are eligible to be offered securities registrable on Form S-8 of the Securities Act. </w:t>
      </w:r>
    </w:p>
    <w:p>
      <w:pPr>
        <w:pStyle w:val="TextBody"/>
        <w:bidi w:val="0"/>
        <w:spacing w:before="240" w:after="0"/>
        <w:jc w:val="both"/>
        <w:rPr>
          <w:rFonts w:ascii="Times New Roman" w:hAnsi="Times New Roman"/>
          <w:sz w:val="20"/>
        </w:rPr>
      </w:pPr>
      <w:r>
        <w:rPr>
          <w:rFonts w:ascii="Times New Roman" w:hAnsi="Times New Roman"/>
          <w:sz w:val="20"/>
        </w:rPr>
        <w:t>2.36 </w:t>
      </w:r>
      <w:r>
        <w:rPr>
          <w:rFonts w:ascii="Times New Roman" w:hAnsi="Times New Roman"/>
          <w:b/>
          <w:i/>
          <w:sz w:val="20"/>
        </w:rPr>
        <w:t>Trading Day</w:t>
      </w:r>
      <w:r>
        <w:rPr>
          <w:rFonts w:ascii="Times New Roman" w:hAnsi="Times New Roman"/>
          <w:sz w:val="20"/>
        </w:rPr>
        <w:t xml:space="preserve"> means a day on which national stock exchanges in the United States are open for trading. </w:t>
      </w:r>
    </w:p>
    <w:p>
      <w:pPr>
        <w:pStyle w:val="TextBody"/>
        <w:bidi w:val="0"/>
        <w:spacing w:before="240" w:after="0"/>
        <w:jc w:val="both"/>
        <w:rPr>
          <w:rFonts w:ascii="Times New Roman" w:hAnsi="Times New Roman"/>
          <w:sz w:val="20"/>
        </w:rPr>
      </w:pPr>
      <w:r>
        <w:rPr>
          <w:rFonts w:ascii="Times New Roman" w:hAnsi="Times New Roman"/>
          <w:sz w:val="20"/>
        </w:rPr>
        <w:t>2.37 </w:t>
      </w:r>
      <w:r>
        <w:rPr>
          <w:rFonts w:ascii="Times New Roman" w:hAnsi="Times New Roman"/>
          <w:b/>
          <w:i/>
          <w:sz w:val="20"/>
        </w:rPr>
        <w:t>Treas. Reg.</w:t>
      </w:r>
      <w:r>
        <w:rPr>
          <w:rFonts w:ascii="Times New Roman" w:hAnsi="Times New Roman"/>
          <w:sz w:val="20"/>
        </w:rPr>
        <w:t xml:space="preserve"> means U.S. Department of the Treasury regulations.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SHARES SUBJECT TO THE PLAN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Number of Shares</w:t>
      </w:r>
      <w:r>
        <w:rPr>
          <w:rFonts w:ascii="Times New Roman" w:hAnsi="Times New Roman"/>
          <w:sz w:val="20"/>
        </w:rPr>
        <w:t xml:space="preserve">. Subject to Article VIII, the aggregate number of Shares that may be issued pursuant to rights granted under the Plan shall be equal to 1% of the aggregate number of Pricing Date Fully-Diluted Shares. In addition to the foregoing, subject to Article VIII, on the first day of each calendar year beginning on January 1, 2025 and ending on and including January 1, 2034, the number of Shares available for issuance under the Plan shall be increased by that number of Shares equal to the lesser of (a) 1% of the aggregate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the Company outstanding on the final day of the immediately preceding calendar year and (b) such smaller number of Shares as determined by the Administrator.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100,000,000 Shares, subject to Article VIII. All or any portion of such maximum number of Shares may be issued under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Shares Distributed</w:t>
      </w:r>
      <w:r>
        <w:rPr>
          <w:rFonts w:ascii="Times New Roman" w:hAnsi="Times New Roman"/>
          <w:sz w:val="20"/>
        </w:rPr>
        <w:t xml:space="preserve">. Any Shares distributed pursuant to the Plan may consist, in whole or in part, of authorized and unissued Shares, treasury shares or Shares purchased on the open market.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PERIODS; OFFERING DOCUMENTS; PURCHASE DATES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Offering Periods</w:t>
      </w:r>
      <w:r>
        <w:rPr>
          <w:rFonts w:ascii="Times New Roman" w:hAnsi="Times New Roman"/>
          <w:sz w:val="20"/>
        </w:rPr>
        <w:t>. The Administrator may from time to time grant or provide for the grant of rights to purchase Shares under the Plan to Eligible Participants during one or more periods (each, an </w:t>
      </w:r>
      <w:r>
        <w:rPr>
          <w:rFonts w:ascii="Times New Roman" w:hAnsi="Times New Roman"/>
          <w:b/>
          <w:i/>
          <w:sz w:val="20"/>
        </w:rPr>
        <w:t>Offering Period</w:t>
      </w:r>
      <w:r>
        <w:rPr>
          <w:rFonts w:ascii="Times New Roman" w:hAnsi="Times New Roman"/>
          <w:sz w:val="20"/>
        </w:rPr>
        <w:t>) selected by the Administrator. The terms and conditions applicable to each Offering Period shall be set forth in an </w:t>
      </w:r>
      <w:r>
        <w:rPr>
          <w:rFonts w:ascii="Times New Roman" w:hAnsi="Times New Roman"/>
          <w:b/>
          <w:i/>
          <w:sz w:val="20"/>
        </w:rPr>
        <w:t>Offering Document</w:t>
      </w:r>
      <w:r>
        <w:rPr>
          <w:rFonts w:ascii="Times New Roman" w:hAnsi="Times New Roman"/>
          <w:sz w:val="20"/>
        </w:rPr>
        <w:t xml:space="preserve">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need not be identical.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Offering Documents</w:t>
      </w:r>
      <w:r>
        <w:rPr>
          <w:rFonts w:ascii="Times New Roman" w:hAnsi="Times New Roman"/>
          <w:sz w:val="20"/>
        </w:rPr>
        <w:t xml:space="preserve">. Each Offering Document with respect to an Offering Period shall specify (through incorporation of the provisions of this Plan by reference or otherwise): </w:t>
      </w:r>
    </w:p>
    <w:p>
      <w:pPr>
        <w:pStyle w:val="TextBody"/>
        <w:bidi w:val="0"/>
        <w:spacing w:before="120" w:after="0"/>
        <w:jc w:val="both"/>
        <w:rPr>
          <w:rFonts w:ascii="Times New Roman" w:hAnsi="Times New Roman"/>
          <w:sz w:val="20"/>
        </w:rPr>
      </w:pPr>
      <w:r>
        <w:rPr>
          <w:rFonts w:ascii="Times New Roman" w:hAnsi="Times New Roman"/>
          <w:sz w:val="20"/>
        </w:rPr>
        <w:t xml:space="preserve">(a) the length of the Offering Period, which period shall not exceed twenty-seven (27) months; </w:t>
      </w:r>
    </w:p>
    <w:p>
      <w:pPr>
        <w:pStyle w:val="TextBody"/>
        <w:bidi w:val="0"/>
        <w:spacing w:before="120" w:after="0"/>
        <w:jc w:val="both"/>
        <w:rPr>
          <w:rFonts w:ascii="Times New Roman" w:hAnsi="Times New Roman"/>
          <w:sz w:val="20"/>
        </w:rPr>
      </w:pPr>
      <w:r>
        <w:rPr>
          <w:rFonts w:ascii="Times New Roman" w:hAnsi="Times New Roman"/>
          <w:sz w:val="20"/>
        </w:rPr>
        <w:t xml:space="preserve">(b) the length of the Purchase Period(s) within the Offering Period; </w:t>
      </w:r>
    </w:p>
    <w:p>
      <w:pPr>
        <w:pStyle w:val="TextBody"/>
        <w:bidi w:val="0"/>
        <w:spacing w:before="120" w:after="0"/>
        <w:jc w:val="both"/>
        <w:rPr>
          <w:rFonts w:ascii="Times New Roman" w:hAnsi="Times New Roman"/>
          <w:sz w:val="20"/>
        </w:rPr>
      </w:pPr>
      <w:r>
        <w:rPr>
          <w:rFonts w:ascii="Times New Roman" w:hAnsi="Times New Roman"/>
          <w:sz w:val="20"/>
        </w:rPr>
        <w:t xml:space="preserve">(c) the maximum number of Shares that may be purchased by any Eligible Participant during such Offering Period, which, in the absence of a contrary designation by the Administrator, shall be 100,000 Shares; </w:t>
      </w:r>
    </w:p>
    <w:p>
      <w:pPr>
        <w:pStyle w:val="TextBody"/>
        <w:bidi w:val="0"/>
        <w:spacing w:before="120" w:after="0"/>
        <w:jc w:val="both"/>
        <w:rPr>
          <w:rFonts w:ascii="Times New Roman" w:hAnsi="Times New Roman"/>
          <w:sz w:val="20"/>
        </w:rPr>
      </w:pPr>
      <w:r>
        <w:rPr>
          <w:rFonts w:ascii="Times New Roman" w:hAnsi="Times New Roman"/>
          <w:sz w:val="20"/>
        </w:rPr>
        <w:t xml:space="preserve">(d) in connection with each Offering Period that contains more than one Purchase Period, the maximum aggregate number of shares which may be purchased by any Eligible Participant during each Purchase Period, which, in the absence of a contrary designation by the Administrator, shall be 100,000 Shares; and </w:t>
      </w:r>
    </w:p>
    <w:p>
      <w:pPr>
        <w:pStyle w:val="TextBody"/>
        <w:bidi w:val="0"/>
        <w:spacing w:before="120" w:after="0"/>
        <w:jc w:val="both"/>
        <w:rPr>
          <w:rFonts w:ascii="Times New Roman" w:hAnsi="Times New Roman"/>
          <w:sz w:val="20"/>
        </w:rPr>
      </w:pPr>
      <w:r>
        <w:rPr>
          <w:rFonts w:ascii="Times New Roman" w:hAnsi="Times New Roman"/>
          <w:sz w:val="20"/>
        </w:rPr>
        <w:t xml:space="preserve">(e) such other provisions as the Administrator determines are appropriate, subject to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AND PARTICIPATION </w:t>
      </w:r>
    </w:p>
    <w:p>
      <w:pPr>
        <w:pStyle w:val="TextBody"/>
        <w:bidi w:val="0"/>
        <w:spacing w:before="240" w:after="0"/>
        <w:jc w:val="both"/>
        <w:rPr>
          <w:rFonts w:ascii="Times New Roman" w:hAnsi="Times New Roman"/>
          <w:sz w:val="20"/>
        </w:rPr>
      </w:pPr>
      <w:r>
        <w:rPr>
          <w:rFonts w:ascii="Times New Roman" w:hAnsi="Times New Roman"/>
          <w:sz w:val="20"/>
        </w:rPr>
        <w:t xml:space="preserve">5.1 </w:t>
      </w:r>
      <w:r>
        <w:rPr>
          <w:rFonts w:ascii="Times New Roman" w:hAnsi="Times New Roman"/>
          <w:sz w:val="20"/>
          <w:u w:val="single"/>
        </w:rPr>
        <w:t>Eligibility</w:t>
      </w:r>
      <w:r>
        <w:rPr>
          <w:rFonts w:ascii="Times New Roman" w:hAnsi="Times New Roman"/>
          <w:sz w:val="20"/>
        </w:rPr>
        <w:t xml:space="preserve">. Any Eligible Employee who shall be employed by the Company or a Designated Subsidiary on a given Enrollment Date for an Offering Period shall be eligible to participate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Plan during such Offering Period, subject to the requirements of this Article V and, for the Section 423 Component, the limitations imposed by Section 423(b) of the Code. Any Eligible Non-Employee Service Provider who is engaged by the Company or a Designated Subsidiary, including, without limitation, through a professional employer organization, on a given Enrollment Date for an Offering Period, may be eligible to participate in the Non-Section 423 Component of the Plan during such Offering Period, subject to the requirements of this Article V. </w:t>
      </w:r>
    </w:p>
    <w:p>
      <w:pPr>
        <w:pStyle w:val="TextBody"/>
        <w:bidi w:val="0"/>
        <w:spacing w:before="240" w:after="0"/>
        <w:jc w:val="both"/>
        <w:rPr>
          <w:rFonts w:ascii="Times New Roman" w:hAnsi="Times New Roman"/>
          <w:sz w:val="20"/>
        </w:rPr>
      </w:pPr>
      <w:r>
        <w:rPr>
          <w:rFonts w:ascii="Times New Roman" w:hAnsi="Times New Roman"/>
          <w:sz w:val="20"/>
        </w:rPr>
        <w:t xml:space="preserve">5.2 </w:t>
      </w:r>
      <w:r>
        <w:rPr>
          <w:rFonts w:ascii="Times New Roman" w:hAnsi="Times New Roman"/>
          <w:sz w:val="20"/>
          <w:u w:val="single"/>
        </w:rPr>
        <w:t>Enrollment in Plan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Except as otherwise set forth in an Offering Document or determined by the Administrator, an Eligible Participant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 </w:t>
      </w:r>
    </w:p>
    <w:p>
      <w:pPr>
        <w:pStyle w:val="TextBody"/>
        <w:bidi w:val="0"/>
        <w:spacing w:before="120" w:after="0"/>
        <w:jc w:val="both"/>
        <w:rPr>
          <w:rFonts w:ascii="Times New Roman" w:hAnsi="Times New Roman"/>
          <w:sz w:val="20"/>
        </w:rPr>
      </w:pPr>
      <w:r>
        <w:rPr>
          <w:rFonts w:ascii="Times New Roman" w:hAnsi="Times New Roman"/>
          <w:sz w:val="20"/>
        </w:rPr>
        <w:t xml:space="preserve">(b) Except as otherwise determined by the Administrator, each subscription agreement shall designate a whole percentage of such Eligible Participants Compensation to be withheld by the Company or the Designated Subsidiary employing such Eligible Participant on each Payday during the Offering Period as payroll or fee deductions under the Plan. The percentage of Compensation designated by an Eligible Participant may not be less than 1% and may not be more than the maximum percentage specified by the Administrator in the applicable Offering Document (which percentage shall be 15% in the absence of any such designation) as payroll or fee deductions. The payroll or fee deductions made for each Participant shall be credited to an account for such Participant under the Plan and shall be deposited with the general funds of the Company. </w:t>
      </w:r>
    </w:p>
    <w:p>
      <w:pPr>
        <w:pStyle w:val="TextBody"/>
        <w:bidi w:val="0"/>
        <w:spacing w:before="120" w:after="0"/>
        <w:jc w:val="both"/>
        <w:rPr>
          <w:rFonts w:ascii="Times New Roman" w:hAnsi="Times New Roman"/>
          <w:sz w:val="20"/>
        </w:rPr>
      </w:pPr>
      <w:r>
        <w:rPr>
          <w:rFonts w:ascii="Times New Roman" w:hAnsi="Times New Roman"/>
          <w:sz w:val="20"/>
        </w:rPr>
        <w:t xml:space="preserve">(c) A Participant may increase or decrease the percentage of Compensation designated in his or her subscription agreement, subject to the limits of this Section 5.2, or may suspend his or her payroll or fee deductions, at any time during an Offering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Administrator may limit the number of changes a Participant may make to his or her payroll or fee deduction elections during each Purchase Period in the applicable Offering Document (and in the absence of any specific designation by the Administrator, a Participant shall be allowed to decrease (but not increase) or suspend his or her payroll or fee deduction elections one time during each Purchase Period). Any such change or suspension of payroll or fee deductions shall be effective with the first full payroll or fee accrual period following five (5) business days after the Companys receipt of the new subscription agreement (or such shorter or longer period as may be specified by the Administrator in the applicable Offering Document). In the event a Participant suspends his or her payroll or fee deductions, such Participants cumulative payroll or fee deductions prior to the suspension shall remain in his or her account and shall be applied to the purchase of Shares on the next occurring Purchase Date and shall not be paid to such Participant unless he or she withdraws from participation in the Plan pursuant to Article VII. </w:t>
      </w:r>
    </w:p>
    <w:p>
      <w:pPr>
        <w:pStyle w:val="TextBody"/>
        <w:bidi w:val="0"/>
        <w:spacing w:before="120" w:after="0"/>
        <w:jc w:val="both"/>
        <w:rPr>
          <w:rFonts w:ascii="Times New Roman" w:hAnsi="Times New Roman"/>
          <w:sz w:val="20"/>
        </w:rPr>
      </w:pPr>
      <w:r>
        <w:rPr>
          <w:rFonts w:ascii="Times New Roman" w:hAnsi="Times New Roman"/>
          <w:sz w:val="20"/>
        </w:rPr>
        <w:t xml:space="preserve">(d) Except as otherwise set forth in an Offering Document or determined by the Administrator, a Participant may participate in the Plan only by means of payroll or fee deduction and may not make contributions by lump sum payment for any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5.3 </w:t>
      </w:r>
      <w:r>
        <w:rPr>
          <w:rFonts w:ascii="Times New Roman" w:hAnsi="Times New Roman"/>
          <w:sz w:val="20"/>
          <w:u w:val="single"/>
        </w:rPr>
        <w:t>Payroll and Fee Deductions</w:t>
      </w:r>
      <w:r>
        <w:rPr>
          <w:rFonts w:ascii="Times New Roman" w:hAnsi="Times New Roman"/>
          <w:sz w:val="20"/>
        </w:rPr>
        <w:t xml:space="preserve">. Except as otherwise provided in the applicable Offering Document or determined by the Administrator, payroll or fee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or fee deductions is prohibited, the Administrator may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that an Eligible Participant may elect to participate through contributions to the Participants account under the Plan in a form acceptable to the Administrator in lieu of or in addition to payroll or fee deductions; provided, however, that, for any Offering under the Section 423 Component, the Administrator shall take into consideration any limitations under Section 423 of the Code when applying an alternative method of contribution. </w:t>
      </w:r>
    </w:p>
    <w:p>
      <w:pPr>
        <w:pStyle w:val="TextBody"/>
        <w:bidi w:val="0"/>
        <w:spacing w:before="240" w:after="0"/>
        <w:jc w:val="both"/>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Enrollment</w:t>
      </w:r>
      <w:r>
        <w:rPr>
          <w:rFonts w:ascii="Times New Roman" w:hAnsi="Times New Roman"/>
          <w:sz w:val="20"/>
        </w:rPr>
        <w:t xml:space="preserve">.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 </w:t>
      </w:r>
    </w:p>
    <w:p>
      <w:pPr>
        <w:pStyle w:val="TextBody"/>
        <w:bidi w:val="0"/>
        <w:spacing w:before="240" w:after="0"/>
        <w:jc w:val="both"/>
        <w:rPr>
          <w:rFonts w:ascii="Times New Roman" w:hAnsi="Times New Roman"/>
          <w:sz w:val="20"/>
        </w:rPr>
      </w:pPr>
      <w:r>
        <w:rPr>
          <w:rFonts w:ascii="Times New Roman" w:hAnsi="Times New Roman"/>
          <w:sz w:val="20"/>
        </w:rPr>
        <w:t xml:space="preserve">5.5 </w:t>
      </w:r>
      <w:r>
        <w:rPr>
          <w:rFonts w:ascii="Times New Roman" w:hAnsi="Times New Roman"/>
          <w:sz w:val="20"/>
          <w:u w:val="single"/>
        </w:rPr>
        <w:t>Limitation on Purchase of Shares</w:t>
      </w:r>
      <w:r>
        <w:rPr>
          <w:rFonts w:ascii="Times New Roman" w:hAnsi="Times New Roman"/>
          <w:sz w:val="20"/>
        </w:rPr>
        <w:t xml:space="preserve">.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 </w:t>
      </w:r>
    </w:p>
    <w:p>
      <w:pPr>
        <w:pStyle w:val="TextBody"/>
        <w:bidi w:val="0"/>
        <w:spacing w:before="240" w:after="0"/>
        <w:jc w:val="both"/>
        <w:rPr>
          <w:rFonts w:ascii="Times New Roman" w:hAnsi="Times New Roman"/>
          <w:sz w:val="20"/>
        </w:rPr>
      </w:pPr>
      <w:r>
        <w:rPr>
          <w:rFonts w:ascii="Times New Roman" w:hAnsi="Times New Roman"/>
          <w:sz w:val="20"/>
        </w:rPr>
        <w:t xml:space="preserve">5.6 </w:t>
      </w:r>
      <w:r>
        <w:rPr>
          <w:rFonts w:ascii="Times New Roman" w:hAnsi="Times New Roman"/>
          <w:sz w:val="20"/>
          <w:u w:val="single"/>
        </w:rPr>
        <w:t>Suspension of Payroll or Fee Deductions</w:t>
      </w:r>
      <w:r>
        <w:rPr>
          <w:rFonts w:ascii="Times New Roman" w:hAnsi="Times New Roman"/>
          <w:sz w:val="20"/>
        </w:rPr>
        <w:t xml:space="preserve">. Notwithstanding the foregoing, to the extent necessary to comply with Section 423(b)(8) of the Code and Section 5.5 (with respect to the Section 423 Component) or the other limitations set forth in this Plan, a Participants payroll or fee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 </w:t>
      </w:r>
    </w:p>
    <w:p>
      <w:pPr>
        <w:pStyle w:val="TextBody"/>
        <w:bidi w:val="0"/>
        <w:spacing w:before="240" w:after="0"/>
        <w:jc w:val="both"/>
        <w:rPr>
          <w:rFonts w:ascii="Times New Roman" w:hAnsi="Times New Roman"/>
          <w:sz w:val="20"/>
        </w:rPr>
      </w:pPr>
      <w:r>
        <w:rPr>
          <w:rFonts w:ascii="Times New Roman" w:hAnsi="Times New Roman"/>
          <w:sz w:val="20"/>
        </w:rPr>
        <w:t xml:space="preserve">5.7 </w:t>
      </w:r>
      <w:r>
        <w:rPr>
          <w:rFonts w:ascii="Times New Roman" w:hAnsi="Times New Roman"/>
          <w:sz w:val="20"/>
          <w:u w:val="single"/>
        </w:rPr>
        <w:t>Foreign Participants</w:t>
      </w:r>
      <w:r>
        <w:rPr>
          <w:rFonts w:ascii="Times New Roman" w:hAnsi="Times New Roman"/>
          <w:sz w:val="20"/>
        </w:rPr>
        <w:t xml:space="preserve">.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or fee deductions or other contributions by Participants, payment of interest, conversion of local currency, data privacy security, payroll tax, withholding procedures, establishment of bank or trust accounts to hold payroll or fee deductions or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GRANT AND EXERCISE OF RIGHTS </w:t>
      </w:r>
    </w:p>
    <w:p>
      <w:pPr>
        <w:pStyle w:val="TextBody"/>
        <w:bidi w:val="0"/>
        <w:spacing w:before="240" w:after="0"/>
        <w:jc w:val="both"/>
        <w:rPr>
          <w:rFonts w:ascii="Times New Roman" w:hAnsi="Times New Roman"/>
          <w:sz w:val="20"/>
        </w:rPr>
      </w:pPr>
      <w:r>
        <w:rPr>
          <w:rFonts w:ascii="Times New Roman" w:hAnsi="Times New Roman"/>
          <w:sz w:val="20"/>
        </w:rPr>
        <w:t xml:space="preserve">6.1 </w:t>
      </w:r>
      <w:r>
        <w:rPr>
          <w:rFonts w:ascii="Times New Roman" w:hAnsi="Times New Roman"/>
          <w:sz w:val="20"/>
          <w:u w:val="single"/>
        </w:rPr>
        <w:t>Grant of Rights</w:t>
      </w:r>
      <w:r>
        <w:rPr>
          <w:rFonts w:ascii="Times New Roman" w:hAnsi="Times New Roman"/>
          <w:sz w:val="20"/>
        </w:rPr>
        <w:t xml:space="preserve">. On the Enrollment Date of each Offering Period, each Eligible Participant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or fee deductions accumulated prior to such Purchase Date and retained in the Participants account as of the Purchase Date, by (b) 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 </w:t>
      </w:r>
    </w:p>
    <w:p>
      <w:pPr>
        <w:pStyle w:val="TextBody"/>
        <w:bidi w:val="0"/>
        <w:spacing w:before="240" w:after="0"/>
        <w:jc w:val="both"/>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of Rights</w:t>
      </w:r>
      <w:r>
        <w:rPr>
          <w:rFonts w:ascii="Times New Roman" w:hAnsi="Times New Roman"/>
          <w:sz w:val="20"/>
        </w:rPr>
        <w:t xml:space="preserve">. On each Purchase Date, each Participants accumulated payroll or fee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unless the Administrator provides that such amounts should be returned to the Participant in one lump sum payment in a subsequent check. Shares issued pursuant to the Plan may be evidenced in such manner as the Administrator may determine and may be issued in certificated form or issued pursuant to book-entry procedures. </w:t>
      </w:r>
    </w:p>
    <w:p>
      <w:pPr>
        <w:pStyle w:val="TextBody"/>
        <w:bidi w:val="0"/>
        <w:spacing w:before="240" w:after="0"/>
        <w:jc w:val="both"/>
        <w:rPr>
          <w:rFonts w:ascii="Times New Roman" w:hAnsi="Times New Roman"/>
          <w:sz w:val="20"/>
        </w:rPr>
      </w:pPr>
      <w:r>
        <w:rPr>
          <w:rFonts w:ascii="Times New Roman" w:hAnsi="Times New Roman"/>
          <w:sz w:val="20"/>
        </w:rPr>
        <w:t xml:space="preserve">6.3 </w:t>
      </w:r>
      <w:r>
        <w:rPr>
          <w:rFonts w:ascii="Times New Roman" w:hAnsi="Times New Roman"/>
          <w:sz w:val="20"/>
          <w:u w:val="single"/>
        </w:rPr>
        <w:t>Pro Rata Allocation of Shares</w:t>
      </w:r>
      <w:r>
        <w:rPr>
          <w:rFonts w:ascii="Times New Roman" w:hAnsi="Times New Roman"/>
          <w:sz w:val="20"/>
        </w:rPr>
        <w:t xml:space="preserve">.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6.4 </w:t>
      </w:r>
      <w:r>
        <w:rPr>
          <w:rFonts w:ascii="Times New Roman" w:hAnsi="Times New Roman"/>
          <w:sz w:val="20"/>
          <w:u w:val="single"/>
        </w:rPr>
        <w:t>Withholding</w:t>
      </w:r>
      <w:r>
        <w:rPr>
          <w:rFonts w:ascii="Times New Roman" w:hAnsi="Times New Roman"/>
          <w:sz w:val="20"/>
        </w:rPr>
        <w:t xml:space="preserve">.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6.5 </w:t>
      </w:r>
      <w:r>
        <w:rPr>
          <w:rFonts w:ascii="Times New Roman" w:hAnsi="Times New Roman"/>
          <w:sz w:val="20"/>
          <w:u w:val="single"/>
        </w:rPr>
        <w:t xml:space="preserve">Conditions to Issuance of </w:t>
      </w:r>
      <w:r>
        <w:rPr>
          <w:rFonts w:ascii="Times New Roman" w:hAnsi="Times New Roman"/>
          <w:sz w:val="20"/>
        </w:rPr>
        <w:t xml:space="preserve">6.6 </w:t>
      </w:r>
      <w:r>
        <w:rPr>
          <w:rFonts w:ascii="Times New Roman" w:hAnsi="Times New Roman"/>
          <w:sz w:val="20"/>
          <w:u w:val="single"/>
        </w:rPr>
        <w:t>Shares</w:t>
      </w:r>
      <w:r>
        <w:rPr>
          <w:rFonts w:ascii="Times New Roman" w:hAnsi="Times New Roman"/>
          <w:sz w:val="20"/>
        </w:rPr>
        <w:t xml:space="preserve">.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WITHDRAWAL; CESSATION OF ELIGIBILITY </w:t>
      </w:r>
    </w:p>
    <w:p>
      <w:pPr>
        <w:pStyle w:val="TextBody"/>
        <w:bidi w:val="0"/>
        <w:spacing w:before="240" w:after="0"/>
        <w:jc w:val="both"/>
        <w:rPr>
          <w:rFonts w:ascii="Times New Roman" w:hAnsi="Times New Roman"/>
          <w:sz w:val="20"/>
        </w:rPr>
      </w:pPr>
      <w:r>
        <w:rPr>
          <w:rFonts w:ascii="Times New Roman" w:hAnsi="Times New Roman"/>
          <w:sz w:val="20"/>
        </w:rPr>
        <w:t xml:space="preserve">7.1 </w:t>
      </w:r>
      <w:r>
        <w:rPr>
          <w:rFonts w:ascii="Times New Roman" w:hAnsi="Times New Roman"/>
          <w:sz w:val="20"/>
          <w:u w:val="single"/>
        </w:rPr>
        <w:t>Withdrawal</w:t>
      </w:r>
      <w:r>
        <w:rPr>
          <w:rFonts w:ascii="Times New Roman" w:hAnsi="Times New Roman"/>
          <w:sz w:val="20"/>
        </w:rPr>
        <w:t xml:space="preserve">. A Participant may withdraw all but not less than all of the payroll and fee deductions credited to his or her account and not yet used to exercise his or her rights under the Plan at any time by giving written notice to the Company in a form acceptable to the Company no later than one (1) week prior to the end of the Offering Period (or such shorter or longer period as may be specified by the Administrator in the applicable Offering Document). All of the Participants payroll and fee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or fee deductions for the purchase of Shares shall be made for such Offering Period. If a Participant withdraws from an Offering Period, payroll or fee deductions shall not resume at the beginning of the next Offering Period unless the Participant is an Eligible Participant and timely delivers to the Company a new subscription agreement. </w:t>
      </w:r>
    </w:p>
    <w:p>
      <w:pPr>
        <w:pStyle w:val="TextBody"/>
        <w:bidi w:val="0"/>
        <w:spacing w:before="240" w:after="0"/>
        <w:jc w:val="both"/>
        <w:rPr>
          <w:rFonts w:ascii="Times New Roman" w:hAnsi="Times New Roman"/>
          <w:sz w:val="20"/>
        </w:rPr>
      </w:pPr>
      <w:r>
        <w:rPr>
          <w:rFonts w:ascii="Times New Roman" w:hAnsi="Times New Roman"/>
          <w:sz w:val="20"/>
        </w:rPr>
        <w:t xml:space="preserve">7.2 </w:t>
      </w:r>
      <w:r>
        <w:rPr>
          <w:rFonts w:ascii="Times New Roman" w:hAnsi="Times New Roman"/>
          <w:sz w:val="20"/>
          <w:u w:val="single"/>
        </w:rPr>
        <w:t>Future Participation</w:t>
      </w:r>
      <w:r>
        <w:rPr>
          <w:rFonts w:ascii="Times New Roman" w:hAnsi="Times New Roman"/>
          <w:sz w:val="20"/>
        </w:rPr>
        <w:t xml:space="preserve">.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 </w:t>
      </w:r>
    </w:p>
    <w:p>
      <w:pPr>
        <w:pStyle w:val="TextBody"/>
        <w:bidi w:val="0"/>
        <w:spacing w:before="240" w:after="0"/>
        <w:jc w:val="both"/>
        <w:rPr>
          <w:rFonts w:ascii="Times New Roman" w:hAnsi="Times New Roman"/>
          <w:sz w:val="20"/>
        </w:rPr>
      </w:pPr>
      <w:r>
        <w:rPr>
          <w:rFonts w:ascii="Times New Roman" w:hAnsi="Times New Roman"/>
          <w:sz w:val="20"/>
        </w:rPr>
        <w:t xml:space="preserve">7.3 </w:t>
      </w:r>
      <w:r>
        <w:rPr>
          <w:rFonts w:ascii="Times New Roman" w:hAnsi="Times New Roman"/>
          <w:sz w:val="20"/>
          <w:u w:val="single"/>
        </w:rPr>
        <w:t>Cessation of Eligibility</w:t>
      </w:r>
      <w:r>
        <w:rPr>
          <w:rFonts w:ascii="Times New Roman" w:hAnsi="Times New Roman"/>
          <w:sz w:val="20"/>
        </w:rPr>
        <w:t xml:space="preserve">. Upon a Participants ceasing to be an Eligible Participant for any reason, he or she shall be deemed to have elected to withdraw from the Plan pursuant to this Article VII and the payroll and fee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ADJUSTMENTS UPON CHANGES IN SHARES </w:t>
      </w:r>
    </w:p>
    <w:p>
      <w:pPr>
        <w:pStyle w:val="TextBody"/>
        <w:bidi w:val="0"/>
        <w:spacing w:before="240" w:after="0"/>
        <w:jc w:val="both"/>
        <w:rPr>
          <w:rFonts w:ascii="Times New Roman" w:hAnsi="Times New Roman"/>
          <w:sz w:val="20"/>
        </w:rPr>
      </w:pPr>
      <w:r>
        <w:rPr>
          <w:rFonts w:ascii="Times New Roman" w:hAnsi="Times New Roman"/>
          <w:sz w:val="20"/>
        </w:rPr>
        <w:t xml:space="preserve">8.1 </w:t>
      </w:r>
      <w:r>
        <w:rPr>
          <w:rFonts w:ascii="Times New Roman" w:hAnsi="Times New Roman"/>
          <w:sz w:val="20"/>
          <w:u w:val="single"/>
        </w:rPr>
        <w:t>Changes in Capitalization</w:t>
      </w:r>
      <w:r>
        <w:rPr>
          <w:rFonts w:ascii="Times New Roman" w:hAnsi="Times New Roman"/>
          <w:sz w:val="20"/>
        </w:rPr>
        <w:t xml:space="preserve">.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 </w:t>
      </w:r>
    </w:p>
    <w:p>
      <w:pPr>
        <w:pStyle w:val="TextBody"/>
        <w:bidi w:val="0"/>
        <w:spacing w:before="240" w:after="0"/>
        <w:jc w:val="both"/>
        <w:rPr>
          <w:rFonts w:ascii="Times New Roman" w:hAnsi="Times New Roman"/>
          <w:sz w:val="20"/>
        </w:rPr>
      </w:pPr>
      <w:r>
        <w:rPr>
          <w:rFonts w:ascii="Times New Roman" w:hAnsi="Times New Roman"/>
          <w:sz w:val="20"/>
        </w:rPr>
        <w:t xml:space="preserve">8.2 </w:t>
      </w:r>
      <w:r>
        <w:rPr>
          <w:rFonts w:ascii="Times New Roman" w:hAnsi="Times New Roman"/>
          <w:sz w:val="20"/>
          <w:u w:val="single"/>
        </w:rPr>
        <w:t>Other Adjustments</w:t>
      </w:r>
      <w:r>
        <w:rPr>
          <w:rFonts w:ascii="Times New Roman" w:hAnsi="Times New Roman"/>
          <w:sz w:val="20"/>
        </w:rPr>
        <w:t xml:space="preserve">.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 </w:t>
      </w:r>
    </w:p>
    <w:p>
      <w:pPr>
        <w:pStyle w:val="TextBody"/>
        <w:bidi w:val="0"/>
        <w:spacing w:before="120" w:after="0"/>
        <w:jc w:val="both"/>
        <w:rPr>
          <w:rFonts w:ascii="Times New Roman" w:hAnsi="Times New Roman"/>
          <w:sz w:val="20"/>
        </w:rPr>
      </w:pPr>
      <w:r>
        <w:rPr>
          <w:rFonts w:ascii="Times New Roman" w:hAnsi="Times New Roman"/>
          <w:sz w:val="20"/>
        </w:rPr>
        <w:t xml:space="preserve">(a)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 </w:t>
      </w:r>
    </w:p>
    <w:p>
      <w:pPr>
        <w:pStyle w:val="TextBody"/>
        <w:bidi w:val="0"/>
        <w:spacing w:before="120" w:after="0"/>
        <w:jc w:val="both"/>
        <w:rPr>
          <w:rFonts w:ascii="Times New Roman" w:hAnsi="Times New Roman"/>
          <w:sz w:val="20"/>
        </w:rPr>
      </w:pPr>
      <w:r>
        <w:rPr>
          <w:rFonts w:ascii="Times New Roman" w:hAnsi="Times New Roman"/>
          <w:sz w:val="20"/>
        </w:rPr>
        <w:t xml:space="preserve">(b)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w:t>
      </w:r>
    </w:p>
    <w:p>
      <w:pPr>
        <w:pStyle w:val="TextBody"/>
        <w:bidi w:val="0"/>
        <w:spacing w:before="120" w:after="0"/>
        <w:jc w:val="both"/>
        <w:rPr>
          <w:rFonts w:ascii="Times New Roman" w:hAnsi="Times New Roman"/>
          <w:sz w:val="20"/>
        </w:rPr>
      </w:pPr>
      <w:r>
        <w:rPr>
          <w:rFonts w:ascii="Times New Roman" w:hAnsi="Times New Roman"/>
          <w:sz w:val="20"/>
        </w:rPr>
        <w:t xml:space="preserve">(c) To make adjustments in the number and type of Shares (or other securities or property) subject to outstanding rights under the Plan and/or in the terms and conditions of outstanding rights and rights that may be granted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To provide that Participants accumulated payroll or fee deductions may be used to purchase Shares prior to the next occurring Purchase Date on such date as the Administrator determines in its sole discretion and the Participants rights under the ongoing Offering Period(s) shall be terminated; and </w:t>
      </w:r>
    </w:p>
    <w:p>
      <w:pPr>
        <w:pStyle w:val="TextBody"/>
        <w:bidi w:val="0"/>
        <w:spacing w:before="120" w:after="0"/>
        <w:jc w:val="both"/>
        <w:rPr>
          <w:rFonts w:ascii="Times New Roman" w:hAnsi="Times New Roman"/>
          <w:sz w:val="20"/>
        </w:rPr>
      </w:pPr>
      <w:r>
        <w:rPr>
          <w:rFonts w:ascii="Times New Roman" w:hAnsi="Times New Roman"/>
          <w:sz w:val="20"/>
        </w:rPr>
        <w:t xml:space="preserve">(e) To provide that all outstanding rights shall terminate without being exercised. </w:t>
      </w:r>
    </w:p>
    <w:p>
      <w:pPr>
        <w:pStyle w:val="TextBody"/>
        <w:bidi w:val="0"/>
        <w:spacing w:before="240" w:after="0"/>
        <w:jc w:val="both"/>
        <w:rPr>
          <w:rFonts w:ascii="Times New Roman" w:hAnsi="Times New Roman"/>
          <w:sz w:val="20"/>
        </w:rPr>
      </w:pPr>
      <w:r>
        <w:rPr>
          <w:rFonts w:ascii="Times New Roman" w:hAnsi="Times New Roman"/>
          <w:sz w:val="20"/>
        </w:rPr>
        <w:t xml:space="preserve">8.3 </w:t>
      </w:r>
      <w:r>
        <w:rPr>
          <w:rFonts w:ascii="Times New Roman" w:hAnsi="Times New Roman"/>
          <w:sz w:val="20"/>
          <w:u w:val="single"/>
        </w:rPr>
        <w:t>No Adjustment Under Certain Circumstances</w:t>
      </w:r>
      <w:r>
        <w:rPr>
          <w:rFonts w:ascii="Times New Roman" w:hAnsi="Times New Roman"/>
          <w:sz w:val="20"/>
        </w:rPr>
        <w:t xml:space="preserve">.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 </w:t>
      </w:r>
    </w:p>
    <w:p>
      <w:pPr>
        <w:pStyle w:val="TextBody"/>
        <w:bidi w:val="0"/>
        <w:spacing w:before="240" w:after="0"/>
        <w:jc w:val="both"/>
        <w:rPr>
          <w:rFonts w:ascii="Times New Roman" w:hAnsi="Times New Roman"/>
          <w:sz w:val="20"/>
        </w:rPr>
      </w:pPr>
      <w:r>
        <w:rPr>
          <w:rFonts w:ascii="Times New Roman" w:hAnsi="Times New Roman"/>
          <w:sz w:val="20"/>
        </w:rPr>
        <w:t xml:space="preserve">8.4 </w:t>
      </w:r>
      <w:r>
        <w:rPr>
          <w:rFonts w:ascii="Times New Roman" w:hAnsi="Times New Roman"/>
          <w:sz w:val="20"/>
          <w:u w:val="single"/>
        </w:rPr>
        <w:t>No Other Rights</w:t>
      </w:r>
      <w:r>
        <w:rPr>
          <w:rFonts w:ascii="Times New Roman" w:hAnsi="Times New Roman"/>
          <w:sz w:val="20"/>
        </w:rPr>
        <w:t xml:space="preserve">.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MODIFICATION AND TERMINATION </w:t>
      </w:r>
    </w:p>
    <w:p>
      <w:pPr>
        <w:pStyle w:val="TextBody"/>
        <w:bidi w:val="0"/>
        <w:spacing w:before="240" w:after="0"/>
        <w:jc w:val="both"/>
        <w:rPr>
          <w:rFonts w:ascii="Times New Roman" w:hAnsi="Times New Roman"/>
          <w:sz w:val="20"/>
        </w:rPr>
      </w:pPr>
      <w:r>
        <w:rPr>
          <w:rFonts w:ascii="Times New Roman" w:hAnsi="Times New Roman"/>
          <w:sz w:val="20"/>
        </w:rPr>
        <w:t xml:space="preserve">9.1 </w:t>
      </w:r>
      <w:r>
        <w:rPr>
          <w:rFonts w:ascii="Times New Roman" w:hAnsi="Times New Roman"/>
          <w:sz w:val="20"/>
          <w:u w:val="single"/>
        </w:rPr>
        <w:t>Amendment, Modification and Termination</w:t>
      </w:r>
      <w:r>
        <w:rPr>
          <w:rFonts w:ascii="Times New Roman" w:hAnsi="Times New Roman"/>
          <w:sz w:val="20"/>
        </w:rPr>
        <w:t xml:space="preserve">. The Administrator may amend, suspend or terminate the Plan at any time and from time to time;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 </w:t>
      </w:r>
    </w:p>
    <w:p>
      <w:pPr>
        <w:pStyle w:val="TextBody"/>
        <w:bidi w:val="0"/>
        <w:spacing w:before="240" w:after="0"/>
        <w:jc w:val="both"/>
        <w:rPr>
          <w:rFonts w:ascii="Times New Roman" w:hAnsi="Times New Roman"/>
          <w:sz w:val="20"/>
        </w:rPr>
      </w:pPr>
      <w:r>
        <w:rPr>
          <w:rFonts w:ascii="Times New Roman" w:hAnsi="Times New Roman"/>
          <w:sz w:val="20"/>
        </w:rPr>
        <w:t xml:space="preserve">9.2 </w:t>
      </w:r>
      <w:r>
        <w:rPr>
          <w:rFonts w:ascii="Times New Roman" w:hAnsi="Times New Roman"/>
          <w:sz w:val="20"/>
          <w:u w:val="single"/>
        </w:rPr>
        <w:t>Certain Changes to Plan</w:t>
      </w:r>
      <w:r>
        <w:rPr>
          <w:rFonts w:ascii="Times New Roman" w:hAnsi="Times New Roman"/>
          <w:sz w:val="20"/>
        </w:rPr>
        <w:t xml:space="preserve">.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 </w:t>
      </w:r>
    </w:p>
    <w:p>
      <w:pPr>
        <w:pStyle w:val="TextBody"/>
        <w:bidi w:val="0"/>
        <w:spacing w:before="240" w:after="0"/>
        <w:jc w:val="both"/>
        <w:rPr>
          <w:rFonts w:ascii="Times New Roman" w:hAnsi="Times New Roman"/>
          <w:sz w:val="20"/>
        </w:rPr>
      </w:pPr>
      <w:r>
        <w:rPr>
          <w:rFonts w:ascii="Times New Roman" w:hAnsi="Times New Roman"/>
          <w:sz w:val="20"/>
        </w:rPr>
        <w:t xml:space="preserve">9.3 </w:t>
      </w:r>
      <w:r>
        <w:rPr>
          <w:rFonts w:ascii="Times New Roman" w:hAnsi="Times New Roman"/>
          <w:sz w:val="20"/>
          <w:u w:val="single"/>
        </w:rPr>
        <w:t>Actions In the Event of Unfavorable Financial Accounting Consequences</w:t>
      </w:r>
      <w:r>
        <w:rPr>
          <w:rFonts w:ascii="Times New Roman" w:hAnsi="Times New Roman"/>
          <w:sz w:val="20"/>
        </w:rPr>
        <w:t xml:space="preserve">.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 </w:t>
      </w:r>
    </w:p>
    <w:p>
      <w:pPr>
        <w:pStyle w:val="TextBody"/>
        <w:bidi w:val="0"/>
        <w:spacing w:before="120" w:after="0"/>
        <w:jc w:val="both"/>
        <w:rPr>
          <w:rFonts w:ascii="Times New Roman" w:hAnsi="Times New Roman"/>
          <w:sz w:val="20"/>
        </w:rPr>
      </w:pPr>
      <w:r>
        <w:rPr>
          <w:rFonts w:ascii="Times New Roman" w:hAnsi="Times New Roman"/>
          <w:sz w:val="20"/>
        </w:rPr>
        <w:t xml:space="preserve">(a) altering the Purchase Price for any Offering Period including an Offering Period underway at the time of the change in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shortening any Offering Period so that the Offering Period ends on a new Purchase Date, including an Offering Period underway at the time of the Administrator action; and </w:t>
      </w:r>
    </w:p>
    <w:p>
      <w:pPr>
        <w:pStyle w:val="TextBody"/>
        <w:bidi w:val="0"/>
        <w:spacing w:before="120" w:after="0"/>
        <w:jc w:val="both"/>
        <w:rPr>
          <w:rFonts w:ascii="Times New Roman" w:hAnsi="Times New Roman"/>
          <w:sz w:val="20"/>
        </w:rPr>
      </w:pPr>
      <w:r>
        <w:rPr>
          <w:rFonts w:ascii="Times New Roman" w:hAnsi="Times New Roman"/>
          <w:sz w:val="20"/>
        </w:rPr>
        <w:t xml:space="preserve">(c) allocating Shares. </w:t>
      </w:r>
    </w:p>
    <w:p>
      <w:pPr>
        <w:pStyle w:val="TextBody"/>
        <w:bidi w:val="0"/>
        <w:spacing w:before="240" w:after="0"/>
        <w:jc w:val="both"/>
        <w:rPr>
          <w:rFonts w:ascii="Times New Roman" w:hAnsi="Times New Roman"/>
          <w:sz w:val="20"/>
        </w:rPr>
      </w:pPr>
      <w:r>
        <w:rPr>
          <w:rFonts w:ascii="Times New Roman" w:hAnsi="Times New Roman"/>
          <w:sz w:val="20"/>
        </w:rPr>
        <w:t xml:space="preserve">Such modifications or amendments shall not require stockholder approval or the consent of any Participant. </w:t>
      </w:r>
    </w:p>
    <w:p>
      <w:pPr>
        <w:pStyle w:val="TextBody"/>
        <w:bidi w:val="0"/>
        <w:spacing w:before="240" w:after="0"/>
        <w:jc w:val="both"/>
        <w:rPr>
          <w:rFonts w:ascii="Times New Roman" w:hAnsi="Times New Roman"/>
          <w:sz w:val="20"/>
        </w:rPr>
      </w:pPr>
      <w:r>
        <w:rPr>
          <w:rFonts w:ascii="Times New Roman" w:hAnsi="Times New Roman"/>
          <w:sz w:val="20"/>
        </w:rPr>
        <w:t xml:space="preserve">9.4 </w:t>
      </w:r>
      <w:r>
        <w:rPr>
          <w:rFonts w:ascii="Times New Roman" w:hAnsi="Times New Roman"/>
          <w:sz w:val="20"/>
          <w:u w:val="single"/>
        </w:rPr>
        <w:t>Payments Upon Termination of Plan</w:t>
      </w:r>
      <w:r>
        <w:rPr>
          <w:rFonts w:ascii="Times New Roman" w:hAnsi="Times New Roman"/>
          <w:sz w:val="20"/>
        </w:rPr>
        <w:t xml:space="preserve">.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TERM OF PLAN </w:t>
      </w:r>
    </w:p>
    <w:p>
      <w:pPr>
        <w:pStyle w:val="TextBody"/>
        <w:bidi w:val="0"/>
        <w:spacing w:before="240" w:after="0"/>
        <w:jc w:val="both"/>
        <w:rPr>
          <w:rFonts w:ascii="Times New Roman" w:hAnsi="Times New Roman"/>
          <w:sz w:val="20"/>
        </w:rPr>
      </w:pPr>
      <w:r>
        <w:rPr>
          <w:rFonts w:ascii="Times New Roman" w:hAnsi="Times New Roman"/>
          <w:sz w:val="20"/>
        </w:rPr>
        <w:t xml:space="preserve">The Plan shall become effective on the Effective Date. The effectiveness of the Plan shall be subject to approval of the Plan by the Companys stockholders within twelve months following the date the Plan is first approved by the Board. No right may be granted under the Plan prior to such stockholder approval. The Plan shall remain in effect until terminated under Section 9.1. No rights may be granted under the Plan during any period of suspension of the Plan or after termination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both"/>
        <w:rPr>
          <w:rFonts w:ascii="Times New Roman" w:hAnsi="Times New Roman"/>
          <w:sz w:val="20"/>
        </w:rPr>
      </w:pPr>
      <w:r>
        <w:rPr>
          <w:rFonts w:ascii="Times New Roman" w:hAnsi="Times New Roman"/>
          <w:sz w:val="20"/>
        </w:rPr>
        <w:t xml:space="preserve">11.1 </w:t>
      </w:r>
      <w:r>
        <w:rPr>
          <w:rFonts w:ascii="Times New Roman" w:hAnsi="Times New Roman"/>
          <w:sz w:val="20"/>
          <w:u w:val="single"/>
        </w:rPr>
        <w:t>Administrator</w:t>
      </w:r>
      <w:r>
        <w:rPr>
          <w:rFonts w:ascii="Times New Roman" w:hAnsi="Times New Roman"/>
          <w:sz w:val="20"/>
        </w:rPr>
        <w:t xml:space="preserve">.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 </w:t>
      </w:r>
    </w:p>
    <w:p>
      <w:pPr>
        <w:pStyle w:val="TextBody"/>
        <w:bidi w:val="0"/>
        <w:spacing w:before="240" w:after="0"/>
        <w:jc w:val="both"/>
        <w:rPr>
          <w:rFonts w:ascii="Times New Roman" w:hAnsi="Times New Roman"/>
          <w:sz w:val="20"/>
        </w:rPr>
      </w:pPr>
      <w:r>
        <w:rPr>
          <w:rFonts w:ascii="Times New Roman" w:hAnsi="Times New Roman"/>
          <w:sz w:val="20"/>
        </w:rPr>
        <w:t xml:space="preserve">11.2 </w:t>
      </w:r>
      <w:r>
        <w:rPr>
          <w:rFonts w:ascii="Times New Roman" w:hAnsi="Times New Roman"/>
          <w:sz w:val="20"/>
          <w:u w:val="single"/>
        </w:rPr>
        <w:t>Authority of Administrator</w:t>
      </w:r>
      <w:r>
        <w:rPr>
          <w:rFonts w:ascii="Times New Roman" w:hAnsi="Times New Roman"/>
          <w:sz w:val="20"/>
        </w:rPr>
        <w:t xml:space="preserve">. The Administrator shall have the power, subject to, and within the limitations of, the express provisions of the Plan: </w:t>
      </w:r>
    </w:p>
    <w:p>
      <w:pPr>
        <w:pStyle w:val="TextBody"/>
        <w:bidi w:val="0"/>
        <w:spacing w:before="120" w:after="0"/>
        <w:jc w:val="both"/>
        <w:rPr>
          <w:rFonts w:ascii="Times New Roman" w:hAnsi="Times New Roman"/>
          <w:sz w:val="20"/>
        </w:rPr>
      </w:pPr>
      <w:r>
        <w:rPr>
          <w:rFonts w:ascii="Times New Roman" w:hAnsi="Times New Roman"/>
          <w:sz w:val="20"/>
        </w:rPr>
        <w:t xml:space="preserve">(a) To determine when and how rights to purchase Shares shall be granted and the provisions of each offering of such rights (which need not be identical). </w:t>
      </w:r>
    </w:p>
    <w:p>
      <w:pPr>
        <w:pStyle w:val="TextBody"/>
        <w:bidi w:val="0"/>
        <w:spacing w:before="120" w:after="0"/>
        <w:jc w:val="both"/>
        <w:rPr>
          <w:rFonts w:ascii="Times New Roman" w:hAnsi="Times New Roman"/>
          <w:sz w:val="20"/>
        </w:rPr>
      </w:pPr>
      <w:r>
        <w:rPr>
          <w:rFonts w:ascii="Times New Roman" w:hAnsi="Times New Roman"/>
          <w:sz w:val="20"/>
        </w:rPr>
        <w:t xml:space="preserve">(b) To designate from time to time which Subsidiaries of the Company shall be Designated Subsidiaries, which designation may be made without the approval of the stockholders of the Company. </w:t>
      </w:r>
    </w:p>
    <w:p>
      <w:pPr>
        <w:pStyle w:val="TextBody"/>
        <w:bidi w:val="0"/>
        <w:spacing w:before="120" w:after="0"/>
        <w:jc w:val="both"/>
        <w:rPr>
          <w:rFonts w:ascii="Times New Roman" w:hAnsi="Times New Roman"/>
          <w:sz w:val="20"/>
        </w:rPr>
      </w:pPr>
      <w:r>
        <w:rPr>
          <w:rFonts w:ascii="Times New Roman" w:hAnsi="Times New Roman"/>
          <w:sz w:val="20"/>
        </w:rPr>
        <w:t xml:space="preserve">(c) To impose a mandatory holding period pursuant to which Employees may not dispose of or transfer Shares purchased under the Plan for a period of time determined by the Administrator in its discretion. </w:t>
      </w:r>
    </w:p>
    <w:p>
      <w:pPr>
        <w:pStyle w:val="TextBody"/>
        <w:bidi w:val="0"/>
        <w:spacing w:before="120" w:after="0"/>
        <w:jc w:val="both"/>
        <w:rPr>
          <w:rFonts w:ascii="Times New Roman" w:hAnsi="Times New Roman"/>
          <w:sz w:val="20"/>
        </w:rPr>
      </w:pPr>
      <w:r>
        <w:rPr>
          <w:rFonts w:ascii="Times New Roman" w:hAnsi="Times New Roman"/>
          <w:sz w:val="20"/>
        </w:rPr>
        <w:t xml:space="preserve">(d)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To amend, suspend or terminate the Plan as provided in Article IX. </w:t>
      </w:r>
    </w:p>
    <w:p>
      <w:pPr>
        <w:pStyle w:val="TextBody"/>
        <w:bidi w:val="0"/>
        <w:spacing w:before="120" w:after="0"/>
        <w:jc w:val="both"/>
        <w:rPr>
          <w:rFonts w:ascii="Times New Roman" w:hAnsi="Times New Roman"/>
          <w:sz w:val="20"/>
        </w:rPr>
      </w:pPr>
      <w:r>
        <w:rPr>
          <w:rFonts w:ascii="Times New Roman" w:hAnsi="Times New Roman"/>
          <w:sz w:val="20"/>
        </w:rPr>
        <w:t xml:space="preserve">(f)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 </w:t>
      </w:r>
    </w:p>
    <w:p>
      <w:pPr>
        <w:pStyle w:val="TextBody"/>
        <w:bidi w:val="0"/>
        <w:spacing w:before="120" w:after="0"/>
        <w:jc w:val="both"/>
        <w:rPr>
          <w:rFonts w:ascii="Times New Roman" w:hAnsi="Times New Roman"/>
          <w:sz w:val="20"/>
        </w:rPr>
      </w:pPr>
      <w:r>
        <w:rPr>
          <w:rFonts w:ascii="Times New Roman" w:hAnsi="Times New Roman"/>
          <w:sz w:val="20"/>
        </w:rPr>
        <w:t xml:space="preserve">(g)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 </w:t>
      </w:r>
    </w:p>
    <w:p>
      <w:pPr>
        <w:pStyle w:val="TextBody"/>
        <w:bidi w:val="0"/>
        <w:spacing w:before="240" w:after="0"/>
        <w:jc w:val="both"/>
        <w:rPr>
          <w:rFonts w:ascii="Times New Roman" w:hAnsi="Times New Roman"/>
          <w:sz w:val="20"/>
        </w:rPr>
      </w:pPr>
      <w:r>
        <w:rPr>
          <w:rFonts w:ascii="Times New Roman" w:hAnsi="Times New Roman"/>
          <w:sz w:val="20"/>
        </w:rPr>
        <w:t xml:space="preserve">11.3 </w:t>
      </w:r>
      <w:r>
        <w:rPr>
          <w:rFonts w:ascii="Times New Roman" w:hAnsi="Times New Roman"/>
          <w:sz w:val="20"/>
          <w:u w:val="single"/>
        </w:rPr>
        <w:t>Decisions Binding</w:t>
      </w:r>
      <w:r>
        <w:rPr>
          <w:rFonts w:ascii="Times New Roman" w:hAnsi="Times New Roman"/>
          <w:sz w:val="20"/>
        </w:rPr>
        <w:t xml:space="preserve">. The Administrators interpretation of the Plan, any rights granted pursuant to the Plan, any subscription agreement and all decisions and determinations by the Administrator with respect to the Plan are final, binding, and conclusive on all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sz w:val="20"/>
        </w:rPr>
        <w:t xml:space="preserve">12.1 </w:t>
      </w:r>
      <w:r>
        <w:rPr>
          <w:rFonts w:ascii="Times New Roman" w:hAnsi="Times New Roman"/>
          <w:sz w:val="20"/>
          <w:u w:val="single"/>
        </w:rPr>
        <w:t>Restriction upon Assignment</w:t>
      </w:r>
      <w:r>
        <w:rPr>
          <w:rFonts w:ascii="Times New Roman" w:hAnsi="Times New Roman"/>
          <w:sz w:val="20"/>
        </w:rPr>
        <w:t xml:space="preserve">.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 </w:t>
      </w:r>
    </w:p>
    <w:p>
      <w:pPr>
        <w:pStyle w:val="TextBody"/>
        <w:bidi w:val="0"/>
        <w:spacing w:before="240" w:after="0"/>
        <w:jc w:val="both"/>
        <w:rPr>
          <w:rFonts w:ascii="Times New Roman" w:hAnsi="Times New Roman"/>
          <w:sz w:val="20"/>
        </w:rPr>
      </w:pPr>
      <w:r>
        <w:rPr>
          <w:rFonts w:ascii="Times New Roman" w:hAnsi="Times New Roman"/>
          <w:sz w:val="20"/>
        </w:rPr>
        <w:t xml:space="preserve">12.2 </w:t>
      </w:r>
      <w:r>
        <w:rPr>
          <w:rFonts w:ascii="Times New Roman" w:hAnsi="Times New Roman"/>
          <w:sz w:val="20"/>
          <w:u w:val="single"/>
        </w:rPr>
        <w:t>Rights as a Stockholder</w:t>
      </w:r>
      <w:r>
        <w:rPr>
          <w:rFonts w:ascii="Times New Roman" w:hAnsi="Times New Roman"/>
          <w:sz w:val="20"/>
        </w:rPr>
        <w:t xml:space="preserve">.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12.3 </w:t>
      </w:r>
      <w:r>
        <w:rPr>
          <w:rFonts w:ascii="Times New Roman" w:hAnsi="Times New Roman"/>
          <w:sz w:val="20"/>
          <w:u w:val="single"/>
        </w:rPr>
        <w:t>Interest</w:t>
      </w:r>
      <w:r>
        <w:rPr>
          <w:rFonts w:ascii="Times New Roman" w:hAnsi="Times New Roman"/>
          <w:sz w:val="20"/>
        </w:rPr>
        <w:t xml:space="preserve">. No interest shall accrue on the payroll or fee deductions or contributions of a Participant under the Plan. </w:t>
      </w:r>
    </w:p>
    <w:p>
      <w:pPr>
        <w:pStyle w:val="TextBody"/>
        <w:bidi w:val="0"/>
        <w:spacing w:before="240" w:after="0"/>
        <w:jc w:val="both"/>
        <w:rPr>
          <w:rFonts w:ascii="Times New Roman" w:hAnsi="Times New Roman"/>
          <w:sz w:val="20"/>
        </w:rPr>
      </w:pPr>
      <w:r>
        <w:rPr>
          <w:rFonts w:ascii="Times New Roman" w:hAnsi="Times New Roman"/>
          <w:sz w:val="20"/>
        </w:rPr>
        <w:t xml:space="preserve">12.4 </w:t>
      </w:r>
      <w:r>
        <w:rPr>
          <w:rFonts w:ascii="Times New Roman" w:hAnsi="Times New Roman"/>
          <w:sz w:val="20"/>
          <w:u w:val="single"/>
        </w:rPr>
        <w:t>Designation of Beneficiary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both"/>
        <w:rPr>
          <w:rFonts w:ascii="Times New Roman" w:hAnsi="Times New Roman"/>
          <w:sz w:val="20"/>
        </w:rPr>
      </w:pPr>
      <w:r>
        <w:rPr>
          <w:rFonts w:ascii="Times New Roman" w:hAnsi="Times New Roman"/>
          <w:sz w:val="20"/>
        </w:rPr>
        <w:t xml:space="preserve">12.5 </w:t>
      </w:r>
      <w:r>
        <w:rPr>
          <w:rFonts w:ascii="Times New Roman" w:hAnsi="Times New Roman"/>
          <w:sz w:val="20"/>
          <w:u w:val="single"/>
        </w:rPr>
        <w:t>Notices</w:t>
      </w:r>
      <w:r>
        <w:rPr>
          <w:rFonts w:ascii="Times New Roman" w:hAnsi="Times New Roman"/>
          <w:sz w:val="20"/>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before="240" w:after="0"/>
        <w:jc w:val="both"/>
        <w:rPr>
          <w:rFonts w:ascii="Times New Roman" w:hAnsi="Times New Roman"/>
          <w:sz w:val="20"/>
        </w:rPr>
      </w:pPr>
      <w:r>
        <w:rPr>
          <w:rFonts w:ascii="Times New Roman" w:hAnsi="Times New Roman"/>
          <w:sz w:val="20"/>
        </w:rPr>
        <w:t xml:space="preserve">12.6 </w:t>
      </w:r>
      <w:r>
        <w:rPr>
          <w:rFonts w:ascii="Times New Roman" w:hAnsi="Times New Roman"/>
          <w:sz w:val="20"/>
          <w:u w:val="single"/>
        </w:rPr>
        <w:t>Equal Rights and Privileges</w:t>
      </w:r>
      <w:r>
        <w:rPr>
          <w:rFonts w:ascii="Times New Roman" w:hAnsi="Times New Roman"/>
          <w:sz w:val="20"/>
        </w:rPr>
        <w:t xml:space="preserve">.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Participants participating in the Non-Section 423 Component need not have the same rights and privileges as other Eligible Participants participating in the Non-Section 423 Component or as Eligible Employees participating in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12.7 </w:t>
      </w:r>
      <w:r>
        <w:rPr>
          <w:rFonts w:ascii="Times New Roman" w:hAnsi="Times New Roman"/>
          <w:sz w:val="20"/>
          <w:u w:val="single"/>
        </w:rPr>
        <w:t>Use of Funds</w:t>
      </w:r>
      <w:r>
        <w:rPr>
          <w:rFonts w:ascii="Times New Roman" w:hAnsi="Times New Roman"/>
          <w:sz w:val="20"/>
        </w:rPr>
        <w:t xml:space="preserve">. All payroll and fee deductions received or held by the Company under the Plan may be used by the Company for any corporate purpose, and the Company shall not be obligated to segregate such payroll and fee deductions. </w:t>
      </w:r>
    </w:p>
    <w:p>
      <w:pPr>
        <w:pStyle w:val="TextBody"/>
        <w:bidi w:val="0"/>
        <w:spacing w:before="240" w:after="0"/>
        <w:jc w:val="both"/>
        <w:rPr>
          <w:rFonts w:ascii="Times New Roman" w:hAnsi="Times New Roman"/>
          <w:sz w:val="20"/>
        </w:rPr>
      </w:pPr>
      <w:r>
        <w:rPr>
          <w:rFonts w:ascii="Times New Roman" w:hAnsi="Times New Roman"/>
          <w:sz w:val="20"/>
        </w:rPr>
        <w:t xml:space="preserve">12.8 </w:t>
      </w:r>
      <w:r>
        <w:rPr>
          <w:rFonts w:ascii="Times New Roman" w:hAnsi="Times New Roman"/>
          <w:sz w:val="20"/>
          <w:u w:val="single"/>
        </w:rPr>
        <w:t>Reports</w:t>
      </w:r>
      <w:r>
        <w:rPr>
          <w:rFonts w:ascii="Times New Roman" w:hAnsi="Times New Roman"/>
          <w:sz w:val="20"/>
        </w:rPr>
        <w:t xml:space="preserve">. Statements of account shall be given to Participants at least annually, which statements shall set forth the amounts of payroll or fee deductions, the Purchase Price, the number of Shares purchased and the remaining cash balance, if any. </w:t>
      </w:r>
    </w:p>
    <w:p>
      <w:pPr>
        <w:pStyle w:val="TextBody"/>
        <w:bidi w:val="0"/>
        <w:spacing w:before="240" w:after="0"/>
        <w:jc w:val="both"/>
        <w:rPr>
          <w:rFonts w:ascii="Times New Roman" w:hAnsi="Times New Roman"/>
          <w:sz w:val="20"/>
        </w:rPr>
      </w:pPr>
      <w:r>
        <w:rPr>
          <w:rFonts w:ascii="Times New Roman" w:hAnsi="Times New Roman"/>
          <w:sz w:val="20"/>
        </w:rPr>
        <w:t xml:space="preserve">12.9 </w:t>
      </w:r>
      <w:r>
        <w:rPr>
          <w:rFonts w:ascii="Times New Roman" w:hAnsi="Times New Roman"/>
          <w:sz w:val="20"/>
          <w:u w:val="single"/>
        </w:rPr>
        <w:t>No Employment Rights</w:t>
      </w:r>
      <w:r>
        <w:rPr>
          <w:rFonts w:ascii="Times New Roman" w:hAnsi="Times New Roman"/>
          <w:sz w:val="20"/>
        </w:rPr>
        <w:t xml:space="preserve">. Nothing in the Plan shall be construed to give any person (including any Eligible Participant or Participant) the right to remain in the employ or service of the Company or any Parent or Subsidiary or affect the right of the Company or any Parent or Subsidiary to terminate the employment or service of any person (including any Eligible Participant or Participant) at any time, with or without cause. </w:t>
      </w:r>
    </w:p>
    <w:p>
      <w:pPr>
        <w:pStyle w:val="TextBody"/>
        <w:bidi w:val="0"/>
        <w:spacing w:before="240" w:after="0"/>
        <w:jc w:val="both"/>
        <w:rPr>
          <w:rFonts w:ascii="Times New Roman" w:hAnsi="Times New Roman"/>
          <w:sz w:val="20"/>
        </w:rPr>
      </w:pPr>
      <w:r>
        <w:rPr>
          <w:rFonts w:ascii="Times New Roman" w:hAnsi="Times New Roman"/>
          <w:sz w:val="20"/>
        </w:rPr>
        <w:t xml:space="preserve">12.10 </w:t>
      </w:r>
      <w:r>
        <w:rPr>
          <w:rFonts w:ascii="Times New Roman" w:hAnsi="Times New Roman"/>
          <w:sz w:val="20"/>
          <w:u w:val="single"/>
        </w:rPr>
        <w:t>Notice of Disposition of Shares</w:t>
      </w:r>
      <w:r>
        <w:rPr>
          <w:rFonts w:ascii="Times New Roman" w:hAnsi="Times New Roman"/>
          <w:sz w:val="20"/>
        </w:rPr>
        <w:t xml:space="preserve">. Each Participant shall give prompt notice to the Company of any disposition or other transfer of any Shares purchased upon exercise of a right under the Section 423 Component of the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240" w:after="0"/>
        <w:jc w:val="both"/>
        <w:rPr>
          <w:rFonts w:ascii="Times New Roman" w:hAnsi="Times New Roman"/>
          <w:sz w:val="20"/>
        </w:rPr>
      </w:pPr>
      <w:r>
        <w:rPr>
          <w:rFonts w:ascii="Times New Roman" w:hAnsi="Times New Roman"/>
          <w:sz w:val="20"/>
        </w:rPr>
        <w:t xml:space="preserve">12.11 </w:t>
      </w:r>
      <w:r>
        <w:rPr>
          <w:rFonts w:ascii="Times New Roman" w:hAnsi="Times New Roman"/>
          <w:sz w:val="20"/>
          <w:u w:val="single"/>
        </w:rPr>
        <w:t>Governing Law</w:t>
      </w:r>
      <w:r>
        <w:rPr>
          <w:rFonts w:ascii="Times New Roman" w:hAnsi="Times New Roman"/>
          <w:sz w:val="20"/>
        </w:rPr>
        <w:t xml:space="preserve">. The Plan and any agreements hereunder shall be administered, interpreted and enforced in accordance with the laws of the State of Delaware, disregarding any states choice of law principles requiring the application of a jurisdictions laws other than the State of Delaware. </w:t>
      </w:r>
    </w:p>
    <w:p>
      <w:pPr>
        <w:pStyle w:val="TextBody"/>
        <w:bidi w:val="0"/>
        <w:spacing w:before="240" w:after="0"/>
        <w:jc w:val="both"/>
        <w:rPr>
          <w:rFonts w:ascii="Times New Roman" w:hAnsi="Times New Roman"/>
          <w:sz w:val="20"/>
        </w:rPr>
      </w:pPr>
      <w:r>
        <w:rPr>
          <w:rFonts w:ascii="Times New Roman" w:hAnsi="Times New Roman"/>
          <w:sz w:val="20"/>
        </w:rPr>
        <w:t xml:space="preserve">12.12 </w:t>
      </w:r>
      <w:r>
        <w:rPr>
          <w:rFonts w:ascii="Times New Roman" w:hAnsi="Times New Roman"/>
          <w:sz w:val="20"/>
          <w:u w:val="single"/>
        </w:rPr>
        <w:t>Electronic Forms</w:t>
      </w:r>
      <w:r>
        <w:rPr>
          <w:rFonts w:ascii="Times New Roman" w:hAnsi="Times New Roman"/>
          <w:sz w:val="20"/>
        </w:rPr>
        <w:t xml:space="preserve">. To the extent permitted by Applicable Law and in the discretion of the Administrator, a Participant may submit any form or notice as set forth herein by means of an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form approved by the Administrator. Before the commencement of an Offering Period, the Administrator shall prescribe the time limits within which any such electronic form shall be submitted to the Administrator with respect to such Offering Period in order to be a valid election. </w:t>
      </w:r>
    </w:p>
    <w:p>
      <w:pPr>
        <w:pStyle w:val="TextBody"/>
        <w:bidi w:val="0"/>
        <w:spacing w:before="240" w:after="0"/>
        <w:jc w:val="both"/>
        <w:rPr>
          <w:rFonts w:ascii="Times New Roman" w:hAnsi="Times New Roman"/>
          <w:sz w:val="20"/>
        </w:rPr>
      </w:pPr>
      <w:r>
        <w:rPr>
          <w:rFonts w:ascii="Times New Roman" w:hAnsi="Times New Roman"/>
          <w:sz w:val="20"/>
        </w:rPr>
        <w:t xml:space="preserve">12.13 </w:t>
      </w:r>
      <w:r>
        <w:rPr>
          <w:rFonts w:ascii="Times New Roman" w:hAnsi="Times New Roman"/>
          <w:sz w:val="20"/>
          <w:u w:val="single"/>
        </w:rPr>
        <w:t>Section 409A</w:t>
      </w:r>
      <w:r>
        <w:rPr>
          <w:rFonts w:ascii="Times New Roman" w:hAnsi="Times New Roman"/>
          <w:sz w:val="20"/>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 </w:t>
      </w:r>
    </w:p>
    <w:p>
      <w:pPr>
        <w:pStyle w:val="TextBody"/>
        <w:bidi w:val="0"/>
        <w:spacing w:before="240" w:after="0"/>
        <w:jc w:val="both"/>
        <w:rPr>
          <w:rFonts w:ascii="Times New Roman" w:hAnsi="Times New Roman"/>
          <w:sz w:val="20"/>
        </w:rPr>
      </w:pPr>
      <w:r>
        <w:rPr>
          <w:rFonts w:ascii="Times New Roman" w:hAnsi="Times New Roman"/>
          <w:sz w:val="20"/>
        </w:rPr>
        <w:t xml:space="preserve">12.14 Severability. Whenever possible, each provision of the Plan shall be interpreted in such manner as to be effective and valid under applicable law, and with respect to the Section 423 Component, to satisfy the requirements for rights to purchase Shares granted pursuant to an employee stock purchase plan as set forth under Section 423 of the Code, but if any provision of the Plan or any Offering shall be held by a court of competent jurisdiction to be prohibited by or invalid or unenforceable under applicable law, or with respect to the Section 423 Component, does not satisfy Section 423 of the Code, then (a) such provision shall be deemed to be amended to accomplish the objectives of the provision as originally written to the fullest extent permitted by law and (b) all other provisions of the Plan and Offering shall remain in full force and effect.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SUB-PLAN FOR </w:t>
      </w:r>
    </w:p>
    <w:p>
      <w:pPr>
        <w:pStyle w:val="TextBody"/>
        <w:bidi w:val="0"/>
        <w:spacing w:before="0" w:after="0"/>
        <w:jc w:val="center"/>
        <w:rPr>
          <w:rFonts w:ascii="Times New Roman" w:hAnsi="Times New Roman"/>
          <w:b/>
          <w:sz w:val="20"/>
        </w:rPr>
      </w:pPr>
      <w:r>
        <w:rPr>
          <w:rFonts w:ascii="Times New Roman" w:hAnsi="Times New Roman"/>
          <w:b/>
          <w:sz w:val="20"/>
        </w:rPr>
        <w:t xml:space="preserve">INTERNATIONAL PARTICIPANTS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b/>
          <w:sz w:val="20"/>
        </w:rPr>
        <w:t>APPLICATION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This Sub-Plan for Participants in non-U.S. jurisdictions in the CG Oncology, Inc. Employee Stock Purchase Plan (this </w:t>
      </w:r>
      <w:r>
        <w:rPr>
          <w:rFonts w:ascii="Times New Roman" w:hAnsi="Times New Roman"/>
          <w:b/>
          <w:i/>
          <w:sz w:val="20"/>
        </w:rPr>
        <w:t>Sub-Plan</w:t>
      </w:r>
      <w:r>
        <w:rPr>
          <w:rFonts w:ascii="Times New Roman" w:hAnsi="Times New Roman"/>
          <w:sz w:val="20"/>
        </w:rPr>
        <w:t xml:space="preserve">) sets forth additional terms and conditions applicable to the rights granted to, and the shares of Common Stock purchased by, Participants in the countries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The Plan and this Sub-Plan are complimentary to each other and shall be deemed as one. In any case of contradiction between the provisions of this Sub-Plan and the Plan, the provisions set out in the Sub-Plan shall prevail. Any capitalized terms used in this Sub-Plan but not defined shall have the meaning given to those terms in the Plan.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b/>
          <w:sz w:val="20"/>
        </w:rPr>
        <w:t>GLOBAL PROVISIONS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Data Protection</w:t>
      </w:r>
      <w:r>
        <w:rPr>
          <w:rFonts w:ascii="Times New Roman" w:hAnsi="Times New Roman"/>
          <w:sz w:val="20"/>
        </w:rPr>
        <w:t>. It shall be a term and condition for participation in the Plan that a Participant explicitly and unambiguously consent to the collection, use and transfer, in electronic or other form, of a Participants personal Data (as defined below) by and among, as applicable, the Company, any Parent or Subsidiary and a Participants employing entity (the </w:t>
      </w:r>
      <w:r>
        <w:rPr>
          <w:rFonts w:ascii="Times New Roman" w:hAnsi="Times New Roman"/>
          <w:b/>
          <w:i/>
          <w:sz w:val="20"/>
        </w:rPr>
        <w:t>Employer</w:t>
      </w:r>
      <w:r>
        <w:rPr>
          <w:rFonts w:ascii="Times New Roman" w:hAnsi="Times New Roman"/>
          <w:sz w:val="20"/>
        </w:rPr>
        <w:t>), if different, and their affiliates (collectively, the </w:t>
      </w:r>
      <w:r>
        <w:rPr>
          <w:rFonts w:ascii="Times New Roman" w:hAnsi="Times New Roman"/>
          <w:b/>
          <w:i/>
          <w:sz w:val="20"/>
        </w:rPr>
        <w:t>Company Group</w:t>
      </w:r>
      <w:r>
        <w:rPr>
          <w:rFonts w:ascii="Times New Roman" w:hAnsi="Times New Roman"/>
          <w:sz w:val="20"/>
        </w:rPr>
        <w:t>) for the exclusive purpose of implementing, administering and managing the Participants participation in the Plan. The Company Group holds certain personal information about the Participant, including, but not limited to, the Participants name, home address and telephone number, e-mail address, date of birth, employee identification number, NRIC or passport number or equivalent, salary, nationality, job title, any shares of stock or directorships held in the Company, details of all options or any other entitlement to shares of stock awarded, canceled, exercised, vested, unvested or outstanding in the Participants favor, for the purpose of implementing, administering and managing the Plan (</w:t>
      </w:r>
      <w:r>
        <w:rPr>
          <w:rFonts w:ascii="Times New Roman" w:hAnsi="Times New Roman"/>
          <w:b/>
          <w:i/>
          <w:sz w:val="20"/>
        </w:rPr>
        <w:t>Data</w:t>
      </w:r>
      <w:r>
        <w:rPr>
          <w:rFonts w:ascii="Times New Roman" w:hAnsi="Times New Roman"/>
          <w:sz w:val="20"/>
        </w:rPr>
        <w:t xml:space="preserve">). Data will be transferred to such stock plan service providers, as may be prudently selected by the Company, which are assisting the Company with the implementation, administration and management of the Plan. The recipients of the Data may be located in the United States of America or elsewhere (and, if the Participant is a resident of a member state of the European Union, may be outside the European Economic Area) and that the recipients country (e.g., the United States of America) may have different data privacy laws and protections than the Participants country. The Participant may request a list with the names and addresses of all recipients of the Data by contacting his or her local human resources representative. Each Participant hereby authorizes the Company Group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Data will be held only as long as is necessary to implement, administer and manage the Participants participation in the Plan. The Company will also make the Data available to public authorities where required under locally applicable law. A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A Participants refusal to provide consent or withdrawal of consent may affect the Participants ability to participate in the Plan. This section applies to information held, used or disclosed in any medium. </w:t>
      </w:r>
    </w:p>
    <w:p>
      <w:pPr>
        <w:pStyle w:val="TextBody"/>
        <w:bidi w:val="0"/>
        <w:spacing w:before="360" w:after="0"/>
        <w:jc w:val="both"/>
        <w:rPr>
          <w:rFonts w:ascii="Times New Roman" w:hAnsi="Times New Roman"/>
          <w:b/>
          <w:sz w:val="20"/>
        </w:rPr>
      </w:pPr>
      <w:r>
        <w:rPr>
          <w:rFonts w:ascii="Times New Roman" w:hAnsi="Times New Roman"/>
          <w:b/>
          <w:sz w:val="20"/>
          <w:u w:val="single"/>
        </w:rPr>
        <w:t>If Participant resides in the UK or the European Union, the Company Group will hold, collect and otherwise process certain Data as set out in the applicable Companys GDPR-compliant data privacy</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z w:val="20"/>
          <w:u w:val="single"/>
        </w:rPr>
        <w:t>notice, which will be or has been provided to the Participant separately. All personal data will be treated in accordance with applicable data protection laws and regulations.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Acknowledgment of Nature of Plan and Rights</w:t>
      </w:r>
      <w:r>
        <w:rPr>
          <w:rFonts w:ascii="Times New Roman" w:hAnsi="Times New Roman"/>
          <w:sz w:val="20"/>
        </w:rPr>
        <w:t xml:space="preserve">. In participating in the Plan, each Participant acknowledges that: </w:t>
      </w:r>
    </w:p>
    <w:p>
      <w:pPr>
        <w:pStyle w:val="TextBody"/>
        <w:bidi w:val="0"/>
        <w:spacing w:before="120" w:after="0"/>
        <w:jc w:val="both"/>
        <w:rPr>
          <w:rFonts w:ascii="Times New Roman" w:hAnsi="Times New Roman"/>
          <w:sz w:val="20"/>
        </w:rPr>
      </w:pPr>
      <w:r>
        <w:rPr>
          <w:rFonts w:ascii="Times New Roman" w:hAnsi="Times New Roman"/>
          <w:sz w:val="20"/>
        </w:rPr>
        <w:t xml:space="preserve">(i) for employment and labor law purposes, the rights granted and the shares of Common Stock purchased under the Plan are an extraordinary item that do not constitute wages of any kind for services of any kind rendered to the Company, any Parent or Subsidiary or the Employer, and the award of rights is outside the scope of Participants service contract, if any; </w:t>
      </w:r>
    </w:p>
    <w:p>
      <w:pPr>
        <w:pStyle w:val="TextBody"/>
        <w:bidi w:val="0"/>
        <w:spacing w:before="120" w:after="0"/>
        <w:jc w:val="both"/>
        <w:rPr>
          <w:rFonts w:ascii="Times New Roman" w:hAnsi="Times New Roman"/>
          <w:sz w:val="20"/>
        </w:rPr>
      </w:pPr>
      <w:r>
        <w:rPr>
          <w:rFonts w:ascii="Times New Roman" w:hAnsi="Times New Roman"/>
          <w:sz w:val="20"/>
        </w:rPr>
        <w:t xml:space="preserve">(ii) for employment and labor law purposes, the rights granted and the Common Stock purchased under the Plan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of the Company; </w:t>
      </w:r>
    </w:p>
    <w:p>
      <w:pPr>
        <w:pStyle w:val="TextBody"/>
        <w:bidi w:val="0"/>
        <w:spacing w:before="120" w:after="0"/>
        <w:jc w:val="both"/>
        <w:rPr>
          <w:rFonts w:ascii="Times New Roman" w:hAnsi="Times New Roman"/>
          <w:sz w:val="20"/>
        </w:rPr>
      </w:pPr>
      <w:r>
        <w:rPr>
          <w:rFonts w:ascii="Times New Roman" w:hAnsi="Times New Roman"/>
          <w:sz w:val="20"/>
        </w:rPr>
        <w:t xml:space="preserve">(iii) the rights and the shares of Common Stock purchased under the Plan are not intended to be an integral component of compensation or to replace any pension rights 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(iv) neither the rights nor any provision of Plan or the policies adopted pursuant to the Plan confer upon any Participant any right with respect to service or continuation of current service and shall not be interpreted to form a service contract or relationship with the Company or any Subsidiary; </w:t>
      </w:r>
    </w:p>
    <w:p>
      <w:pPr>
        <w:pStyle w:val="TextBody"/>
        <w:bidi w:val="0"/>
        <w:spacing w:before="120" w:after="0"/>
        <w:jc w:val="both"/>
        <w:rPr>
          <w:rFonts w:ascii="Times New Roman" w:hAnsi="Times New Roman"/>
          <w:sz w:val="20"/>
        </w:rPr>
      </w:pPr>
      <w:r>
        <w:rPr>
          <w:rFonts w:ascii="Times New Roman" w:hAnsi="Times New Roman"/>
          <w:sz w:val="20"/>
        </w:rPr>
        <w:t xml:space="preserve">(v) the future value of the underlying shares of Common Stock is unknown and cannot be predicted with certainty; </w:t>
      </w:r>
    </w:p>
    <w:p>
      <w:pPr>
        <w:pStyle w:val="TextBody"/>
        <w:bidi w:val="0"/>
        <w:spacing w:before="120" w:after="0"/>
        <w:jc w:val="both"/>
        <w:rPr>
          <w:rFonts w:ascii="Times New Roman" w:hAnsi="Times New Roman"/>
          <w:sz w:val="20"/>
        </w:rPr>
      </w:pPr>
      <w:r>
        <w:rPr>
          <w:rFonts w:ascii="Times New Roman" w:hAnsi="Times New Roman"/>
          <w:sz w:val="20"/>
        </w:rPr>
        <w:t xml:space="preserve">(vi) if the underlying shares of Common Stock do not increase in value, the right may have no value; and </w:t>
      </w:r>
    </w:p>
    <w:p>
      <w:pPr>
        <w:pStyle w:val="TextBody"/>
        <w:bidi w:val="0"/>
        <w:spacing w:before="120" w:after="0"/>
        <w:jc w:val="both"/>
        <w:rPr>
          <w:rFonts w:ascii="Times New Roman" w:hAnsi="Times New Roman"/>
          <w:sz w:val="20"/>
        </w:rPr>
      </w:pPr>
      <w:r>
        <w:rPr>
          <w:rFonts w:ascii="Times New Roman" w:hAnsi="Times New Roman"/>
          <w:sz w:val="20"/>
        </w:rPr>
        <w:t xml:space="preserve">(vii) if a Participant acquires shares of Common Stock, the value of the shares of Common Stock acquired upon purchase may increase or decrease in value, even below the original price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right"/>
        <w:rPr>
          <w:rFonts w:ascii="Times New Roman" w:hAnsi="Times New Roman"/>
          <w:b/>
          <w:sz w:val="20"/>
        </w:rPr>
      </w:pPr>
      <w:bookmarkStart w:id="54" w:name="d551455dex105.htm"/>
      <w:bookmarkStart w:id="55" w:name="ksd551455dex105"/>
      <w:bookmarkEnd w:id="54"/>
      <w:bookmarkEnd w:id="55"/>
      <w:r>
        <w:rPr>
          <w:rFonts w:ascii="Times New Roman" w:hAnsi="Times New Roman"/>
          <w:b/>
          <w:sz w:val="20"/>
        </w:rPr>
        <w:t xml:space="preserve">Exhibit 10.5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CG ONCOLOGY, INC. </w:t>
      </w:r>
    </w:p>
    <w:p>
      <w:pPr>
        <w:pStyle w:val="TextBody"/>
        <w:bidi w:val="0"/>
        <w:spacing w:before="240" w:after="0"/>
        <w:jc w:val="center"/>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240" w:after="0"/>
        <w:jc w:val="both"/>
        <w:rPr>
          <w:rFonts w:ascii="Times New Roman" w:hAnsi="Times New Roman"/>
          <w:sz w:val="20"/>
        </w:rPr>
      </w:pPr>
      <w:r>
        <w:rPr>
          <w:rFonts w:ascii="Times New Roman" w:hAnsi="Times New Roman"/>
          <w:sz w:val="20"/>
        </w:rPr>
        <w:t>Non-employee members of the board of directors (the </w:t>
      </w:r>
      <w:r>
        <w:rPr>
          <w:rFonts w:ascii="Times New Roman" w:hAnsi="Times New Roman"/>
          <w:b/>
          <w:i/>
          <w:sz w:val="20"/>
        </w:rPr>
        <w:t>Board</w:t>
      </w:r>
      <w:r>
        <w:rPr>
          <w:rFonts w:ascii="Times New Roman" w:hAnsi="Times New Roman"/>
          <w:sz w:val="20"/>
        </w:rPr>
        <w:t>) of CG Oncology, Inc. (the </w:t>
      </w:r>
      <w:r>
        <w:rPr>
          <w:rFonts w:ascii="Times New Roman" w:hAnsi="Times New Roman"/>
          <w:b/>
          <w:i/>
          <w:sz w:val="20"/>
        </w:rPr>
        <w:t>Company</w:t>
      </w:r>
      <w:r>
        <w:rPr>
          <w:rFonts w:ascii="Times New Roman" w:hAnsi="Times New Roman"/>
          <w:sz w:val="20"/>
        </w:rPr>
        <w:t>) shall receive cash and equity compensation as set forth in this Non-Employee Director Compensation Program (this </w:t>
      </w:r>
      <w:r>
        <w:rPr>
          <w:rFonts w:ascii="Times New Roman" w:hAnsi="Times New Roman"/>
          <w:b/>
          <w:i/>
          <w:sz w:val="20"/>
        </w:rPr>
        <w:t>Program</w:t>
      </w:r>
      <w:r>
        <w:rPr>
          <w:rFonts w:ascii="Times New Roman" w:hAnsi="Times New Roman"/>
          <w:sz w:val="20"/>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sz w:val="20"/>
        </w:rPr>
        <w:t>Non-Employee Director</w:t>
      </w:r>
      <w:r>
        <w:rPr>
          <w:rFonts w:ascii="Times New Roman" w:hAnsi="Times New Roman"/>
          <w:sz w:val="20"/>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shall become effective on the date of the effectiveness of the Companys Registration Statement on Form S-1 relating to the initial public offering of the Companys common stock (the </w:t>
      </w:r>
      <w:r>
        <w:rPr>
          <w:rFonts w:ascii="Times New Roman" w:hAnsi="Times New Roman"/>
          <w:b/>
          <w:i/>
          <w:sz w:val="20"/>
        </w:rPr>
        <w:t>Effective Date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CASH COMPENSATION </w:t>
      </w:r>
    </w:p>
    <w:p>
      <w:pPr>
        <w:pStyle w:val="TextBody"/>
        <w:bidi w:val="0"/>
        <w:spacing w:before="120" w:after="0"/>
        <w:jc w:val="both"/>
        <w:rPr>
          <w:rFonts w:ascii="Times New Roman" w:hAnsi="Times New Roman"/>
          <w:sz w:val="20"/>
        </w:rPr>
      </w:pPr>
      <w:r>
        <w:rPr>
          <w:rFonts w:ascii="Times New Roman" w:hAnsi="Times New Roman"/>
          <w:sz w:val="20"/>
        </w:rPr>
        <w:t>The schedule of annual retainers (the </w:t>
      </w:r>
      <w:r>
        <w:rPr>
          <w:rFonts w:ascii="Times New Roman" w:hAnsi="Times New Roman"/>
          <w:b/>
          <w:i/>
          <w:sz w:val="20"/>
        </w:rPr>
        <w:t>Annual Retainers</w:t>
      </w:r>
      <w:r>
        <w:rPr>
          <w:rFonts w:ascii="Times New Roman" w:hAnsi="Times New Roman"/>
          <w:sz w:val="20"/>
        </w:rPr>
        <w:t xml:space="preserve">) for the Non-Employee Directors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50"/>
        <w:gridCol w:w="353"/>
        <w:gridCol w:w="147"/>
        <w:gridCol w:w="726"/>
        <w:gridCol w:w="63"/>
      </w:tblGrid>
      <w:tr>
        <w:trPr/>
        <w:tc>
          <w:tcPr>
            <w:tcW w:w="565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353"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Base Board Retainer</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40,000</w:t>
            </w:r>
          </w:p>
        </w:tc>
        <w:tc>
          <w:tcPr>
            <w:tcW w:w="63" w:type="dxa"/>
            <w:tcBorders/>
            <w:shd w:fill="CCEEFF" w:val="clear"/>
            <w:vAlign w:val="bottom"/>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sz w:val="20"/>
              </w:rPr>
            </w:pPr>
            <w:r>
              <w:rPr>
                <w:rFonts w:ascii="Times New Roman" w:hAnsi="Times New Roman"/>
                <w:sz w:val="20"/>
              </w:rPr>
              <w:t>Chair of the Board or Lead Independent Director</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30,000</w:t>
            </w:r>
          </w:p>
        </w:tc>
        <w:tc>
          <w:tcPr>
            <w:tcW w:w="63" w:type="dxa"/>
            <w:tcBorders/>
            <w:vAlign w:val="bottom"/>
          </w:tcPr>
          <w:p>
            <w:pPr>
              <w:pStyle w:val="TableContents"/>
              <w:bidi w:val="0"/>
              <w:spacing w:before="0" w:after="283"/>
              <w:jc w:val="left"/>
              <w:rPr/>
            </w:pPr>
            <w:r>
              <w:rPr/>
              <w:t> </w:t>
            </w:r>
          </w:p>
        </w:tc>
      </w:tr>
      <w:tr>
        <w:trPr/>
        <w:tc>
          <w:tcPr>
            <w:tcW w:w="5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 of Audit Committee</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15,000</w:t>
            </w:r>
          </w:p>
        </w:tc>
        <w:tc>
          <w:tcPr>
            <w:tcW w:w="63" w:type="dxa"/>
            <w:tcBorders/>
            <w:shd w:fill="CCEEFF" w:val="clear"/>
            <w:vAlign w:val="bottom"/>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sz w:val="20"/>
              </w:rPr>
            </w:pPr>
            <w:r>
              <w:rPr>
                <w:rFonts w:ascii="Times New Roman" w:hAnsi="Times New Roman"/>
                <w:sz w:val="20"/>
              </w:rPr>
              <w:t>Chair of Compensation Committee</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12,000</w:t>
            </w:r>
          </w:p>
        </w:tc>
        <w:tc>
          <w:tcPr>
            <w:tcW w:w="63" w:type="dxa"/>
            <w:tcBorders/>
            <w:vAlign w:val="bottom"/>
          </w:tcPr>
          <w:p>
            <w:pPr>
              <w:pStyle w:val="TableContents"/>
              <w:bidi w:val="0"/>
              <w:spacing w:before="0" w:after="283"/>
              <w:jc w:val="left"/>
              <w:rPr/>
            </w:pPr>
            <w:r>
              <w:rPr/>
              <w:t> </w:t>
            </w:r>
          </w:p>
        </w:tc>
      </w:tr>
      <w:tr>
        <w:trPr/>
        <w:tc>
          <w:tcPr>
            <w:tcW w:w="5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 of Nominating and Corporate Governance Committee</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10,000</w:t>
            </w:r>
          </w:p>
        </w:tc>
        <w:tc>
          <w:tcPr>
            <w:tcW w:w="63" w:type="dxa"/>
            <w:tcBorders/>
            <w:shd w:fill="CCEEFF" w:val="clear"/>
            <w:vAlign w:val="bottom"/>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sz w:val="20"/>
              </w:rPr>
            </w:pPr>
            <w:r>
              <w:rPr>
                <w:rFonts w:ascii="Times New Roman" w:hAnsi="Times New Roman"/>
                <w:sz w:val="20"/>
              </w:rPr>
              <w:t>Member of Audit Committee (non-Chair)</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7,500</w:t>
            </w:r>
          </w:p>
        </w:tc>
        <w:tc>
          <w:tcPr>
            <w:tcW w:w="63" w:type="dxa"/>
            <w:tcBorders/>
            <w:vAlign w:val="bottom"/>
          </w:tcPr>
          <w:p>
            <w:pPr>
              <w:pStyle w:val="TableContents"/>
              <w:bidi w:val="0"/>
              <w:spacing w:before="0" w:after="283"/>
              <w:jc w:val="left"/>
              <w:rPr/>
            </w:pPr>
            <w:r>
              <w:rPr/>
              <w:t> </w:t>
            </w:r>
          </w:p>
        </w:tc>
      </w:tr>
      <w:tr>
        <w:trPr/>
        <w:tc>
          <w:tcPr>
            <w:tcW w:w="5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 of Compensation Committee (non-Chair)</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6,000</w:t>
            </w:r>
          </w:p>
        </w:tc>
        <w:tc>
          <w:tcPr>
            <w:tcW w:w="63" w:type="dxa"/>
            <w:tcBorders/>
            <w:shd w:fill="CCEEFF" w:val="clear"/>
            <w:vAlign w:val="bottom"/>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sz w:val="20"/>
              </w:rPr>
            </w:pPr>
            <w:r>
              <w:rPr>
                <w:rFonts w:ascii="Times New Roman" w:hAnsi="Times New Roman"/>
                <w:sz w:val="20"/>
              </w:rPr>
              <w:t>Member of Nominating and Corporate Governance Committee (non-Chair)</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The Board may adopt a program that allows Non-Employee Directors to defer Annual Retainers.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w:t>
      </w:r>
    </w:p>
    <w:p>
      <w:pPr>
        <w:pStyle w:val="TextBody"/>
        <w:bidi w:val="0"/>
        <w:spacing w:before="120" w:after="0"/>
        <w:jc w:val="both"/>
        <w:rPr>
          <w:rFonts w:ascii="Times New Roman" w:hAnsi="Times New Roman"/>
          <w:sz w:val="20"/>
        </w:rPr>
      </w:pPr>
      <w:r>
        <w:rPr>
          <w:rFonts w:ascii="Times New Roman" w:hAnsi="Times New Roman"/>
          <w:sz w:val="20"/>
        </w:rPr>
        <w:t>Each Non-Employee Director shall be granted the equity awards described below, which equity awards shall be granted under and subject to the terms and provisions of the Companys 2024 Incentive Award Plan or any other applicable Company equity incentive plan then-maintained by the Company (the </w:t>
      </w:r>
      <w:r>
        <w:rPr>
          <w:rFonts w:ascii="Times New Roman" w:hAnsi="Times New Roman"/>
          <w:b/>
          <w:i/>
          <w:sz w:val="20"/>
        </w:rPr>
        <w:t>Equity Plan</w:t>
      </w:r>
      <w:r>
        <w:rPr>
          <w:rFonts w:ascii="Times New Roman" w:hAnsi="Times New Roman"/>
          <w:sz w:val="20"/>
        </w:rPr>
        <w:t xml:space="preserve">)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Initial Awards</w:t>
      </w:r>
      <w:r>
        <w:rPr>
          <w:rFonts w:ascii="Times New Roman" w:hAnsi="Times New Roman"/>
          <w:sz w:val="20"/>
        </w:rPr>
        <w:t>. Each Non-Employee Director who is initially elected or appointed to the Board following the Effective Date shall be automatically granted stock options to purchase 44,500 shares of the Companys common stock under the Equity Plan on the date of such initial election or appointment. The awards described in this Section shall be referred to as </w:t>
      </w:r>
      <w:r>
        <w:rPr>
          <w:rFonts w:ascii="Times New Roman" w:hAnsi="Times New Roman"/>
          <w:b/>
          <w:i/>
          <w:sz w:val="20"/>
        </w:rPr>
        <w:t>Initial Awards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Awards</w:t>
      </w:r>
      <w:r>
        <w:rPr>
          <w:rFonts w:ascii="Times New Roman" w:hAnsi="Times New Roman"/>
          <w:sz w:val="20"/>
        </w:rPr>
        <w:t>. A Non-Employee Director who (i) is serving on the Board as of the date of any annual meeting of the Companys stockholders following the Effective Date, and (ii) will continue to serve as a Non-Employee Director immediately following such meeting, shall be automatically granted stock options to purchase 22,250 shares of the Companys common stock under the Equity Plan on the date of such annual meeting. The awards described in this Section shall be referred to as </w:t>
      </w:r>
      <w:r>
        <w:rPr>
          <w:rFonts w:ascii="Times New Roman" w:hAnsi="Times New Roman"/>
          <w:b/>
          <w:i/>
          <w:sz w:val="20"/>
        </w:rPr>
        <w:t>Annual Awards</w:t>
      </w:r>
      <w:r>
        <w:rPr>
          <w:rFonts w:ascii="Times New Roman" w:hAnsi="Times New Roman"/>
          <w:sz w:val="20"/>
        </w:rPr>
        <w:t xml:space="preserve">.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 </w:t>
      </w:r>
    </w:p>
    <w:p>
      <w:pPr>
        <w:pStyle w:val="TextBody"/>
        <w:bidi w:val="0"/>
        <w:spacing w:before="240" w:after="0"/>
        <w:jc w:val="both"/>
        <w:rPr>
          <w:rFonts w:ascii="Times New Roman" w:hAnsi="Times New Roman"/>
          <w:sz w:val="20"/>
        </w:rPr>
      </w:pPr>
      <w:r>
        <w:rPr>
          <w:rFonts w:ascii="Times New Roman" w:hAnsi="Times New Roman"/>
          <w:sz w:val="20"/>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hAnsi="Times New Roman"/>
          <w:b/>
          <w:i/>
          <w:sz w:val="20"/>
        </w:rPr>
        <w:t>Prorated Annual Award</w:t>
      </w:r>
      <w:r>
        <w:rPr>
          <w:rFonts w:ascii="Times New Roman" w:hAnsi="Times New Roman"/>
          <w:sz w:val="20"/>
        </w:rPr>
        <w:t xml:space="preserve"> means the product determined by multiplying (i) the Annual Award, by (ii) a fraction, the numerator of which is equal to (x) 365 minus (y) the number of days that elapsed from the date of the annual meeting of the Companys stockholders preceding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Non-Employee Directors date of initial election or appointment to the date of such initial election or appointment, and the denominator of which is 365.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Terms of Awards Granted to Non-Employee Directors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1. </w:t>
      </w:r>
      <w:r>
        <w:rPr>
          <w:rFonts w:ascii="Times New Roman" w:hAnsi="Times New Roman"/>
          <w:i/>
          <w:sz w:val="20"/>
        </w:rPr>
        <w:t>Vesting</w:t>
      </w:r>
      <w:r>
        <w:rPr>
          <w:rFonts w:ascii="Times New Roman" w:hAnsi="Times New Roman"/>
          <w:sz w:val="20"/>
        </w:rPr>
        <w:t xml:space="preserve">. Each Initial Award shall vest and become exercisable in substantially equal monthly installments over the three (3) years 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such vesting date. </w:t>
      </w:r>
    </w:p>
    <w:p>
      <w:pPr>
        <w:pStyle w:val="TextBody"/>
        <w:bidi w:val="0"/>
        <w:spacing w:before="120" w:after="0"/>
        <w:jc w:val="both"/>
        <w:rPr>
          <w:rFonts w:ascii="Times New Roman" w:hAnsi="Times New Roman"/>
          <w:sz w:val="20"/>
        </w:rPr>
      </w:pPr>
      <w:r>
        <w:rPr>
          <w:rFonts w:ascii="Times New Roman" w:hAnsi="Times New Roman"/>
          <w:sz w:val="20"/>
        </w:rPr>
        <w:t xml:space="preserve">2. </w:t>
      </w:r>
      <w:r>
        <w:rPr>
          <w:rFonts w:ascii="Times New Roman" w:hAnsi="Times New Roman"/>
          <w:i/>
          <w:sz w:val="20"/>
        </w:rPr>
        <w:t>Forfeiture.</w:t>
      </w:r>
      <w:r>
        <w:rPr>
          <w:rFonts w:ascii="Times New Roman" w:hAnsi="Times New Roman"/>
          <w:sz w:val="20"/>
        </w:rPr>
        <w:t xml:space="preserve"> Unless the Board otherwise determines or as otherwise provided in this clause (2), any portion of an Initial Award or Annual 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upon a Non-Employee Directors Termination of Service by reason of death or Disability and immediately prior to the occurrence of a Change in Control (as defined in the Equity Plan), to the extent outstanding at such time. </w:t>
      </w:r>
    </w:p>
    <w:p>
      <w:pPr>
        <w:pStyle w:val="TextBody"/>
        <w:bidi w:val="0"/>
        <w:spacing w:before="120" w:after="0"/>
        <w:jc w:val="both"/>
        <w:rPr>
          <w:rFonts w:ascii="Times New Roman" w:hAnsi="Times New Roman"/>
          <w:sz w:val="20"/>
        </w:rPr>
      </w:pPr>
      <w:r>
        <w:rPr>
          <w:rFonts w:ascii="Times New Roman" w:hAnsi="Times New Roman"/>
          <w:sz w:val="20"/>
        </w:rPr>
        <w:t xml:space="preserve">3. </w:t>
      </w:r>
      <w:r>
        <w:rPr>
          <w:rFonts w:ascii="Times New Roman" w:hAnsi="Times New Roman"/>
          <w:i/>
          <w:sz w:val="20"/>
        </w:rPr>
        <w:t>Reimbursements</w:t>
      </w:r>
      <w:r>
        <w:rPr>
          <w:rFonts w:ascii="Times New Roman" w:hAnsi="Times New Roman"/>
          <w:sz w:val="20"/>
        </w:rPr>
        <w:t xml:space="preserve">.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56" w:name="d551455dex1018.htm"/>
      <w:bookmarkStart w:id="57" w:name="ksd551455dex1018"/>
      <w:bookmarkEnd w:id="56"/>
      <w:bookmarkEnd w:id="57"/>
      <w:r>
        <w:rPr>
          <w:rFonts w:ascii="Times New Roman" w:hAnsi="Times New Roman"/>
          <w:b/>
          <w:sz w:val="20"/>
        </w:rPr>
        <w:t xml:space="preserve">Exhibit 10.18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EMPLOYMENT AGREEMENT </w:t>
      </w:r>
    </w:p>
    <w:p>
      <w:pPr>
        <w:pStyle w:val="TextBody"/>
        <w:bidi w:val="0"/>
        <w:spacing w:before="240" w:after="0"/>
        <w:jc w:val="left"/>
        <w:rPr>
          <w:rFonts w:ascii="Times New Roman" w:hAnsi="Times New Roman"/>
          <w:sz w:val="20"/>
        </w:rPr>
      </w:pPr>
      <w:r>
        <w:rPr>
          <w:rFonts w:ascii="Times New Roman" w:hAnsi="Times New Roman"/>
          <w:sz w:val="20"/>
        </w:rPr>
        <w:t>This Employment Agreement (this </w:t>
      </w:r>
      <w:r>
        <w:rPr>
          <w:rFonts w:ascii="Times New Roman" w:hAnsi="Times New Roman"/>
          <w:sz w:val="20"/>
          <w:u w:val="single"/>
        </w:rPr>
        <w:t>Agreement</w:t>
      </w:r>
      <w:r>
        <w:rPr>
          <w:rFonts w:ascii="Times New Roman" w:hAnsi="Times New Roman"/>
          <w:sz w:val="20"/>
        </w:rPr>
        <w:t>) is made by and between CG Oncology, Inc. (the </w:t>
      </w:r>
      <w:r>
        <w:rPr>
          <w:rFonts w:ascii="Times New Roman" w:hAnsi="Times New Roman"/>
          <w:sz w:val="20"/>
          <w:u w:val="single"/>
        </w:rPr>
        <w:t>Company</w:t>
      </w:r>
      <w:r>
        <w:rPr>
          <w:rFonts w:ascii="Times New Roman" w:hAnsi="Times New Roman"/>
          <w:sz w:val="20"/>
        </w:rPr>
        <w:t>), and Corleen Roche (</w:t>
      </w:r>
      <w:r>
        <w:rPr>
          <w:rFonts w:ascii="Times New Roman" w:hAnsi="Times New Roman"/>
          <w:sz w:val="20"/>
          <w:u w:val="single"/>
        </w:rPr>
        <w:t>Executive</w:t>
      </w:r>
      <w:r>
        <w:rPr>
          <w:rFonts w:ascii="Times New Roman" w:hAnsi="Times New Roman"/>
          <w:sz w:val="20"/>
        </w:rPr>
        <w:t>) (collectively referred to herein as the </w:t>
      </w:r>
      <w:r>
        <w:rPr>
          <w:rFonts w:ascii="Times New Roman" w:hAnsi="Times New Roman"/>
          <w:sz w:val="20"/>
          <w:u w:val="single"/>
        </w:rPr>
        <w:t>Parties</w:t>
      </w:r>
      <w:r>
        <w:rPr>
          <w:rFonts w:ascii="Times New Roman" w:hAnsi="Times New Roman"/>
          <w:sz w:val="20"/>
        </w:rPr>
        <w:t> or individually referred to as a </w:t>
      </w:r>
      <w:r>
        <w:rPr>
          <w:rFonts w:ascii="Times New Roman" w:hAnsi="Times New Roman"/>
          <w:sz w:val="20"/>
          <w:u w:val="single"/>
        </w:rPr>
        <w:t>Party</w:t>
      </w:r>
      <w:r>
        <w:rPr>
          <w:rFonts w:ascii="Times New Roman" w:hAnsi="Times New Roman"/>
          <w:sz w:val="20"/>
        </w:rPr>
        <w:t>), effective as of January 16, 2024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seeks to employ Executive as its Chief Financial Officer;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enter into an agreement setting forth the terms of such employment as of the Effective Date, which supersedes any and all prior understandings and agreements, whether written or oral, including any prior employment offer letters, between Executive and the Company or any of its affiliates,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of the respective covenants and agreements set forth below,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Employment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Effective on the Effective Date, the Company shall employ Executive, and Executive shall be employed by the Company, for the period and in the positions set forth in this Section 1, and subject to the other terms and conditions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At-Will Employment</w:t>
      </w:r>
      <w:r>
        <w:rPr>
          <w:rFonts w:ascii="Times New Roman" w:hAnsi="Times New Roman"/>
          <w:sz w:val="20"/>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hAnsi="Times New Roman"/>
          <w:sz w:val="20"/>
          <w:u w:val="single"/>
        </w:rPr>
        <w:t>Term</w:t>
      </w:r>
      <w:r>
        <w:rPr>
          <w:rFonts w:ascii="Times New Roman" w:hAnsi="Times New Roman"/>
          <w:sz w:val="20"/>
        </w:rPr>
        <w:t xml:space="preserve">) shall commence on the Effective Date and end on the date this Agreement is terminated under Section 3.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Positions and Duties</w:t>
      </w:r>
      <w:r>
        <w:rPr>
          <w:rFonts w:ascii="Times New Roman" w:hAnsi="Times New Roman"/>
          <w:sz w:val="20"/>
        </w:rPr>
        <w:t>. During the Term, Executive shall serve as Chief Financial Officer of the Company, with such responsibilities, duties and authority normally associated with such position and as may from time to time be reasonably assigned to Executive by the Chief Executive Officer of the Company (the </w:t>
      </w:r>
      <w:r>
        <w:rPr>
          <w:rFonts w:ascii="Times New Roman" w:hAnsi="Times New Roman"/>
          <w:sz w:val="20"/>
          <w:u w:val="single"/>
        </w:rPr>
        <w:t>CEO</w:t>
      </w:r>
      <w:r>
        <w:rPr>
          <w:rFonts w:ascii="Times New Roman" w:hAnsi="Times New Roman"/>
          <w:sz w:val="20"/>
        </w:rPr>
        <w:t>).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 the Board of Directors (the </w:t>
      </w:r>
      <w:r>
        <w:rPr>
          <w:rFonts w:ascii="Times New Roman" w:hAnsi="Times New Roman"/>
          <w:sz w:val="20"/>
          <w:u w:val="single"/>
        </w:rPr>
        <w:t>Board</w:t>
      </w:r>
      <w:r>
        <w:rPr>
          <w:rFonts w:ascii="Times New Roman" w:hAnsi="Times New Roman"/>
          <w:sz w:val="20"/>
        </w:rPr>
        <w:t xml:space="preserve">) of the Company, </w:t>
      </w:r>
      <w:r>
        <w:rPr>
          <w:rFonts w:ascii="Times New Roman" w:hAnsi="Times New Roman"/>
          <w:i/>
          <w:sz w:val="20"/>
        </w:rPr>
        <w:t>provided</w:t>
      </w:r>
      <w:r>
        <w:rPr>
          <w:rFonts w:ascii="Times New Roman" w:hAnsi="Times New Roman"/>
          <w:sz w:val="20"/>
        </w:rPr>
        <w:t xml:space="preserve"> that Executive shall be permitted to (i) manage Executives personal, financial and legal affairs, (ii) participate in trade associations, (iii) continue to provide transitional consulting services under her agreement with Immunome until April 5, 2023; and (iv)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 from time to time (to the extent they do not conflict with the terms of this Agreement), in each case, as amended from time to time, and as delivered or made available to Executive (each, a </w:t>
      </w:r>
      <w:r>
        <w:rPr>
          <w:rFonts w:ascii="Times New Roman" w:hAnsi="Times New Roman"/>
          <w:sz w:val="20"/>
          <w:u w:val="single"/>
        </w:rPr>
        <w:t>Policy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Principal Location</w:t>
      </w:r>
      <w:r>
        <w:rPr>
          <w:rFonts w:ascii="Times New Roman" w:hAnsi="Times New Roman"/>
          <w:sz w:val="20"/>
        </w:rPr>
        <w:t xml:space="preserve">. During the Term, Executive shall perform the services required by this Agreement remotely from her residence in the Philadelphia, Pennsylvania metropolitan area,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acknowledge and agree that Executive may be required to travel to other locations as may be necessary to fulfill Executives duties and responsibilities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Compensation and Related Matters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Base Salary</w:t>
      </w:r>
      <w:r>
        <w:rPr>
          <w:rFonts w:ascii="Times New Roman" w:hAnsi="Times New Roman"/>
          <w:sz w:val="20"/>
        </w:rPr>
        <w:t>. During the Term, Executive shall receive a base salary at a rate initially of $450,000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hAnsi="Times New Roman"/>
          <w:sz w:val="20"/>
          <w:u w:val="single"/>
        </w:rPr>
        <w:t>Annual Base Salary</w:t>
      </w:r>
      <w:r>
        <w:rPr>
          <w:rFonts w:ascii="Times New Roman" w:hAnsi="Times New Roman"/>
          <w:sz w:val="20"/>
        </w:rPr>
        <w:t>) by the Board or its compensation committee (</w:t>
      </w:r>
      <w:r>
        <w:rPr>
          <w:rFonts w:ascii="Times New Roman" w:hAnsi="Times New Roman"/>
          <w:sz w:val="20"/>
          <w:u w:val="single"/>
        </w:rPr>
        <w:t>Compensation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Cash Bonus Opportunity</w:t>
      </w:r>
      <w:r>
        <w:rPr>
          <w:rFonts w:ascii="Times New Roman" w:hAnsi="Times New Roman"/>
          <w:sz w:val="20"/>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hAnsi="Times New Roman"/>
          <w:sz w:val="20"/>
          <w:u w:val="single"/>
        </w:rPr>
        <w:t>Target Bonus</w:t>
      </w:r>
      <w:r>
        <w:rPr>
          <w:rFonts w:ascii="Times New Roman" w:hAnsi="Times New Roman"/>
          <w:sz w:val="20"/>
        </w:rPr>
        <w:t>) of 40% of the Annual Base Salary. The annual bonus payable under the incentive program (</w:t>
      </w:r>
      <w:r>
        <w:rPr>
          <w:rFonts w:ascii="Times New Roman" w:hAnsi="Times New Roman"/>
          <w:sz w:val="20"/>
          <w:u w:val="single"/>
        </w:rPr>
        <w:t>Annual Bonus</w:t>
      </w:r>
      <w:r>
        <w:rPr>
          <w:rFonts w:ascii="Times New Roman" w:hAnsi="Times New Roman"/>
          <w:sz w:val="20"/>
        </w:rPr>
        <w:t xml:space="preserve">) 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15th of the year immediately following the applicable year for which such Annual Bonus is being paid. The Executives annual Bonus for 2024 shall be pro-rated to reflect the portion of such year following January 16, 2024.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Sign-On Bonus</w:t>
      </w:r>
      <w:r>
        <w:rPr>
          <w:rFonts w:ascii="Times New Roman" w:hAnsi="Times New Roman"/>
          <w:sz w:val="20"/>
        </w:rPr>
        <w:t>. Executive shall be entitled to a one-time signing bonus equal to the amount of $30,000, less any taxable withholdings (the </w:t>
      </w:r>
      <w:r>
        <w:rPr>
          <w:rFonts w:ascii="Times New Roman" w:hAnsi="Times New Roman"/>
          <w:sz w:val="20"/>
          <w:u w:val="single"/>
        </w:rPr>
        <w:t>Sign-On Bonus</w:t>
      </w:r>
      <w:r>
        <w:rPr>
          <w:rFonts w:ascii="Times New Roman" w:hAnsi="Times New Roman"/>
          <w:sz w:val="20"/>
        </w:rPr>
        <w:t xml:space="preserve">), which will be paid not later than thirty (30) days following the Effective Date. If Executive is terminated for Cause or voluntarily leaves the Company without Good Reason prior to completing twenty-four (24) months of service from the Effective Date, Executive shall be required to repay to the Company, within thirty (30) days following Executives last day of employment with the Company, 100% of the Sign-On Bonus.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Equity Awards</w:t>
      </w:r>
      <w:r>
        <w:rPr>
          <w:rFonts w:ascii="Times New Roman" w:hAnsi="Times New Roman"/>
          <w:sz w:val="20"/>
        </w:rPr>
        <w:t>. During the Term, Executive will be eligible to participate and receive awards under the Companys equity plans as in effect from time to time. As soon as practicable after the Effective Date, the Compensation Committee of the Board shall approve a grant of stock options to purchase 4,700,000 shares of the Companys common stock (which number does not give effect to the reverse stock split to be implemented by the Company in connection with the Companys initial public offering (the </w:t>
      </w:r>
      <w:r>
        <w:rPr>
          <w:rFonts w:ascii="Times New Roman" w:hAnsi="Times New Roman"/>
          <w:sz w:val="20"/>
          <w:u w:val="single"/>
        </w:rPr>
        <w:t>IPO</w:t>
      </w:r>
      <w:r>
        <w:rPr>
          <w:rFonts w:ascii="Times New Roman" w:hAnsi="Times New Roman"/>
          <w:sz w:val="20"/>
        </w:rPr>
        <w:t>), and will be adjusted accordingly prior to grant to reflect the effect of such reverse stock split) (the </w:t>
      </w:r>
      <w:r>
        <w:rPr>
          <w:rFonts w:ascii="Times New Roman" w:hAnsi="Times New Roman"/>
          <w:sz w:val="20"/>
          <w:u w:val="single"/>
        </w:rPr>
        <w:t>Initial Option</w:t>
      </w:r>
      <w:r>
        <w:rPr>
          <w:rFonts w:ascii="Times New Roman" w:hAnsi="Times New Roman"/>
          <w:sz w:val="20"/>
        </w:rPr>
        <w:t>). The grant date of the Initial Option will be the date upon which the Companys Registration Statement on Form S-1 filed with the Securities and Exchange Commission (</w:t>
      </w:r>
      <w:r>
        <w:rPr>
          <w:rFonts w:ascii="Times New Roman" w:hAnsi="Times New Roman"/>
          <w:sz w:val="20"/>
          <w:u w:val="single"/>
        </w:rPr>
        <w:t>SEC</w:t>
      </w:r>
      <w:r>
        <w:rPr>
          <w:rFonts w:ascii="Times New Roman" w:hAnsi="Times New Roman"/>
          <w:sz w:val="20"/>
        </w:rPr>
        <w:t>) relating to the IPO becomes effective. The Initial Option shall be granted in accordance with the Companys 2024 Incentive Award Plan (the </w:t>
      </w:r>
      <w:r>
        <w:rPr>
          <w:rFonts w:ascii="Times New Roman" w:hAnsi="Times New Roman"/>
          <w:sz w:val="20"/>
          <w:u w:val="single"/>
        </w:rPr>
        <w:t>Plan</w:t>
      </w:r>
      <w:r>
        <w:rPr>
          <w:rFonts w:ascii="Times New Roman" w:hAnsi="Times New Roman"/>
          <w:sz w:val="20"/>
        </w:rPr>
        <w:t xml:space="preserve">) and related stock option documents. The Initial Option shall have an exercise price per share equal to the fair market value on the grant date, which the Company anticipates will equal the initial price to the public of a share of the Companys common stock in the IPO.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Executives continued employment with the Company, the Initial Option will vest over a four (4) year period starting on the Effective Date, with 25% of the shares vesting on the date that is twelve (12) months after the Effective Date and the remainder vesting in thirty-six (36) equal monthly installments over the subsequent three (3) year period. In the event the Companys IPO is not consummated on or before February 15, 2024, the Company will recommend the grant of the Initial Option to you with an exercise price equal to the fair market value on the date of grant, as determined by the Board, pursuant to the Companys 2022 Incentive Award Plan on similar terms to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Benefits</w:t>
      </w:r>
      <w:r>
        <w:rPr>
          <w:rFonts w:ascii="Times New Roman" w:hAnsi="Times New Roman"/>
          <w:sz w:val="20"/>
        </w:rPr>
        <w:t xml:space="preserve">.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2(d) shall create or be deemed to create any obligation on the part of the Company to adopt or maintain any health, welfare, retirement or other benefit plan or program at any time or to create any limitation on the Companys ability to modify or terminate any such plan or program.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Vacation or Paid Time Off</w:t>
      </w:r>
      <w:r>
        <w:rPr>
          <w:rFonts w:ascii="Times New Roman" w:hAnsi="Times New Roman"/>
          <w:sz w:val="20"/>
        </w:rPr>
        <w:t xml:space="preserve">.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Business Expenses</w:t>
      </w:r>
      <w:r>
        <w:rPr>
          <w:rFonts w:ascii="Times New Roman" w:hAnsi="Times New Roman"/>
          <w:sz w:val="20"/>
        </w:rPr>
        <w:t xml:space="preserve">. During the Term, the Company shall reimburse Executive for all reasonable travel and other business expenses incurred by Executive in the performance of Executives duties to the Company in accordance with the Companys Travel and Expense Reimbursement Policy.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Indemnification and D&amp;O Insurance</w:t>
      </w:r>
      <w:r>
        <w:rPr>
          <w:rFonts w:ascii="Times New Roman" w:hAnsi="Times New Roman"/>
          <w:sz w:val="20"/>
        </w:rPr>
        <w:t xml:space="preserve">.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Termination of Employment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Executives employment hereunder and the Term may be terminated by the Company or Executive, as applicable, without any breach of this Agreement under the following circumstances and the Term will end on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Death</w:t>
      </w:r>
      <w:r>
        <w:rPr>
          <w:rFonts w:ascii="Times New Roman" w:hAnsi="Times New Roman"/>
          <w:sz w:val="20"/>
        </w:rPr>
        <w:t xml:space="preserve">. Executives employment hereunder shall terminate upon Executives death.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Disability</w:t>
      </w:r>
      <w:r>
        <w:rPr>
          <w:rFonts w:ascii="Times New Roman" w:hAnsi="Times New Roman"/>
          <w:sz w:val="20"/>
        </w:rPr>
        <w:t xml:space="preserve">. If Executive has incurred a Disability (as defined below), the Company may terminate Executives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Termination for Cause</w:t>
      </w:r>
      <w:r>
        <w:rPr>
          <w:rFonts w:ascii="Times New Roman" w:hAnsi="Times New Roman"/>
          <w:sz w:val="20"/>
        </w:rPr>
        <w:t xml:space="preserve">. The Company may terminate Executives employment for Cause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Termination without Cause</w:t>
      </w:r>
      <w:r>
        <w:rPr>
          <w:rFonts w:ascii="Times New Roman" w:hAnsi="Times New Roman"/>
          <w:sz w:val="20"/>
        </w:rPr>
        <w:t xml:space="preserve">. The Company may terminate Executives employment without Cause.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Resignation from the Company with Good Reason. </w:t>
      </w:r>
      <w:r>
        <w:rPr>
          <w:rFonts w:ascii="Times New Roman" w:hAnsi="Times New Roman"/>
          <w:sz w:val="20"/>
        </w:rPr>
        <w:t xml:space="preserve">Executive may resign Executives employment with the Company with Good Reason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Resignation from the Company without Good Reason</w:t>
      </w:r>
      <w:r>
        <w:rPr>
          <w:rFonts w:ascii="Times New Roman" w:hAnsi="Times New Roman"/>
          <w:sz w:val="20"/>
        </w:rPr>
        <w:t xml:space="preserve">. Executive may resign Executives employment with the Company for any reason other than Good Reason or for no reason.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Termination</w:t>
      </w:r>
      <w:r>
        <w:rPr>
          <w:rFonts w:ascii="Times New Roman" w:hAnsi="Times New Roman"/>
          <w:sz w:val="20"/>
        </w:rPr>
        <w:t xml:space="preserve">. Any termination of Executives employment by the Company or by Executive under this </w:t>
      </w:r>
      <w:r>
        <w:rPr>
          <w:rFonts w:ascii="Times New Roman" w:hAnsi="Times New Roman"/>
          <w:sz w:val="20"/>
          <w:u w:val="single"/>
        </w:rPr>
        <w:t>Section 3</w:t>
      </w:r>
      <w:r>
        <w:rPr>
          <w:rFonts w:ascii="Times New Roman" w:hAnsi="Times New Roman"/>
          <w:sz w:val="20"/>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sz w:val="20"/>
          <w:u w:val="single"/>
        </w:rPr>
        <w:t>Notice of Termination</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Obligations upon Termination</w:t>
      </w:r>
      <w:r>
        <w:rPr>
          <w:rFonts w:ascii="Times New Roman" w:hAnsi="Times New Roman"/>
          <w:sz w:val="20"/>
        </w:rPr>
        <w:t xml:space="preserve">. Upon termination of Executives employment pursuant to any of the circumstances listed in this </w:t>
      </w:r>
      <w:r>
        <w:rPr>
          <w:rFonts w:ascii="Times New Roman" w:hAnsi="Times New Roman"/>
          <w:sz w:val="20"/>
          <w:u w:val="single"/>
        </w:rPr>
        <w:t>Section 3</w:t>
      </w:r>
      <w:r>
        <w:rPr>
          <w:rFonts w:ascii="Times New Roman" w:hAnsi="Times New Roman"/>
          <w:sz w:val="20"/>
        </w:rPr>
        <w:t>, Executive (or Executives estate, if applicable) shall be entitled to receive the following (the </w:t>
      </w:r>
      <w:r>
        <w:rPr>
          <w:rFonts w:ascii="Times New Roman" w:hAnsi="Times New Roman"/>
          <w:sz w:val="20"/>
          <w:u w:val="single"/>
        </w:rPr>
        <w:t>Accrued Obligations</w:t>
      </w:r>
      <w:r>
        <w:rPr>
          <w:rFonts w:ascii="Times New Roman" w:hAnsi="Times New Roman"/>
          <w:sz w:val="20"/>
        </w:rPr>
        <w:t>): (i) 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sz w:val="20"/>
          <w:u w:val="single"/>
        </w:rPr>
        <w:t>Company Arrangements</w:t>
      </w:r>
      <w:r>
        <w:rPr>
          <w:rFonts w:ascii="Times New Roman" w:hAnsi="Times New Roman"/>
          <w:sz w:val="20"/>
        </w:rPr>
        <w:t>). Except as otherwise expressly required by law (</w:t>
      </w:r>
      <w:r>
        <w:rPr>
          <w:rFonts w:ascii="Times New Roman" w:hAnsi="Times New Roman"/>
          <w:sz w:val="20"/>
          <w:u w:val="single"/>
        </w:rPr>
        <w:t>e.g.</w:t>
      </w:r>
      <w:r>
        <w:rPr>
          <w:rFonts w:ascii="Times New Roman" w:hAnsi="Times New Roman"/>
          <w:sz w:val="20"/>
        </w:rPr>
        <w:t xml:space="preserve">,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Deemed Resignation</w:t>
      </w:r>
      <w:r>
        <w:rPr>
          <w:rFonts w:ascii="Times New Roman" w:hAnsi="Times New Roman"/>
          <w:sz w:val="20"/>
        </w:rPr>
        <w:t xml:space="preserve">. Upon termination of Executives employment for any reason, Executive shall be deemed to have resigned from all offices and directorships, if any, then held with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Return of Property</w:t>
      </w:r>
      <w:r>
        <w:rPr>
          <w:rFonts w:ascii="Times New Roman" w:hAnsi="Times New Roman"/>
          <w:sz w:val="20"/>
        </w:rPr>
        <w:t xml:space="preserve">.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her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Severance Payments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hAnsi="Times New Roman"/>
          <w:sz w:val="20"/>
        </w:rPr>
        <w:t xml:space="preserve">. If Executives employment shall terminate as a result of Executives death pursuant to Section (a)(i) or Disability pursuant to Section 1(a)(ii), pursuant to Section 1(a)(iii) for Cause, pursuant to Section (a)(vi)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1(c).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without Cause Prior to a Change in Control or More Than Eighteen (18) Months Following a Change in Control</w:t>
      </w:r>
      <w:r>
        <w:rPr>
          <w:rFonts w:ascii="Times New Roman" w:hAnsi="Times New Roman"/>
          <w:sz w:val="20"/>
        </w:rPr>
        <w:t xml:space="preserve">. If Executives employment terminates without Cause pursuant to Section 1(a)(iv),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1(c),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 amount in cash equal to 0.75 times Executives Annual Base Salary as in effect immediately prior to the Date of Termination, payable in a lump sum on the first regular payroll date following the effective date of Executives Release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(ii) an amount in cash equal to the Target Bonus (and without regard to any reduction in the Target Bonus that resulted in Executives resignation with Good Reason), prorated to reflect the portion of the year in which the Date of Termination occurs that has elapsed prior to the Date of Termination, payable in a lump sum on the first regular payroll date following the effective date of Executives Release (but in no event later than March 15 of the calendar year following the year in which Executives Date of Termination occurs); </w:t>
      </w:r>
    </w:p>
    <w:p>
      <w:pPr>
        <w:pStyle w:val="TextBody"/>
        <w:bidi w:val="0"/>
        <w:spacing w:before="120" w:after="0"/>
        <w:jc w:val="left"/>
        <w:rPr>
          <w:rFonts w:ascii="Times New Roman" w:hAnsi="Times New Roman"/>
          <w:sz w:val="20"/>
        </w:rPr>
      </w:pPr>
      <w:r>
        <w:rPr>
          <w:rFonts w:ascii="Times New Roman" w:hAnsi="Times New Roman"/>
          <w:sz w:val="20"/>
        </w:rPr>
        <w:t>(iii) 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sz w:val="20"/>
          <w:u w:val="single"/>
        </w:rPr>
        <w:t>COBRA</w:t>
      </w:r>
      <w:r>
        <w:rPr>
          <w:rFonts w:ascii="Times New Roman" w:hAnsi="Times New Roman"/>
          <w:sz w:val="20"/>
        </w:rPr>
        <w:t xml:space="preserve">), then the Company shall directly pay, or reimburse Executive for, the COBRA premiums for Executive and Executives covered dependents under such plans during the period commencing on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Separation from Service and ending upon the earliest of (A) the last day of the nine (9)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hAnsi="Times New Roman"/>
          <w:sz w:val="20"/>
          <w:u w:val="single"/>
        </w:rPr>
        <w:t>COBRA Continuation Period</w:t>
      </w:r>
      <w:r>
        <w:rPr>
          <w:rFonts w:ascii="Times New Roman" w:hAnsi="Times New Roman"/>
          <w:sz w:val="20"/>
        </w:rPr>
        <w:t xml:space="preserve">).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her covered dependents based on the cost sharing levels in effect on the Date of Termination, which payments shall for the remainder of the COBRA Continuation Period; and </w:t>
      </w:r>
    </w:p>
    <w:p>
      <w:pPr>
        <w:pStyle w:val="TextBody"/>
        <w:bidi w:val="0"/>
        <w:spacing w:before="120" w:after="0"/>
        <w:jc w:val="left"/>
        <w:rPr>
          <w:rFonts w:ascii="Times New Roman" w:hAnsi="Times New Roman"/>
          <w:sz w:val="20"/>
        </w:rPr>
      </w:pPr>
      <w:r>
        <w:rPr>
          <w:rFonts w:ascii="Times New Roman" w:hAnsi="Times New Roman"/>
          <w:sz w:val="20"/>
        </w:rPr>
        <w:t xml:space="preserve">(iv) such number of the outstanding, unvested Company equity awards held by Executive under any Company equity compensation plans as would have vested during the nine (9) months following the date of Executives Separation from Service had Executive continued in employment or service with the Company during such period shall immediately become vested on the effectiveness of the Release;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performance-based equity award will remain subject to attainment of the relevant performance goals during such nine (9) months following the date of Executives Separation from Service unless a more favorable or alternative provision is contained in an applicable award agreement, and to the extent such performance goals are not attained prior to such deadline, such performance-based equity awards shall not vest pursuant to this clause (iv) and shall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Control</w:t>
      </w:r>
      <w:r>
        <w:rPr>
          <w:rFonts w:ascii="Times New Roman" w:hAnsi="Times New Roman"/>
          <w:sz w:val="20"/>
        </w:rPr>
        <w:t xml:space="preserve">. In lieu of the payments and benefits set forth in Section 4(b), in the event Executives employment terminates without Cause pursuant to Section 1(a)(iv), or pursuant to Section 1(a)(v)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1(c),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 amount in cash equal to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 </w:t>
      </w:r>
    </w:p>
    <w:p>
      <w:pPr>
        <w:pStyle w:val="TextBody"/>
        <w:bidi w:val="0"/>
        <w:spacing w:before="120" w:after="0"/>
        <w:jc w:val="left"/>
        <w:rPr>
          <w:rFonts w:ascii="Times New Roman" w:hAnsi="Times New Roman"/>
          <w:sz w:val="20"/>
        </w:rPr>
      </w:pPr>
      <w:r>
        <w:rPr>
          <w:rFonts w:ascii="Times New Roman" w:hAnsi="Times New Roman"/>
          <w:sz w:val="20"/>
        </w:rPr>
        <w:t xml:space="preserve">(ii) 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hAnsi="Times New Roman"/>
          <w:sz w:val="20"/>
          <w:u w:val="single"/>
        </w:rPr>
        <w:t>CIC COBRA Continuation Period</w:t>
      </w:r>
      <w:r>
        <w:rPr>
          <w:rFonts w:ascii="Times New Roman" w:hAnsi="Times New Roman"/>
          <w:sz w:val="20"/>
        </w:rPr>
        <w:t xml:space="preserve">).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her covered dependents based on the cost sharing levels in effect on the Date of Termination, which payments shall for the remainder of the CIC COBRA Continuation Period; and </w:t>
      </w:r>
    </w:p>
    <w:p>
      <w:pPr>
        <w:pStyle w:val="TextBody"/>
        <w:bidi w:val="0"/>
        <w:spacing w:before="120" w:after="0"/>
        <w:jc w:val="left"/>
        <w:rPr>
          <w:rFonts w:ascii="Times New Roman" w:hAnsi="Times New Roman"/>
          <w:sz w:val="20"/>
        </w:rPr>
      </w:pPr>
      <w:r>
        <w:rPr>
          <w:rFonts w:ascii="Times New Roman" w:hAnsi="Times New Roman"/>
          <w:sz w:val="20"/>
        </w:rPr>
        <w:t xml:space="preserve">(iv) all outstanding, unvested Company equity awards held by Executive under any Company equity compensation plans shall immediately become 100% vested on the effectiveness of the Release,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performance-based equity award will remain subject to attainment of the relevant performance goals on or prior to the deadline for attainment of such goals as set forth in the applicable award agreement unless a more favorable or alternative provision is contained in an applicable award agreement, and to the extent such performance goals are not attained prior to such deadline, such performance-based equity awards shall not vest pursuant to this clause (iv) and shall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Release</w:t>
      </w:r>
      <w:r>
        <w:rPr>
          <w:rFonts w:ascii="Times New Roman" w:hAnsi="Times New Roman"/>
          <w:sz w:val="20"/>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Release</w:t>
      </w:r>
      <w:r>
        <w:rPr>
          <w:rFonts w:ascii="Times New Roman" w:hAnsi="Times New Roman"/>
          <w:sz w:val="20"/>
        </w:rPr>
        <w:t xml:space="preserve">) within twenty-one (21) days (or, to the extent required by law, forty-five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Exclusive Remedy</w:t>
      </w:r>
      <w:r>
        <w:rPr>
          <w:rFonts w:ascii="Times New Roman" w:hAnsi="Times New Roman"/>
          <w:sz w:val="20"/>
        </w:rPr>
        <w:t xml:space="preserve">. In the event of a termination of Executives employment with the Company, Executives sole remedy shall be to receive the payments and benefits described in this Section 4. In addition, Executive acknowledges and agrees that she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 </w:t>
      </w:r>
    </w:p>
    <w:p>
      <w:pPr>
        <w:pStyle w:val="TextBody"/>
        <w:bidi w:val="0"/>
        <w:spacing w:before="36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connection with her commencement of employment, Executive shall enter into the Companys standard form of agreement containing confidentiality, intellectual property assignment and other protective covenants (the </w:t>
      </w:r>
      <w:r>
        <w:rPr>
          <w:rFonts w:ascii="Times New Roman" w:hAnsi="Times New Roman"/>
          <w:sz w:val="20"/>
          <w:u w:val="single"/>
        </w:rPr>
        <w:t>Restrictive Covenant Agreement</w:t>
      </w:r>
      <w:r>
        <w:rPr>
          <w:rFonts w:ascii="Times New Roman" w:hAnsi="Times New Roman"/>
          <w:sz w:val="20"/>
        </w:rPr>
        <w:t xml:space="preserve">), which is attached hereto as </w:t>
      </w:r>
      <w:r>
        <w:rPr>
          <w:rFonts w:ascii="Times New Roman" w:hAnsi="Times New Roman"/>
          <w:sz w:val="20"/>
          <w:u w:val="single"/>
        </w:rPr>
        <w:t>Exhibit B</w:t>
      </w:r>
      <w:r>
        <w:rPr>
          <w:rFonts w:ascii="Times New Roman" w:hAnsi="Times New Roman"/>
          <w:sz w:val="20"/>
        </w:rPr>
        <w:t xml:space="preserve">. Executive shall be bound by the terms and conditions of the Restrictive Covenant Agreement, and hereby agrees that such agreement shall be additional to, and not in limitation of, the covenants contained in this Section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Executive receives actual notice that Executive is or may be required by law or legal process to communicate or divulge any such information, knowledge or data, Executive shall promptly so notify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 </w:t>
      </w:r>
    </w:p>
    <w:p>
      <w:pPr>
        <w:pStyle w:val="TextBody"/>
        <w:bidi w:val="0"/>
        <w:spacing w:before="240" w:after="0"/>
        <w:jc w:val="left"/>
        <w:rPr>
          <w:rFonts w:ascii="Times New Roman" w:hAnsi="Times New Roman"/>
          <w:sz w:val="20"/>
        </w:rPr>
      </w:pPr>
      <w:r>
        <w:rPr>
          <w:rFonts w:ascii="Times New Roman" w:hAnsi="Times New Roman"/>
          <w:sz w:val="20"/>
        </w:rPr>
        <w:t xml:space="preserve">(d) Subject to Section 1(f),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 </w:t>
      </w:r>
    </w:p>
    <w:p>
      <w:pPr>
        <w:pStyle w:val="TextBody"/>
        <w:bidi w:val="0"/>
        <w:spacing w:before="240" w:after="0"/>
        <w:jc w:val="left"/>
        <w:rPr>
          <w:rFonts w:ascii="Times New Roman" w:hAnsi="Times New Roman"/>
          <w:sz w:val="20"/>
        </w:rPr>
      </w:pPr>
      <w:r>
        <w:rPr>
          <w:rFonts w:ascii="Times New Roman" w:hAnsi="Times New Roman"/>
          <w:sz w:val="20"/>
        </w:rPr>
        <w:t xml:space="preserve">(e) In recognition of the fact that irreparable injury will result to the Company in the event of a breach by Executive of her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 </w:t>
      </w:r>
    </w:p>
    <w:p>
      <w:pPr>
        <w:pStyle w:val="TextBody"/>
        <w:bidi w:val="0"/>
        <w:spacing w:before="240" w:after="0"/>
        <w:jc w:val="left"/>
        <w:rPr>
          <w:rFonts w:ascii="Times New Roman" w:hAnsi="Times New Roman"/>
          <w:sz w:val="20"/>
        </w:rPr>
      </w:pPr>
      <w:r>
        <w:rPr>
          <w:rFonts w:ascii="Times New Roman" w:hAnsi="Times New Roman"/>
          <w:sz w:val="20"/>
        </w:rPr>
        <w:t>(f) Notwithstanding anything in this Agreement or the Restrictive Covenant Agreement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hAnsi="Times New Roman"/>
          <w:sz w:val="20"/>
          <w:u w:val="single"/>
        </w:rPr>
        <w:t>NLRB</w:t>
      </w:r>
      <w:r>
        <w:rPr>
          <w:rFonts w:ascii="Times New Roman" w:hAnsi="Times New Roman"/>
          <w:sz w:val="20"/>
        </w:rPr>
        <w:t xml:space="preserve">), the Occupational Safety and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Administration, the U.S. Commodity Futures Trading Commission, the U.S. Department of Justice or any other securities regulatory agency, self-regulatory authority or federal, state or local regulatory authority (collectively, </w:t>
      </w:r>
      <w:r>
        <w:rPr>
          <w:rFonts w:ascii="Times New Roman" w:hAnsi="Times New Roman"/>
          <w:sz w:val="20"/>
          <w:u w:val="single"/>
        </w:rPr>
        <w:t>Government Agencies</w:t>
      </w:r>
      <w:r>
        <w:rPr>
          <w:rFonts w:ascii="Times New Roman" w:hAnsi="Times New Roman"/>
          <w:sz w:val="20"/>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w:t>
      </w:r>
      <w:r>
        <w:rPr>
          <w:rFonts w:ascii="Times New Roman" w:hAnsi="Times New Roman"/>
          <w:sz w:val="20"/>
          <w:u w:val="single"/>
        </w:rPr>
        <w:t xml:space="preserve"> </w:t>
      </w:r>
      <w:r>
        <w:rPr>
          <w:rFonts w:ascii="Times New Roman" w:hAnsi="Times New Roman"/>
          <w:sz w:val="20"/>
        </w:rPr>
        <w:t xml:space="preserve">Further, nothing in this Agreement prevents Executive from discussing or disclosing information about unlawful acts in the workplace, such as harassment or discrimination or any other conduct that Executive has reason to believe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Assignment and Successors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Certain Definitions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Cause</w:t>
      </w:r>
      <w:r>
        <w:rPr>
          <w:rFonts w:ascii="Times New Roman" w:hAnsi="Times New Roman"/>
          <w:sz w:val="20"/>
        </w:rPr>
        <w:t xml:space="preserve">. The Company shall have Cause to terminate Executives employment hereunder upon: </w:t>
      </w:r>
    </w:p>
    <w:p>
      <w:pPr>
        <w:pStyle w:val="TextBody"/>
        <w:bidi w:val="0"/>
        <w:spacing w:before="240" w:after="0"/>
        <w:jc w:val="left"/>
        <w:rPr>
          <w:rFonts w:ascii="Times New Roman" w:hAnsi="Times New Roman"/>
          <w:sz w:val="20"/>
        </w:rPr>
      </w:pPr>
      <w:r>
        <w:rPr>
          <w:rFonts w:ascii="Times New Roman" w:hAnsi="Times New Roman"/>
          <w:sz w:val="20"/>
        </w:rPr>
        <w:t xml:space="preserve">(i) 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engaging by Executive in illegal conduct or misconduct (including fraud, embezzlement, theft or dishonesty or material violation of any Company policy), or gross negligence, in any case that has caused or is reasonably expected to result in injury to the Company or any affiliate; </w:t>
      </w:r>
    </w:p>
    <w:p>
      <w:pPr>
        <w:pStyle w:val="TextBody"/>
        <w:bidi w:val="0"/>
        <w:spacing w:before="240" w:after="0"/>
        <w:jc w:val="left"/>
        <w:rPr>
          <w:rFonts w:ascii="Times New Roman" w:hAnsi="Times New Roman"/>
          <w:sz w:val="20"/>
        </w:rPr>
      </w:pPr>
      <w:r>
        <w:rPr>
          <w:rFonts w:ascii="Times New Roman" w:hAnsi="Times New Roman"/>
          <w:sz w:val="20"/>
        </w:rPr>
        <w:t xml:space="preserve">(iii) Executives commission of, or plea of no contest to, a felony or any misdemeanor crime involving fraud, moral turpitude or dishonesty; </w:t>
      </w:r>
    </w:p>
    <w:p>
      <w:pPr>
        <w:pStyle w:val="TextBody"/>
        <w:bidi w:val="0"/>
        <w:spacing w:before="240" w:after="0"/>
        <w:jc w:val="left"/>
        <w:rPr>
          <w:rFonts w:ascii="Times New Roman" w:hAnsi="Times New Roman"/>
          <w:sz w:val="20"/>
        </w:rPr>
      </w:pPr>
      <w:r>
        <w:rPr>
          <w:rFonts w:ascii="Times New Roman" w:hAnsi="Times New Roman"/>
          <w:sz w:val="20"/>
        </w:rPr>
        <w:t xml:space="preserve">(iv) Executives material breach of any written agreement or restrictive covenants with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(v) 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 </w:t>
      </w:r>
    </w:p>
    <w:p>
      <w:pPr>
        <w:pStyle w:val="TextBody"/>
        <w:bidi w:val="0"/>
        <w:spacing w:before="240" w:after="0"/>
        <w:jc w:val="left"/>
        <w:rPr>
          <w:rFonts w:ascii="Times New Roman" w:hAnsi="Times New Roman"/>
          <w:sz w:val="20"/>
        </w:rPr>
      </w:pPr>
      <w:r>
        <w:rPr>
          <w:rFonts w:ascii="Times New Roman" w:hAnsi="Times New Roman"/>
          <w:sz w:val="20"/>
        </w:rPr>
        <w:t xml:space="preserve">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 in Control</w:t>
      </w:r>
      <w:r>
        <w:rPr>
          <w:rFonts w:ascii="Times New Roman" w:hAnsi="Times New Roman"/>
          <w:sz w:val="20"/>
        </w:rPr>
        <w:t>. </w:t>
      </w:r>
      <w:r>
        <w:rPr>
          <w:rFonts w:ascii="Times New Roman" w:hAnsi="Times New Roman"/>
          <w:sz w:val="20"/>
          <w:u w:val="single"/>
        </w:rPr>
        <w:t>Change in Control</w:t>
      </w:r>
      <w:r>
        <w:rPr>
          <w:rFonts w:ascii="Times New Roman" w:hAnsi="Times New Roman"/>
          <w:sz w:val="20"/>
        </w:rPr>
        <w:t xml:space="preserve"> shall have the meaning set forth in the Companys 2024 Incentive Award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Code</w:t>
      </w:r>
      <w:r>
        <w:rPr>
          <w:rFonts w:ascii="Times New Roman" w:hAnsi="Times New Roman"/>
          <w:sz w:val="20"/>
        </w:rPr>
        <w:t>. </w:t>
      </w:r>
      <w:r>
        <w:rPr>
          <w:rFonts w:ascii="Times New Roman" w:hAnsi="Times New Roman"/>
          <w:sz w:val="20"/>
          <w:u w:val="single"/>
        </w:rPr>
        <w:t>Code</w:t>
      </w:r>
      <w:r>
        <w:rPr>
          <w:rFonts w:ascii="Times New Roman" w:hAnsi="Times New Roman"/>
          <w:sz w:val="20"/>
        </w:rPr>
        <w:t xml:space="preserve"> shall mean the Internal Revenue Code of 1986, as amended, and the regulations and guidance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Date of Termination</w:t>
      </w:r>
      <w:r>
        <w:rPr>
          <w:rFonts w:ascii="Times New Roman" w:hAnsi="Times New Roman"/>
          <w:sz w:val="20"/>
        </w:rPr>
        <w:t>. </w:t>
      </w:r>
      <w:r>
        <w:rPr>
          <w:rFonts w:ascii="Times New Roman" w:hAnsi="Times New Roman"/>
          <w:sz w:val="20"/>
          <w:u w:val="single"/>
        </w:rPr>
        <w:t>Date of Termination</w:t>
      </w:r>
      <w:r>
        <w:rPr>
          <w:rFonts w:ascii="Times New Roman" w:hAnsi="Times New Roman"/>
          <w:sz w:val="20"/>
        </w:rPr>
        <w:t xml:space="preserve"> shall mean (i) if Executives employment is terminated by Executives death, the date of Executives death; or (ii) if Executives employment is terminated pursuant to Sections 1(a)(ii)-(vi) either the date indicated in the Notice of Termination or the date specified by the Company pursuant to Section(b), whichever is earlier.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Disability</w:t>
      </w:r>
      <w:r>
        <w:rPr>
          <w:rFonts w:ascii="Times New Roman" w:hAnsi="Times New Roman"/>
          <w:sz w:val="20"/>
        </w:rPr>
        <w:t>. </w:t>
      </w:r>
      <w:r>
        <w:rPr>
          <w:rFonts w:ascii="Times New Roman" w:hAnsi="Times New Roman"/>
          <w:sz w:val="20"/>
          <w:u w:val="single"/>
        </w:rPr>
        <w:t>Disability</w:t>
      </w:r>
      <w:r>
        <w:rPr>
          <w:rFonts w:ascii="Times New Roman" w:hAnsi="Times New Roman"/>
          <w:sz w:val="20"/>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hAnsi="Times New Roman"/>
          <w:i/>
          <w:sz w:val="20"/>
        </w:rPr>
        <w:t>provided, however</w:t>
      </w:r>
      <w:r>
        <w:rPr>
          <w:rFonts w:ascii="Times New Roman" w:hAnsi="Times New Roman"/>
          <w:sz w:val="20"/>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one hundred eighty (180) days within a twelve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Good Reason</w:t>
      </w:r>
      <w:r>
        <w:rPr>
          <w:rFonts w:ascii="Times New Roman" w:hAnsi="Times New Roman"/>
          <w:sz w:val="20"/>
        </w:rPr>
        <w:t>. For the sole purpose of determining Executives right to severance payments and benefits as described above, Executives resignation will be with </w:t>
      </w:r>
      <w:r>
        <w:rPr>
          <w:rFonts w:ascii="Times New Roman" w:hAnsi="Times New Roman"/>
          <w:sz w:val="20"/>
          <w:u w:val="single"/>
        </w:rPr>
        <w:t>Good Reason</w:t>
      </w:r>
      <w:r>
        <w:rPr>
          <w:rFonts w:ascii="Times New Roman" w:hAnsi="Times New Roman"/>
          <w:sz w:val="20"/>
        </w:rPr>
        <w:t xml:space="preserve">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 (50) miles from Executives home office in the Philadelphia, Pennsylvania metropolitan area as of the Effective Date;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 </w:t>
      </w:r>
    </w:p>
    <w:p>
      <w:pPr>
        <w:pStyle w:val="TextBody"/>
        <w:bidi w:val="0"/>
        <w:spacing w:before="360" w:after="0"/>
        <w:jc w:val="left"/>
        <w:rPr>
          <w:rFonts w:ascii="Times New Roman" w:hAnsi="Times New Roman"/>
          <w:b/>
          <w:sz w:val="20"/>
        </w:rPr>
      </w:pPr>
      <w:r>
        <w:rPr>
          <w:rFonts w:ascii="Times New Roman" w:hAnsi="Times New Roman"/>
          <w:b/>
          <w:sz w:val="20"/>
        </w:rPr>
        <w:t xml:space="preserve">8. </w:t>
      </w:r>
      <w:r>
        <w:rPr>
          <w:rFonts w:ascii="Times New Roman" w:hAnsi="Times New Roman"/>
          <w:b/>
          <w:sz w:val="20"/>
          <w:u w:val="single"/>
        </w:rPr>
        <w:t>Parachute Payments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Best Pay Provision</w:t>
      </w:r>
      <w:r>
        <w:rPr>
          <w:rFonts w:ascii="Times New Roman" w:hAnsi="Times New Roman"/>
          <w:sz w:val="20"/>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hAnsi="Times New Roman"/>
          <w:sz w:val="20"/>
          <w:u w:val="single"/>
        </w:rPr>
        <w:t>Total Payments</w:t>
      </w:r>
      <w:r>
        <w:rPr>
          <w:rFonts w:ascii="Times New Roman" w:hAnsi="Times New Roman"/>
          <w:sz w:val="20"/>
        </w:rPr>
        <w:t>) would be subject (in whole or part) to the excise tax (the </w:t>
      </w:r>
      <w:r>
        <w:rPr>
          <w:rFonts w:ascii="Times New Roman" w:hAnsi="Times New Roman"/>
          <w:sz w:val="20"/>
          <w:u w:val="single"/>
        </w:rPr>
        <w:t>Excise Tax</w:t>
      </w:r>
      <w:r>
        <w:rPr>
          <w:rFonts w:ascii="Times New Roman" w:hAnsi="Times New Roman"/>
          <w:sz w:val="20"/>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hAnsi="Times New Roman"/>
          <w:i/>
          <w:sz w:val="20"/>
        </w:rPr>
        <w:t>provided</w:t>
      </w:r>
      <w:r>
        <w:rPr>
          <w:rFonts w:ascii="Times New Roman" w:hAnsi="Times New Roman"/>
          <w:sz w:val="20"/>
        </w:rPr>
        <w:t xml:space="preserve">, in case of clauses (x), (y) and (z), that reduction of any payments or benefits attributable to the acceleration of vesting of Company equity awards shall be first applied to equity awards with later vesting dates;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Determinations</w:t>
      </w:r>
      <w:r>
        <w:rPr>
          <w:rFonts w:ascii="Times New Roman" w:hAnsi="Times New Roman"/>
          <w:sz w:val="20"/>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hAnsi="Times New Roman"/>
          <w:sz w:val="20"/>
          <w:u w:val="single"/>
        </w:rPr>
        <w:t>280G Firm</w:t>
      </w:r>
      <w:r>
        <w:rPr>
          <w:rFonts w:ascii="Times New Roman" w:hAnsi="Times New Roman"/>
          <w:sz w:val="20"/>
        </w:rPr>
        <w:t xml:space="preserve">).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Exception</w:t>
      </w:r>
      <w:r>
        <w:rPr>
          <w:rFonts w:ascii="Times New Roman" w:hAnsi="Times New Roman"/>
          <w:sz w:val="20"/>
        </w:rPr>
        <w:t xml:space="preserve">.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 Provisions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 and Venue</w:t>
      </w:r>
      <w:r>
        <w:rPr>
          <w:rFonts w:ascii="Times New Roman" w:hAnsi="Times New Roman"/>
          <w:sz w:val="20"/>
        </w:rPr>
        <w:t xml:space="preserve">. This Agreement shall be governed, construed, interpreted and enforced in accordance with its express terms, and otherwise in accordance with the substantive laws of the Commonwealth of Pennsylvania without reference to the principles of conflicts of law of the Commonwealth of Pennsylvania or any other jurisdiction that would result in the application of the laws of a jurisdiction other than the Commonwealth of Pennsylvania, and where applicable, the laws of the United States. Any suit brought hereon shall be brought in the state or federal courts sitting in the Commonwealth of Pennsylvania, the parties hereto hereby waiving any claim or defense that such forum is not convenient or proper. Each party hereby agrees that any such court shall have in personam jurisdiction over it and consents to service of process in any manner authorized by Pennsylvania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Validity</w:t>
      </w:r>
      <w:r>
        <w:rPr>
          <w:rFonts w:ascii="Times New Roman" w:hAnsi="Times New Roman"/>
          <w:sz w:val="20"/>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w:t>
      </w:r>
      <w:r>
        <w:rPr>
          <w:rFonts w:ascii="Times New Roman" w:hAnsi="Times New Roman"/>
          <w:sz w:val="20"/>
        </w:rPr>
        <w:t xml:space="preserve">. Any notice, request, claim, demand, document, and other communication hereunder to any Party shall be effective upon receipt (or refusal of receipt) and shall be in writing and delivered personally or sent by facsimile, email or certified or registered mail, postage prepaid,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to the CEO of the Company at the Companys headquarters, </w:t>
      </w:r>
    </w:p>
    <w:p>
      <w:pPr>
        <w:pStyle w:val="TextBody"/>
        <w:bidi w:val="0"/>
        <w:spacing w:before="120" w:after="0"/>
        <w:jc w:val="left"/>
        <w:rPr>
          <w:rFonts w:ascii="Times New Roman" w:hAnsi="Times New Roman"/>
          <w:sz w:val="20"/>
        </w:rPr>
      </w:pPr>
      <w:r>
        <w:rPr>
          <w:rFonts w:ascii="Times New Roman" w:hAnsi="Times New Roman"/>
          <w:sz w:val="20"/>
        </w:rPr>
        <w:t xml:space="preserve">(ii) If to Executive, to the last address that the Company has in its personnel records for Executive, or </w:t>
      </w:r>
    </w:p>
    <w:p>
      <w:pPr>
        <w:pStyle w:val="TextBody"/>
        <w:bidi w:val="0"/>
        <w:spacing w:before="120" w:after="0"/>
        <w:jc w:val="left"/>
        <w:rPr>
          <w:rFonts w:ascii="Times New Roman" w:hAnsi="Times New Roman"/>
          <w:sz w:val="20"/>
        </w:rPr>
      </w:pPr>
      <w:r>
        <w:rPr>
          <w:rFonts w:ascii="Times New Roman" w:hAnsi="Times New Roman"/>
          <w:sz w:val="20"/>
        </w:rPr>
        <w:t xml:space="preserve">(iii) At any other address as any Party shall have specified by notice in writing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Counterparts</w:t>
      </w:r>
      <w:r>
        <w:rPr>
          <w:rFonts w:ascii="Times New Roman" w:hAnsi="Times New Roman"/>
          <w:sz w:val="20"/>
        </w:rPr>
        <w:t xml:space="preserve">. This Agreement may be executed in several counterparts, each of which shall be deemed to be an original, but all of which together will constitute one and the same Agreement. Signatures delivered by facsimile or PDF shall be deemed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Amendments; Waivers</w:t>
      </w:r>
      <w:r>
        <w:rPr>
          <w:rFonts w:ascii="Times New Roman" w:hAnsi="Times New Roman"/>
          <w:sz w:val="20"/>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Construction</w:t>
      </w:r>
      <w:r>
        <w:rPr>
          <w:rFonts w:ascii="Times New Roman" w:hAnsi="Times New Roman"/>
          <w:sz w:val="20"/>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Arbitration</w:t>
      </w:r>
      <w:r>
        <w:rPr>
          <w:rFonts w:ascii="Times New Roman" w:hAnsi="Times New Roman"/>
          <w:sz w:val="20"/>
        </w:rPr>
        <w:t xml:space="preserve">.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Philadelphia County, Pennsylvania.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Enforcement</w:t>
      </w:r>
      <w:r>
        <w:rPr>
          <w:rFonts w:ascii="Times New Roman" w:hAnsi="Times New Roman"/>
          <w:sz w:val="20"/>
        </w:rPr>
        <w:t xml:space="preserve">.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Withholding</w:t>
      </w:r>
      <w:r>
        <w:rPr>
          <w:rFonts w:ascii="Times New Roman" w:hAnsi="Times New Roman"/>
          <w:sz w:val="20"/>
        </w:rPr>
        <w:t xml:space="preserve">.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arise.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w:t>
      </w:r>
      <w:r>
        <w:rPr>
          <w:rFonts w:ascii="Times New Roman" w:hAnsi="Times New Roman"/>
          <w:sz w:val="20"/>
        </w:rPr>
        <w:t xml:space="preserve"> The intent of the Parties is that the payments and benefits under this Agreement comply with or be 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Separation from Service. </w:t>
      </w:r>
      <w:r>
        <w:rPr>
          <w:rFonts w:ascii="Times New Roman" w:hAnsi="Times New Roman"/>
          <w:sz w:val="20"/>
        </w:rPr>
        <w:t>Notwithstanding anything in this Agreement to the contrary, (A)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sz w:val="20"/>
          <w:u w:val="single"/>
        </w:rPr>
        <w:t>Separation from Service</w:t>
      </w:r>
      <w:r>
        <w:rPr>
          <w:rFonts w:ascii="Times New Roman" w:hAnsi="Times New Roman"/>
          <w:sz w:val="20"/>
        </w:rPr>
        <w:t xml:space="preserve">)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Specified Employee.</w:t>
      </w:r>
      <w:r>
        <w:rPr>
          <w:rFonts w:ascii="Times New Roman" w:hAnsi="Times New Roman"/>
          <w:sz w:val="20"/>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Expense Reimbursements. </w:t>
      </w:r>
      <w:r>
        <w:rPr>
          <w:rFonts w:ascii="Times New Roman" w:hAnsi="Times New Roman"/>
          <w:sz w:val="20"/>
        </w:rPr>
        <w:t xml:space="preserve">To the extent that any reimbursements under this Agreement are subject to Section 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Installments.</w:t>
      </w:r>
      <w:r>
        <w:rPr>
          <w:rFonts w:ascii="Times New Roman" w:hAnsi="Times New Roman"/>
          <w:sz w:val="20"/>
        </w:rPr>
        <w:t xml:space="preserve"> 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Survival</w:t>
      </w:r>
      <w:r>
        <w:rPr>
          <w:rFonts w:ascii="Times New Roman" w:hAnsi="Times New Roman"/>
          <w:sz w:val="20"/>
        </w:rPr>
        <w:t xml:space="preserve">. Notwithstanding anything to the contrary in this Agreement, the provisions of Sections 5 through 9 will survive the termination of Executives employment and the termination of the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10. </w:t>
      </w:r>
      <w:r>
        <w:rPr>
          <w:rFonts w:ascii="Times New Roman" w:hAnsi="Times New Roman"/>
          <w:b/>
          <w:sz w:val="20"/>
          <w:u w:val="single"/>
        </w:rPr>
        <w:t>Executive Acknowledgement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date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CG ONCOLOGY,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/s/Arthur Kuan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Arthur Kuan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/s/Corleen Roche</w:t>
            </w:r>
          </w:p>
        </w:tc>
      </w:tr>
      <w:tr>
        <w:trPr/>
        <w:tc>
          <w:tcPr>
            <w:tcW w:w="4082" w:type="dxa"/>
            <w:gridSpan w:val="3"/>
            <w:tcBorders/>
          </w:tcPr>
          <w:p>
            <w:pPr>
              <w:pStyle w:val="TableContents"/>
              <w:bidi w:val="0"/>
              <w:spacing w:before="0" w:after="283"/>
              <w:jc w:val="left"/>
              <w:rPr/>
            </w:pPr>
            <w:r>
              <w:rPr/>
              <w:t>Print Name: Corleen Roche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Employment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SEPARATION AGREEMENT AND RELEASE </w:t>
      </w:r>
    </w:p>
    <w:p>
      <w:pPr>
        <w:pStyle w:val="TextBody"/>
        <w:bidi w:val="0"/>
        <w:spacing w:before="240" w:after="0"/>
        <w:jc w:val="left"/>
        <w:rPr>
          <w:rFonts w:ascii="Times New Roman" w:hAnsi="Times New Roman"/>
          <w:sz w:val="20"/>
        </w:rPr>
      </w:pPr>
      <w:r>
        <w:rPr>
          <w:rFonts w:ascii="Times New Roman" w:hAnsi="Times New Roman"/>
          <w:sz w:val="20"/>
        </w:rPr>
        <w:t>This Separation Agreement and Release (</w:t>
      </w:r>
      <w:r>
        <w:rPr>
          <w:rFonts w:ascii="Times New Roman" w:hAnsi="Times New Roman"/>
          <w:sz w:val="20"/>
          <w:u w:val="single"/>
        </w:rPr>
        <w:t>Agreement</w:t>
      </w:r>
      <w:r>
        <w:rPr>
          <w:rFonts w:ascii="Times New Roman" w:hAnsi="Times New Roman"/>
          <w:sz w:val="20"/>
        </w:rPr>
        <w:t>) is made by and between Corleen Roche (</w:t>
      </w:r>
      <w:r>
        <w:rPr>
          <w:rFonts w:ascii="Times New Roman" w:hAnsi="Times New Roman"/>
          <w:sz w:val="20"/>
          <w:u w:val="single"/>
        </w:rPr>
        <w:t>Executive</w:t>
      </w:r>
      <w:r>
        <w:rPr>
          <w:rFonts w:ascii="Times New Roman" w:hAnsi="Times New Roman"/>
          <w:sz w:val="20"/>
        </w:rPr>
        <w:t>) and CG Oncology, Inc. (the </w:t>
      </w:r>
      <w:r>
        <w:rPr>
          <w:rFonts w:ascii="Times New Roman" w:hAnsi="Times New Roman"/>
          <w:sz w:val="20"/>
          <w:u w:val="single"/>
        </w:rPr>
        <w:t>Company</w:t>
      </w:r>
      <w:r>
        <w:rPr>
          <w:rFonts w:ascii="Times New Roman" w:hAnsi="Times New Roman"/>
          <w:sz w:val="20"/>
        </w:rPr>
        <w:t>) (collectively referred to as the </w:t>
      </w:r>
      <w:r>
        <w:rPr>
          <w:rFonts w:ascii="Times New Roman" w:hAnsi="Times New Roman"/>
          <w:sz w:val="20"/>
          <w:u w:val="single"/>
        </w:rPr>
        <w:t>Parties</w:t>
      </w:r>
      <w:r>
        <w:rPr>
          <w:rFonts w:ascii="Times New Roman" w:hAnsi="Times New Roman"/>
          <w:sz w:val="20"/>
        </w:rPr>
        <w:t> or individually referred to as a </w:t>
      </w:r>
      <w:r>
        <w:rPr>
          <w:rFonts w:ascii="Times New Roman" w:hAnsi="Times New Roman"/>
          <w:sz w:val="20"/>
          <w:u w:val="single"/>
        </w:rPr>
        <w:t>Party</w:t>
      </w:r>
      <w:r>
        <w:rPr>
          <w:rFonts w:ascii="Times New Roman" w:hAnsi="Times New Roman"/>
          <w:sz w:val="20"/>
        </w:rPr>
        <w:t xml:space="preserve">). Capitalized terms used but not defined in this Agreement shall have the meanings set forth in the Employment Agreement (as defined below). </w:t>
      </w:r>
    </w:p>
    <w:p>
      <w:pPr>
        <w:pStyle w:val="TextBody"/>
        <w:bidi w:val="0"/>
        <w:spacing w:before="240" w:after="0"/>
        <w:jc w:val="left"/>
        <w:rPr>
          <w:rFonts w:ascii="Times New Roman" w:hAnsi="Times New Roman"/>
          <w:sz w:val="20"/>
        </w:rPr>
      </w:pPr>
      <w:r>
        <w:rPr>
          <w:rFonts w:ascii="Times New Roman" w:hAnsi="Times New Roman"/>
          <w:sz w:val="20"/>
        </w:rPr>
        <w:t>WHEREAS, the Parties have previously entered into that certain Employment Agreement, effective as of January 16, 2024 (the </w:t>
      </w:r>
      <w:r>
        <w:rPr>
          <w:rFonts w:ascii="Times New Roman" w:hAnsi="Times New Roman"/>
          <w:sz w:val="20"/>
          <w:u w:val="single"/>
        </w:rPr>
        <w:t>Employment Agreement</w:t>
      </w:r>
      <w:r>
        <w:rPr>
          <w:rFonts w:ascii="Times New Roman" w:hAnsi="Times New Roman"/>
          <w:sz w:val="20"/>
        </w:rPr>
        <w:t xml:space="preserve">) and that certain Restrictive Covenant Agreement (as defined in the Employment Agreement); and </w:t>
      </w:r>
    </w:p>
    <w:p>
      <w:pPr>
        <w:pStyle w:val="TextBody"/>
        <w:bidi w:val="0"/>
        <w:spacing w:before="240" w:after="0"/>
        <w:jc w:val="left"/>
        <w:rPr>
          <w:rFonts w:ascii="Times New Roman" w:hAnsi="Times New Roman"/>
          <w:sz w:val="20"/>
        </w:rPr>
      </w:pPr>
      <w:r>
        <w:rPr>
          <w:rFonts w:ascii="Times New Roman" w:hAnsi="Times New Roman"/>
          <w:sz w:val="20"/>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hAnsi="Times New Roman"/>
          <w:sz w:val="20"/>
          <w:u w:val="single"/>
        </w:rPr>
        <w:t>Retained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Severance Payments and Benefits; Salary and Benefits</w:t>
      </w:r>
      <w:r>
        <w:rPr>
          <w:rFonts w:ascii="Times New Roman" w:hAnsi="Times New Roman"/>
          <w:sz w:val="20"/>
        </w:rPr>
        <w:t xml:space="preserve">.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1(c) of the Employment Agreement, subject to and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Release of Claims</w:t>
      </w:r>
      <w:r>
        <w:rPr>
          <w:rFonts w:ascii="Times New Roman" w:hAnsi="Times New Roman"/>
          <w:sz w:val="20"/>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sz w:val="20"/>
          <w:u w:val="single"/>
        </w:rPr>
        <w:t>Releasees</w:t>
      </w:r>
      <w:r>
        <w:rPr>
          <w:rFonts w:ascii="Times New Roman" w:hAnsi="Times New Roman"/>
          <w:sz w:val="20"/>
        </w:rPr>
        <w:t xml:space="preserve">)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any and all claims relating to or arising from Executives employment or service relationship with the Company or any of its direct or indirect subsidiaries and the termination of that relationship; </w:t>
      </w:r>
    </w:p>
    <w:p>
      <w:pPr>
        <w:pStyle w:val="TextBody"/>
        <w:bidi w:val="0"/>
        <w:spacing w:before="240" w:after="0"/>
        <w:jc w:val="left"/>
        <w:rPr>
          <w:rFonts w:ascii="Times New Roman" w:hAnsi="Times New Roman"/>
          <w:sz w:val="20"/>
        </w:rPr>
      </w:pPr>
      <w:r>
        <w:rPr>
          <w:rFonts w:ascii="Times New Roman" w:hAnsi="Times New Roman"/>
          <w:sz w:val="20"/>
        </w:rPr>
        <w:t xml:space="preserve">(b)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 </w:t>
      </w:r>
    </w:p>
    <w:p>
      <w:pPr>
        <w:pStyle w:val="TextBody"/>
        <w:bidi w:val="0"/>
        <w:spacing w:before="240" w:after="0"/>
        <w:jc w:val="left"/>
        <w:rPr>
          <w:rFonts w:ascii="Times New Roman" w:hAnsi="Times New Roman"/>
          <w:sz w:val="20"/>
        </w:rPr>
      </w:pPr>
      <w:r>
        <w:rPr>
          <w:rFonts w:ascii="Times New Roman" w:hAnsi="Times New Roman"/>
          <w:sz w:val="20"/>
        </w:rPr>
        <w:t xml:space="preserve">(c)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 </w:t>
      </w:r>
    </w:p>
    <w:p>
      <w:pPr>
        <w:pStyle w:val="TextBody"/>
        <w:bidi w:val="0"/>
        <w:spacing w:before="240" w:after="0"/>
        <w:jc w:val="left"/>
        <w:rPr>
          <w:rFonts w:ascii="Times New Roman" w:hAnsi="Times New Roman"/>
          <w:sz w:val="20"/>
        </w:rPr>
      </w:pPr>
      <w:r>
        <w:rPr>
          <w:rFonts w:ascii="Times New Roman" w:hAnsi="Times New Roman"/>
          <w:sz w:val="20"/>
        </w:rPr>
        <w:t xml:space="preserve">(d)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Pennsylvania Human Relations Act; and the Pennsylvania Whistleblower Law, each as amended, or any other federal, state or local statute or ordinance; </w:t>
      </w:r>
    </w:p>
    <w:p>
      <w:pPr>
        <w:pStyle w:val="TextBody"/>
        <w:bidi w:val="0"/>
        <w:spacing w:before="240" w:after="0"/>
        <w:jc w:val="left"/>
        <w:rPr>
          <w:rFonts w:ascii="Times New Roman" w:hAnsi="Times New Roman"/>
          <w:sz w:val="20"/>
        </w:rPr>
      </w:pPr>
      <w:r>
        <w:rPr>
          <w:rFonts w:ascii="Times New Roman" w:hAnsi="Times New Roman"/>
          <w:sz w:val="20"/>
        </w:rPr>
        <w:t xml:space="preserve">(e) any and all claims for violation of the federal or any state constitution; </w:t>
      </w:r>
    </w:p>
    <w:p>
      <w:pPr>
        <w:pStyle w:val="TextBody"/>
        <w:bidi w:val="0"/>
        <w:spacing w:before="240" w:after="0"/>
        <w:jc w:val="left"/>
        <w:rPr>
          <w:rFonts w:ascii="Times New Roman" w:hAnsi="Times New Roman"/>
          <w:sz w:val="20"/>
        </w:rPr>
      </w:pPr>
      <w:r>
        <w:rPr>
          <w:rFonts w:ascii="Times New Roman" w:hAnsi="Times New Roman"/>
          <w:sz w:val="20"/>
        </w:rPr>
        <w:t xml:space="preserve">(f) any and all claims arising out of any other laws and regulations relating to employment or employment discrimination; </w:t>
      </w:r>
    </w:p>
    <w:p>
      <w:pPr>
        <w:pStyle w:val="TextBody"/>
        <w:bidi w:val="0"/>
        <w:spacing w:before="240" w:after="0"/>
        <w:jc w:val="left"/>
        <w:rPr>
          <w:rFonts w:ascii="Times New Roman" w:hAnsi="Times New Roman"/>
          <w:sz w:val="20"/>
        </w:rPr>
      </w:pPr>
      <w:r>
        <w:rPr>
          <w:rFonts w:ascii="Times New Roman" w:hAnsi="Times New Roman"/>
          <w:sz w:val="20"/>
        </w:rPr>
        <w:t xml:space="preserve">(g) any claim for any loss, cost, damage, or expense arising out of any dispute over the non-withholding or other tax treatment of any of the proceeds received by Executive as a result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any and all claims arising out of the wage and hour and wage payments laws and regulations of the state or states in which Executive has provided service to the Company or any of its affiliates; and </w:t>
      </w:r>
    </w:p>
    <w:p>
      <w:pPr>
        <w:pStyle w:val="TextBody"/>
        <w:bidi w:val="0"/>
        <w:spacing w:before="240" w:after="0"/>
        <w:jc w:val="left"/>
        <w:rPr>
          <w:rFonts w:ascii="Times New Roman" w:hAnsi="Times New Roman"/>
          <w:sz w:val="20"/>
        </w:rPr>
      </w:pPr>
      <w:r>
        <w:rPr>
          <w:rFonts w:ascii="Times New Roman" w:hAnsi="Times New Roman"/>
          <w:sz w:val="20"/>
        </w:rPr>
        <w:t xml:space="preserve">(i) any and all claims for attorneys fees and costs. </w:t>
      </w:r>
    </w:p>
    <w:p>
      <w:pPr>
        <w:pStyle w:val="TextBody"/>
        <w:bidi w:val="0"/>
        <w:spacing w:before="240" w:after="0"/>
        <w:jc w:val="left"/>
        <w:rPr>
          <w:rFonts w:ascii="Times New Roman" w:hAnsi="Times New Roman"/>
          <w:sz w:val="20"/>
        </w:rPr>
      </w:pPr>
      <w:r>
        <w:rPr>
          <w:rFonts w:ascii="Times New Roman" w:hAnsi="Times New Roman"/>
          <w:sz w:val="20"/>
        </w:rPr>
        <w:t xml:space="preserve">EXECUTIVE ACKNOWLEDGES THAT EXECUTIVE HAS BEEN ADVISED BY LEGAL COUNSEL AND IS FAMILIAR WITH THE PROVISIONS OF CALIFORNIA CIVIL CODE SECTION 1542, WHICH PROVIDES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EXECUTIVE, BEING AWARE OF SAID CODE SECTION, HEREBY EXPRESSLY WAIVES ANY RIGHTS EXECUTIVE MAY HAVE THEREUNDER, AS WELL AS UNDER ANY OTHER STATUTES OR COMMON LAW PRINCIPLES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Pennsylvania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1(c) or Section 4 of the Employment Agreement. This release does not prevent Executive from cooperating with an investigation conducted by any such governmental agencies, including without limitation the National Labor Relations Board (the NLRB). Nothing herein will prevent Executive from participating in an activity permitted by Section 7 of the National Labor Relations Act or from filing an unfair labor practice charge with the NLRB.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Acknowledgment of Waiver of Claims under ADEA</w:t>
      </w:r>
      <w:r>
        <w:rPr>
          <w:rFonts w:ascii="Times New Roman" w:hAnsi="Times New Roman"/>
          <w:sz w:val="20"/>
        </w:rPr>
        <w:t>. Executive understands and acknowledges that Executive is waiving and releasing any rights Executive may have under the Age Discrimination in Employment Act of 1967 (</w:t>
      </w:r>
      <w:r>
        <w:rPr>
          <w:rFonts w:ascii="Times New Roman" w:hAnsi="Times New Roman"/>
          <w:sz w:val="20"/>
          <w:u w:val="single"/>
        </w:rPr>
        <w:t>ADEA</w:t>
      </w:r>
      <w:r>
        <w:rPr>
          <w:rFonts w:ascii="Times New Roman" w:hAnsi="Times New Roman"/>
          <w:sz w:val="20"/>
        </w:rPr>
        <w:t xml:space="preserve">),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 the revocation period has expired without revocation;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 To revoke this Agreement, Executive must notify the Company in writing sent to the Chief Executive Officer of the Company, and such revocation must be received no later than the seventh (7th) business day after Executive signs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Acknowledgement</w:t>
      </w:r>
      <w:r>
        <w:rPr>
          <w:rFonts w:ascii="Times New Roman" w:hAnsi="Times New Roman"/>
          <w:sz w:val="20"/>
        </w:rPr>
        <w:t xml:space="preserve">. Executive acknowledges her ongoing obligations under Section 5 of the Employment Agreement. Sections 5(e) and 5(f) of the Employment Agreement are hereby incorporated by reference and will apply to this Agreement as if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Severability</w:t>
      </w:r>
      <w:r>
        <w:rPr>
          <w:rFonts w:ascii="Times New Roman" w:hAnsi="Times New Roman"/>
          <w:sz w:val="20"/>
        </w:rPr>
        <w:t xml:space="preserve">.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Oral Modification</w:t>
      </w:r>
      <w:r>
        <w:rPr>
          <w:rFonts w:ascii="Times New Roman" w:hAnsi="Times New Roman"/>
          <w:sz w:val="20"/>
        </w:rPr>
        <w:t xml:space="preserve">. This Agreement may only be amended in a writing signed by Executive and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Dispute Resolution</w:t>
      </w:r>
      <w:r>
        <w:rPr>
          <w:rFonts w:ascii="Times New Roman" w:hAnsi="Times New Roman"/>
          <w:sz w:val="20"/>
        </w:rPr>
        <w:t xml:space="preserve">. This Agreement shall be subject to the provisions of Sections 1(a), 1(c), and (h) of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 Date</w:t>
      </w:r>
      <w:r>
        <w:rPr>
          <w:rFonts w:ascii="Times New Roman" w:hAnsi="Times New Roman"/>
          <w:sz w:val="20"/>
        </w:rPr>
        <w:t>. Executive has seven (7) business days after Executive signs this Agreement to revoke it and this Agreement will become effective on the day immediately following the seventh business day after Executive signed this Agreement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Voluntary Execution of Agreement</w:t>
      </w:r>
      <w:r>
        <w:rPr>
          <w:rFonts w:ascii="Times New Roman" w:hAnsi="Times New Roman"/>
          <w:sz w:val="20"/>
        </w:rPr>
        <w:t xml:space="preserve">.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Entire Agreement</w:t>
      </w:r>
      <w:r>
        <w:rPr>
          <w:rFonts w:ascii="Times New Roman" w:hAnsi="Times New Roman"/>
          <w:sz w:val="20"/>
        </w:rPr>
        <w:t xml:space="preserve">.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respective dates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1"/>
        <w:gridCol w:w="406"/>
        <w:gridCol w:w="101"/>
        <w:gridCol w:w="306"/>
        <w:gridCol w:w="101"/>
        <w:gridCol w:w="4598"/>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b/>
              </w:rPr>
            </w:pPr>
            <w:r>
              <w:rPr>
                <w:b/>
              </w:rPr>
              <w:t>EXECUTIVE</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 xml:space="preserve">Dated: </w:t>
            </w:r>
            <w:r>
              <w:rPr>
                <w:u w:val="single"/>
              </w:rPr>
              <w:t xml:space="preserve">                         </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pPr>
            <w:r>
              <w:rPr/>
              <w:t> </w:t>
            </w:r>
          </w:p>
        </w:tc>
      </w:tr>
      <w:tr>
        <w:trPr>
          <w:trHeight w:val="12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Print Name: Corleen Roche</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b/>
              </w:rPr>
            </w:pPr>
            <w:r>
              <w:rPr>
                <w:b/>
              </w:rPr>
              <w:t>CG ONCOLOGY, INC.</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 xml:space="preserve">Dated: </w:t>
            </w:r>
            <w:r>
              <w:rPr>
                <w:u w:val="single"/>
              </w:rPr>
              <w:t>                        </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pPr>
            <w:r>
              <w:rPr/>
              <w:t> </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Name:</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58" w:name="d551455dex231.htm"/>
      <w:bookmarkStart w:id="59" w:name="ksd551455dex231"/>
      <w:bookmarkEnd w:id="58"/>
      <w:bookmarkEnd w:id="5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October 27, 2023 (except for the retroactive effect of the 1-for-9.535 reverse stock split as described in the seventh and eighth paragraphs of Note 14, as to which the date is January 18, 2024), in Amendment No. 1 to the Registration Statement (Form S-1 No. 333-276350) and related Prospectus of CG Oncology, Inc. for the registration of 11,800,000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January 18, 2024 </w:t>
      </w:r>
    </w:p>
    <w:p>
      <w:pPr>
        <w:pStyle w:val="TextBody"/>
        <w:bidi w:val="0"/>
        <w:spacing w:before="0" w:after="0"/>
        <w:jc w:val="right"/>
        <w:rPr>
          <w:rFonts w:ascii="ARIAL" w:hAnsi="ARIAL"/>
          <w:b/>
          <w:sz w:val="20"/>
        </w:rPr>
      </w:pPr>
      <w:bookmarkStart w:id="60" w:name="d551455dexfilingfees.htm"/>
      <w:bookmarkStart w:id="61" w:name="ksd551455dexfilingfees"/>
      <w:bookmarkEnd w:id="60"/>
      <w:bookmarkEnd w:id="61"/>
      <w:r>
        <w:rPr>
          <w:rFonts w:ascii="ARIAL" w:hAnsi="ARIAL"/>
          <w:b/>
          <w:sz w:val="20"/>
        </w:rPr>
        <w:t xml:space="preserve">Exhibit 107 </w:t>
      </w:r>
      <w:r>
        <w:br w:type="page"/>
      </w:r>
    </w:p>
    <w:p>
      <w:pPr>
        <w:pStyle w:val="TextBody"/>
        <w:bidi w:val="0"/>
        <w:spacing w:before="240" w:after="0"/>
        <w:jc w:val="center"/>
        <w:rPr>
          <w:rFonts w:ascii="ARIAL" w:hAnsi="ARIAL"/>
          <w:b/>
          <w:sz w:val="20"/>
        </w:rPr>
      </w:pPr>
      <w:r>
        <w:rPr>
          <w:rFonts w:ascii="ARIAL" w:hAnsi="ARIAL"/>
          <w:b/>
          <w:sz w:val="20"/>
        </w:rPr>
        <w:t xml:space="preserve">Calculation of Filing Fee Table </w:t>
      </w:r>
    </w:p>
    <w:p>
      <w:pPr>
        <w:pStyle w:val="TextBody"/>
        <w:bidi w:val="0"/>
        <w:spacing w:before="240" w:after="0"/>
        <w:jc w:val="center"/>
        <w:rPr>
          <w:rFonts w:ascii="ARIAL" w:hAnsi="ARIAL"/>
          <w:b/>
          <w:sz w:val="20"/>
        </w:rPr>
      </w:pPr>
      <w:r>
        <w:rPr>
          <w:rFonts w:ascii="ARIAL" w:hAnsi="ARIAL"/>
          <w:b/>
          <w:sz w:val="20"/>
        </w:rPr>
        <w:t xml:space="preserve">Form S-1 </w:t>
      </w:r>
    </w:p>
    <w:p>
      <w:pPr>
        <w:pStyle w:val="TextBody"/>
        <w:bidi w:val="0"/>
        <w:spacing w:before="240" w:after="0"/>
        <w:jc w:val="center"/>
        <w:rPr>
          <w:rFonts w:ascii="ARIAL" w:hAnsi="ARIAL"/>
          <w:b/>
          <w:sz w:val="20"/>
        </w:rPr>
      </w:pPr>
      <w:r>
        <w:rPr>
          <w:rFonts w:ascii="ARIAL" w:hAnsi="ARIAL"/>
          <w:b/>
          <w:sz w:val="20"/>
        </w:rPr>
        <w:t xml:space="preserve">CG Oncology, Inc. </w:t>
      </w:r>
    </w:p>
    <w:p>
      <w:pPr>
        <w:pStyle w:val="TextBody"/>
        <w:bidi w:val="0"/>
        <w:spacing w:before="240" w:after="0"/>
        <w:jc w:val="center"/>
        <w:rPr>
          <w:rFonts w:ascii="ARIAL" w:hAnsi="ARIAL"/>
          <w:sz w:val="18"/>
          <w:u w:val="single"/>
        </w:rPr>
      </w:pPr>
      <w:r>
        <w:rPr>
          <w:rFonts w:ascii="ARIAL" w:hAnsi="ARIAL"/>
          <w:sz w:val="18"/>
          <w:u w:val="single"/>
        </w:rPr>
        <w:t xml:space="preserve">Table 1 - Newly Registered Securities </w:t>
      </w:r>
    </w:p>
    <w:p>
      <w:pPr>
        <w:pStyle w:val="TextBody"/>
        <w:bidi w:val="0"/>
        <w:spacing w:before="0" w:after="0"/>
        <w:jc w:val="left"/>
        <w:rPr/>
      </w:pPr>
      <w:r>
        <w:rPr/>
        <w:t> </w:t>
      </w:r>
    </w:p>
    <w:tbl>
      <w:tblPr>
        <w:tblW w:w="9445" w:type="dxa"/>
        <w:jc w:val="center"/>
        <w:tblInd w:w="0" w:type="dxa"/>
        <w:tblLayout w:type="fixed"/>
        <w:tblCellMar>
          <w:top w:w="0" w:type="dxa"/>
          <w:left w:w="0" w:type="dxa"/>
          <w:bottom w:w="0" w:type="dxa"/>
          <w:right w:w="0" w:type="dxa"/>
        </w:tblCellMar>
      </w:tblPr>
      <w:tblGrid>
        <w:gridCol w:w="800"/>
        <w:gridCol w:w="60"/>
        <w:gridCol w:w="1565"/>
        <w:gridCol w:w="60"/>
        <w:gridCol w:w="785"/>
        <w:gridCol w:w="60"/>
        <w:gridCol w:w="1100"/>
        <w:gridCol w:w="60"/>
        <w:gridCol w:w="1115"/>
        <w:gridCol w:w="60"/>
        <w:gridCol w:w="1340"/>
        <w:gridCol w:w="60"/>
        <w:gridCol w:w="1160"/>
        <w:gridCol w:w="60"/>
        <w:gridCol w:w="11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0"/>
              <w:jc w:val="center"/>
              <w:rPr>
                <w:rFonts w:ascii="ARIAL" w:hAnsi="ARIAL"/>
                <w:sz w:val="14"/>
              </w:rPr>
            </w:pPr>
            <w:r>
              <w:rPr>
                <w:rFonts w:ascii="ARIAL" w:hAnsi="ARIAL"/>
                <w:sz w:val="14"/>
              </w:rPr>
              <w:t>Security</w:t>
            </w:r>
          </w:p>
          <w:p>
            <w:pPr>
              <w:pStyle w:val="TableContents"/>
              <w:bidi w:val="0"/>
              <w:spacing w:before="0" w:after="0"/>
              <w:jc w:val="center"/>
              <w:rPr>
                <w:rFonts w:ascii="ARIAL" w:hAnsi="ARIAL"/>
                <w:sz w:val="14"/>
              </w:rPr>
            </w:pPr>
            <w:r>
              <w:rPr>
                <w:rFonts w:ascii="ARIAL" w:hAnsi="ARIAL"/>
                <w:sz w:val="14"/>
              </w:rPr>
              <w:t>Class</w:t>
            </w:r>
          </w:p>
          <w:p>
            <w:pPr>
              <w:pStyle w:val="TableContents"/>
              <w:bidi w:val="0"/>
              <w:spacing w:before="0" w:after="20"/>
              <w:jc w:val="center"/>
              <w:rPr>
                <w:rFonts w:ascii="ARIAL" w:hAnsi="ARIAL"/>
                <w:sz w:val="14"/>
              </w:rPr>
            </w:pPr>
            <w:r>
              <w:rPr>
                <w:rFonts w:ascii="ARIAL" w:hAnsi="ARIAL"/>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center"/>
              <w:rPr>
                <w:rFonts w:ascii="ARIAL" w:hAnsi="ARIAL"/>
                <w:sz w:val="14"/>
              </w:rPr>
            </w:pPr>
            <w:r>
              <w:rPr>
                <w:rFonts w:ascii="ARIAL" w:hAnsi="ARIAL"/>
                <w:sz w:val="14"/>
              </w:rPr>
              <w:t>Fee</w:t>
              <w:br/>
              <w:t> Calculation </w:t>
            </w:r>
          </w:p>
          <w:p>
            <w:pPr>
              <w:pStyle w:val="TableContents"/>
              <w:bidi w:val="0"/>
              <w:spacing w:before="0" w:after="20"/>
              <w:jc w:val="center"/>
              <w:rPr>
                <w:rFonts w:ascii="ARIAL" w:hAnsi="ARIAL"/>
                <w:sz w:val="14"/>
              </w:rPr>
            </w:pPr>
            <w:r>
              <w:rPr>
                <w:rFonts w:ascii="ARIAL" w:hAnsi="ARIAL"/>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Proposed</w:t>
              <w:br/>
              <w:t> Maximum </w:t>
              <w:br/>
              <w:t>Offering</w:t>
              <w:br/>
              <w:t>Price 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ARIAL" w:hAnsi="ARIAL"/>
                <w:sz w:val="14"/>
              </w:rPr>
            </w:pPr>
            <w:r>
              <w:rPr>
                <w:rFonts w:ascii="ARIAL" w:hAnsi="ARIAL"/>
                <w:sz w:val="14"/>
              </w:rPr>
              <w:t>Maximum</w:t>
              <w:br/>
              <w:t>Aggregate</w:t>
            </w:r>
          </w:p>
          <w:p>
            <w:pPr>
              <w:pStyle w:val="TableContents"/>
              <w:bidi w:val="0"/>
              <w:spacing w:before="0" w:after="0"/>
              <w:jc w:val="center"/>
              <w:rPr>
                <w:rFonts w:ascii="ARIAL" w:hAnsi="ARIAL"/>
                <w:sz w:val="14"/>
              </w:rPr>
            </w:pPr>
            <w:r>
              <w:rPr>
                <w:rFonts w:ascii="ARIAL" w:hAnsi="ARIAL"/>
                <w:sz w:val="14"/>
              </w:rPr>
              <w:t>Offering</w:t>
            </w:r>
          </w:p>
          <w:p>
            <w:pPr>
              <w:pStyle w:val="TableContents"/>
              <w:bidi w:val="0"/>
              <w:spacing w:before="0" w:after="20"/>
              <w:jc w:val="center"/>
              <w:rPr>
                <w:rFonts w:ascii="ARIAL" w:hAnsi="ARIAL"/>
                <w:sz w:val="14"/>
              </w:rPr>
            </w:pPr>
            <w:r>
              <w:rPr>
                <w:rFonts w:ascii="ARIAL" w:hAnsi="ARIAL"/>
                <w:sz w:val="14"/>
              </w:rPr>
              <w:t>Price(2)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ARIAL" w:hAnsi="ARIAL"/>
                <w:sz w:val="14"/>
              </w:rPr>
            </w:pPr>
            <w:r>
              <w:rPr>
                <w:rFonts w:ascii="ARIAL" w:hAnsi="ARIAL"/>
                <w:sz w:val="14"/>
              </w:rPr>
              <w:t>Fee</w:t>
            </w:r>
          </w:p>
          <w:p>
            <w:pPr>
              <w:pStyle w:val="TableContents"/>
              <w:bidi w:val="0"/>
              <w:spacing w:before="0" w:after="20"/>
              <w:jc w:val="center"/>
              <w:rPr>
                <w:rFonts w:ascii="ARIAL" w:hAnsi="ARIAL"/>
                <w:sz w:val="14"/>
              </w:rPr>
            </w:pPr>
            <w:r>
              <w:rPr>
                <w:rFonts w:ascii="ARIAL" w:hAnsi="ARIAL"/>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Fee(2)</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par value $0.0001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center"/>
              <w:rPr/>
            </w:pPr>
            <w:r>
              <w:rPr/>
              <w:t>Rule</w:t>
              <w:br/>
              <w:t>457(a)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13,570,000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$18.00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$244,260,000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0"/>
              <w:jc w:val="center"/>
              <w:rPr>
                <w:rFonts w:ascii="ARIAL" w:hAnsi="ARIAL"/>
                <w:sz w:val="20"/>
              </w:rPr>
            </w:pPr>
            <w:r>
              <w:rPr>
                <w:rFonts w:ascii="ARIAL" w:hAnsi="ARIAL"/>
                <w:sz w:val="20"/>
              </w:rPr>
              <w:t>$36,053</w:t>
            </w:r>
          </w:p>
        </w:tc>
      </w:tr>
      <w:tr>
        <w:trPr>
          <w:trHeight w:val="15" w:hRule="atLeast"/>
        </w:trPr>
        <w:tc>
          <w:tcPr>
            <w:tcW w:w="44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430"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0"/>
              <w:jc w:val="center"/>
              <w:rPr>
                <w:rFonts w:ascii="ARIAL" w:hAnsi="ARIAL"/>
                <w:sz w:val="20"/>
              </w:rPr>
            </w:pPr>
            <w:r>
              <w:rPr>
                <w:rFonts w:ascii="ARIAL" w:hAnsi="ARIAL"/>
                <w:sz w:val="20"/>
              </w:rPr>
              <w:t>$244,260,000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$36,053</w:t>
            </w:r>
          </w:p>
        </w:tc>
      </w:tr>
      <w:tr>
        <w:trPr>
          <w:trHeight w:val="15" w:hRule="atLeast"/>
        </w:trPr>
        <w:tc>
          <w:tcPr>
            <w:tcW w:w="44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430" w:type="dxa"/>
            <w:gridSpan w:val="7"/>
            <w:tcBorders>
              <w:left w:val="single" w:sz="2" w:space="0" w:color="000000"/>
            </w:tcBorders>
            <w:tcMar>
              <w:left w:w="160" w:type="dxa"/>
            </w:tcMar>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$14,760</w:t>
            </w:r>
          </w:p>
        </w:tc>
      </w:tr>
      <w:tr>
        <w:trPr>
          <w:trHeight w:val="15" w:hRule="atLeast"/>
        </w:trPr>
        <w:tc>
          <w:tcPr>
            <w:tcW w:w="44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430"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44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43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tcBorders>
            <w:tcMar>
              <w:bottom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$21,293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16"/>
              </w:rPr>
            </w:pPr>
            <w:r>
              <w:rPr>
                <w:rFonts w:ascii="ARIAL" w:hAnsi="ARIAL"/>
                <w:sz w:val="16"/>
              </w:rPr>
              <w:t xml:space="preserve">Includes 1,770,000 shares of common stock that the underwriters have the option to purchase.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ARIAL" w:hAnsi="ARIAL"/>
                <w:sz w:val="16"/>
              </w:rPr>
            </w:pPr>
            <w:r>
              <w:rPr>
                <w:rFonts w:ascii="ARIAL" w:hAnsi="ARIAL"/>
                <w:sz w:val="16"/>
              </w:rPr>
              <w:t xml:space="preserve">Estimated solely for the purpose of computing the amount of the registration fee pursuant to Rule 457(a) under the Securities Act of 1933, as amended.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WINGDINGS">
    <w:charset w:val="02"/>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jpeg"/><Relationship Id="rId19" Type="http://schemas.openxmlformats.org/officeDocument/2006/relationships/hyperlink" Target="http://www.sec.gov/Archives/edgar/data/1991792/000119312524000766/d551455dex32.htm" TargetMode="External"/><Relationship Id="rId20" Type="http://schemas.openxmlformats.org/officeDocument/2006/relationships/hyperlink" Target="http://www.sec.gov/Archives/edgar/data/0001991792/000119312524000766/d551455dex34.htm" TargetMode="External"/><Relationship Id="rId21" Type="http://schemas.openxmlformats.org/officeDocument/2006/relationships/hyperlink" Target="http://www.sec.gov/Archives/edgar/data/0001991792/000119312524000766/d551455dex101.htm" TargetMode="External"/><Relationship Id="rId22" Type="http://schemas.openxmlformats.org/officeDocument/2006/relationships/hyperlink" Target="http://www.sec.gov/Archives/edgar/data/0001991792/000119312524000766/d551455dex102.htm" TargetMode="External"/><Relationship Id="rId23" Type="http://schemas.openxmlformats.org/officeDocument/2006/relationships/hyperlink" Target="http://www.sec.gov/Archives/edgar/data/0001991792/000119312524000766/d551455dex106.htm" TargetMode="External"/><Relationship Id="rId24" Type="http://schemas.openxmlformats.org/officeDocument/2006/relationships/hyperlink" Target="http://www.sec.gov/Archives/edgar/data/0001991792/000119312524000766/d551455dex107.htm" TargetMode="External"/><Relationship Id="rId25" Type="http://schemas.openxmlformats.org/officeDocument/2006/relationships/hyperlink" Target="http://www.sec.gov/Archives/edgar/data/0001991792/000119312524000766/d551455dex108.htm" TargetMode="External"/><Relationship Id="rId26" Type="http://schemas.openxmlformats.org/officeDocument/2006/relationships/hyperlink" Target="http://www.sec.gov/Archives/edgar/data/0001991792/000119312524000766/d551455dex109.htm" TargetMode="External"/><Relationship Id="rId27" Type="http://schemas.openxmlformats.org/officeDocument/2006/relationships/hyperlink" Target="http://www.sec.gov/Archives/edgar/data/0001991792/000119312524000766/d551455dex1010.htm" TargetMode="External"/><Relationship Id="rId28" Type="http://schemas.openxmlformats.org/officeDocument/2006/relationships/hyperlink" Target="http://www.sec.gov/Archives/edgar/data/0001991792/000119312524000766/d551455dex1011.htm" TargetMode="External"/><Relationship Id="rId29" Type="http://schemas.openxmlformats.org/officeDocument/2006/relationships/hyperlink" Target="http://www.sec.gov/Archives/edgar/data/0001991792/000119312524000766/d551455dex1012.htm" TargetMode="External"/><Relationship Id="rId30" Type="http://schemas.openxmlformats.org/officeDocument/2006/relationships/hyperlink" Target="http://www.sec.gov/Archives/edgar/data/0001991792/000119312524000766/d551455dex1013.htm" TargetMode="External"/><Relationship Id="rId31" Type="http://schemas.openxmlformats.org/officeDocument/2006/relationships/hyperlink" Target="http://www.sec.gov/Archives/edgar/data/0001991792/000119312524000766/d551455dex1014.htm" TargetMode="External"/><Relationship Id="rId32" Type="http://schemas.openxmlformats.org/officeDocument/2006/relationships/hyperlink" Target="http://www.sec.gov/Archives/edgar/data/0001991792/000119312524000766/d551455dex1015.htm" TargetMode="External"/><Relationship Id="rId33" Type="http://schemas.openxmlformats.org/officeDocument/2006/relationships/hyperlink" Target="http://www.sec.gov/Archives/edgar/data/0001991792/000119312524000766/d551455dex1016.htm" TargetMode="External"/><Relationship Id="rId34" Type="http://schemas.openxmlformats.org/officeDocument/2006/relationships/hyperlink" Target="http://www.sec.gov/Archives/edgar/data/0001991792/000119312524000766/d551455dex1017.htm" TargetMode="External"/><Relationship Id="rId35" Type="http://schemas.openxmlformats.org/officeDocument/2006/relationships/image" Target="media/image14.jpeg"/><Relationship Id="rId36" Type="http://schemas.openxmlformats.org/officeDocument/2006/relationships/image" Target="media/image15.jpeg"/><Relationship Id="rId37" Type="http://schemas.openxmlformats.org/officeDocument/2006/relationships/image" Target="media/image1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490</Pages>
  <Words>259318</Words>
  <Characters>1380740</Characters>
  <CharactersWithSpaces>1644508</CharactersWithSpaces>
  <Paragraphs>18701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