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December 11, 2024.</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333-283725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69951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AMENDMENT NO. 1 TO</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S-1</w:t>
      </w:r>
    </w:p>
    <w:p>
      <w:pPr>
        <w:jc w:val="center"/>
        <w:spacing w:after="0" w:line="233" w:lineRule="auto"/>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125095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CG ONCOLOGY,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3"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2740" w:type="dxa"/>
            <w:vAlign w:val="bottom"/>
          </w:tcPr>
          <w:p>
            <w:pPr>
              <w:jc w:val="center"/>
              <w:ind w:right="9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2836</w:t>
            </w:r>
          </w:p>
        </w:tc>
        <w:tc>
          <w:tcPr>
            <w:tcW w:w="2220" w:type="dxa"/>
            <w:vAlign w:val="bottom"/>
          </w:tcPr>
          <w:p>
            <w:pPr>
              <w:jc w:val="center"/>
              <w:ind w:left="1088"/>
              <w:spacing w:after="0"/>
              <w:rPr>
                <w:sz w:val="20"/>
                <w:szCs w:val="20"/>
                <w:color w:val="auto"/>
              </w:rPr>
            </w:pPr>
            <w:r>
              <w:rPr>
                <w:rFonts w:ascii="Times New Roman" w:cs="Times New Roman" w:eastAsia="Times New Roman" w:hAnsi="Times New Roman"/>
                <w:sz w:val="14"/>
                <w:szCs w:val="14"/>
                <w:b w:val="1"/>
                <w:bCs w:val="1"/>
                <w:color w:val="auto"/>
              </w:rPr>
              <w:t>37-1611499</w:t>
            </w:r>
          </w:p>
        </w:tc>
      </w:tr>
      <w:tr>
        <w:trPr>
          <w:trHeight w:val="148"/>
        </w:trPr>
        <w:tc>
          <w:tcPr>
            <w:tcW w:w="2740" w:type="dxa"/>
            <w:vAlign w:val="bottom"/>
          </w:tcPr>
          <w:p>
            <w:pPr>
              <w:jc w:val="center"/>
              <w:ind w:right="94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8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(Primary Standard Industrial</w:t>
            </w:r>
          </w:p>
        </w:tc>
        <w:tc>
          <w:tcPr>
            <w:tcW w:w="2220" w:type="dxa"/>
            <w:vAlign w:val="bottom"/>
          </w:tcPr>
          <w:p>
            <w:pPr>
              <w:jc w:val="center"/>
              <w:ind w:left="108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740" w:type="dxa"/>
            <w:vAlign w:val="bottom"/>
          </w:tcPr>
          <w:p>
            <w:pPr>
              <w:jc w:val="center"/>
              <w:ind w:right="9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8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222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400 Spectrum Center Drive, Suite 2040</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Irvine, CA 92618</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(949) 409-3700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125095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Arthur Kuan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400 Spectrum Center Drive, Suite 2040</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Irvine, CA 92618</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(949) 409-3700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3" w:lineRule="exact"/>
        <w:rPr>
          <w:sz w:val="24"/>
          <w:szCs w:val="24"/>
          <w:color w:val="auto"/>
        </w:rPr>
      </w:pPr>
    </w:p>
    <w:tbl>
      <w:tblPr>
        <w:tblLayout w:type="fixed"/>
        <w:tblInd w:w="122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3840" w:type="dxa"/>
            <w:vAlign w:val="bottom"/>
          </w:tcPr>
          <w:p>
            <w:pPr>
              <w:ind w:left="1560"/>
              <w:spacing w:after="0"/>
              <w:rPr>
                <w:sz w:val="20"/>
                <w:szCs w:val="20"/>
                <w:color w:val="auto"/>
              </w:rPr>
            </w:pPr>
            <w:r>
              <w:rPr>
                <w:rFonts w:ascii="Times New Roman" w:cs="Times New Roman" w:eastAsia="Times New Roman" w:hAnsi="Times New Roman"/>
                <w:sz w:val="14"/>
                <w:szCs w:val="14"/>
                <w:i w:val="1"/>
                <w:iCs w:val="1"/>
                <w:color w:val="auto"/>
              </w:rPr>
              <w:t>Copies to:</w:t>
            </w:r>
          </w:p>
        </w:tc>
        <w:tc>
          <w:tcPr>
            <w:tcW w:w="2520" w:type="dxa"/>
            <w:vAlign w:val="bottom"/>
          </w:tcPr>
          <w:p>
            <w:pPr>
              <w:spacing w:after="0"/>
              <w:rPr>
                <w:sz w:val="16"/>
                <w:szCs w:val="16"/>
                <w:color w:val="auto"/>
              </w:rPr>
            </w:pPr>
          </w:p>
        </w:tc>
      </w:tr>
      <w:tr>
        <w:trPr>
          <w:trHeight w:val="188"/>
        </w:trPr>
        <w:tc>
          <w:tcPr>
            <w:tcW w:w="2420" w:type="dxa"/>
            <w:vAlign w:val="bottom"/>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rPr>
              <w:t>Divakar Gupta</w:t>
            </w:r>
          </w:p>
        </w:tc>
        <w:tc>
          <w:tcPr>
            <w:tcW w:w="38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Joshua F. Patterson</w:t>
            </w:r>
          </w:p>
        </w:tc>
        <w:tc>
          <w:tcPr>
            <w:tcW w:w="25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Matthew T. Bush</w:t>
            </w:r>
          </w:p>
        </w:tc>
      </w:tr>
      <w:tr>
        <w:trPr>
          <w:trHeight w:val="148"/>
        </w:trPr>
        <w:tc>
          <w:tcPr>
            <w:tcW w:w="2420" w:type="dxa"/>
            <w:vAlign w:val="bottom"/>
          </w:tcPr>
          <w:p>
            <w:pPr>
              <w:jc w:val="center"/>
              <w:ind w:right="1048"/>
              <w:spacing w:after="0" w:line="149" w:lineRule="exact"/>
              <w:rPr>
                <w:sz w:val="20"/>
                <w:szCs w:val="20"/>
                <w:color w:val="auto"/>
              </w:rPr>
            </w:pPr>
            <w:r>
              <w:rPr>
                <w:rFonts w:ascii="Times New Roman" w:cs="Times New Roman" w:eastAsia="Times New Roman" w:hAnsi="Times New Roman"/>
                <w:sz w:val="14"/>
                <w:szCs w:val="14"/>
                <w:b w:val="1"/>
                <w:bCs w:val="1"/>
                <w:color w:val="auto"/>
              </w:rPr>
              <w:t>Charles S. Kim</w:t>
            </w:r>
          </w:p>
        </w:tc>
        <w:tc>
          <w:tcPr>
            <w:tcW w:w="38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 &amp;</w:t>
            </w:r>
          </w:p>
        </w:tc>
        <w:tc>
          <w:tcPr>
            <w:tcW w:w="252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b w:val="1"/>
                <w:bCs w:val="1"/>
                <w:color w:val="auto"/>
              </w:rPr>
              <w:t>Cheston J. Larson</w:t>
            </w:r>
          </w:p>
        </w:tc>
      </w:tr>
      <w:tr>
        <w:trPr>
          <w:trHeight w:val="148"/>
        </w:trPr>
        <w:tc>
          <w:tcPr>
            <w:tcW w:w="2420" w:type="dxa"/>
            <w:vAlign w:val="bottom"/>
          </w:tcPr>
          <w:p>
            <w:pPr>
              <w:jc w:val="center"/>
              <w:ind w:right="1068"/>
              <w:spacing w:after="0" w:line="149" w:lineRule="exact"/>
              <w:rPr>
                <w:sz w:val="20"/>
                <w:szCs w:val="20"/>
                <w:color w:val="auto"/>
              </w:rPr>
            </w:pPr>
            <w:r>
              <w:rPr>
                <w:rFonts w:ascii="Times New Roman" w:cs="Times New Roman" w:eastAsia="Times New Roman" w:hAnsi="Times New Roman"/>
                <w:sz w:val="14"/>
                <w:szCs w:val="14"/>
                <w:b w:val="1"/>
                <w:bCs w:val="1"/>
                <w:color w:val="auto"/>
              </w:rPr>
              <w:t>Milson C. Yu</w:t>
            </w:r>
          </w:p>
        </w:tc>
        <w:tc>
          <w:tcPr>
            <w:tcW w:w="384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Chief Compliance Officer</w:t>
            </w:r>
          </w:p>
        </w:tc>
        <w:tc>
          <w:tcPr>
            <w:tcW w:w="252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b w:val="1"/>
                <w:bCs w:val="1"/>
                <w:color w:val="auto"/>
              </w:rPr>
              <w:t>Anthony Gostanian</w:t>
            </w:r>
          </w:p>
        </w:tc>
      </w:tr>
      <w:tr>
        <w:trPr>
          <w:trHeight w:val="149"/>
        </w:trPr>
        <w:tc>
          <w:tcPr>
            <w:tcW w:w="2420" w:type="dxa"/>
            <w:vAlign w:val="bottom"/>
          </w:tcPr>
          <w:p>
            <w:pPr>
              <w:jc w:val="center"/>
              <w:ind w:right="1048"/>
              <w:spacing w:after="0" w:line="149"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38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400 Spectrum Center Drive,</w:t>
            </w:r>
          </w:p>
        </w:tc>
        <w:tc>
          <w:tcPr>
            <w:tcW w:w="252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b w:val="1"/>
                <w:bCs w:val="1"/>
                <w:color w:val="auto"/>
              </w:rPr>
              <w:t>Latham &amp; Watkins LLP</w:t>
            </w:r>
          </w:p>
        </w:tc>
      </w:tr>
      <w:tr>
        <w:trPr>
          <w:trHeight w:val="148"/>
        </w:trPr>
        <w:tc>
          <w:tcPr>
            <w:tcW w:w="2420" w:type="dxa"/>
            <w:vAlign w:val="bottom"/>
          </w:tcPr>
          <w:p>
            <w:pPr>
              <w:jc w:val="center"/>
              <w:ind w:right="1048"/>
              <w:spacing w:after="0" w:line="149" w:lineRule="exact"/>
              <w:rPr>
                <w:sz w:val="20"/>
                <w:szCs w:val="20"/>
                <w:color w:val="auto"/>
              </w:rPr>
            </w:pPr>
            <w:r>
              <w:rPr>
                <w:rFonts w:ascii="Times New Roman" w:cs="Times New Roman" w:eastAsia="Times New Roman" w:hAnsi="Times New Roman"/>
                <w:sz w:val="14"/>
                <w:szCs w:val="14"/>
                <w:b w:val="1"/>
                <w:bCs w:val="1"/>
                <w:color w:val="auto"/>
              </w:rPr>
              <w:t>55 Hudson Yards</w:t>
            </w:r>
          </w:p>
        </w:tc>
        <w:tc>
          <w:tcPr>
            <w:tcW w:w="38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Suite 2040</w:t>
            </w:r>
          </w:p>
        </w:tc>
        <w:tc>
          <w:tcPr>
            <w:tcW w:w="252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b w:val="1"/>
                <w:bCs w:val="1"/>
                <w:color w:val="auto"/>
              </w:rPr>
              <w:t>12670 High Bluff Drive</w:t>
            </w:r>
          </w:p>
        </w:tc>
      </w:tr>
      <w:tr>
        <w:trPr>
          <w:trHeight w:val="148"/>
        </w:trPr>
        <w:tc>
          <w:tcPr>
            <w:tcW w:w="2420" w:type="dxa"/>
            <w:vAlign w:val="bottom"/>
          </w:tcPr>
          <w:p>
            <w:pPr>
              <w:jc w:val="center"/>
              <w:ind w:right="1068"/>
              <w:spacing w:after="0" w:line="149" w:lineRule="exact"/>
              <w:rPr>
                <w:sz w:val="20"/>
                <w:szCs w:val="20"/>
                <w:color w:val="auto"/>
              </w:rPr>
            </w:pPr>
            <w:r>
              <w:rPr>
                <w:rFonts w:ascii="Times New Roman" w:cs="Times New Roman" w:eastAsia="Times New Roman" w:hAnsi="Times New Roman"/>
                <w:sz w:val="14"/>
                <w:szCs w:val="14"/>
                <w:b w:val="1"/>
                <w:bCs w:val="1"/>
                <w:color w:val="auto"/>
              </w:rPr>
              <w:t>New York, NY 10001</w:t>
            </w:r>
          </w:p>
        </w:tc>
        <w:tc>
          <w:tcPr>
            <w:tcW w:w="38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Irvine, CA 92618</w:t>
            </w:r>
          </w:p>
        </w:tc>
        <w:tc>
          <w:tcPr>
            <w:tcW w:w="2520" w:type="dxa"/>
            <w:vAlign w:val="bottom"/>
          </w:tcPr>
          <w:p>
            <w:pPr>
              <w:jc w:val="center"/>
              <w:ind w:left="948"/>
              <w:spacing w:after="0" w:line="149" w:lineRule="exact"/>
              <w:rPr>
                <w:sz w:val="20"/>
                <w:szCs w:val="20"/>
                <w:color w:val="auto"/>
              </w:rPr>
            </w:pPr>
            <w:r>
              <w:rPr>
                <w:rFonts w:ascii="Times New Roman" w:cs="Times New Roman" w:eastAsia="Times New Roman" w:hAnsi="Times New Roman"/>
                <w:sz w:val="14"/>
                <w:szCs w:val="14"/>
                <w:b w:val="1"/>
                <w:bCs w:val="1"/>
                <w:color w:val="auto"/>
              </w:rPr>
              <w:t>San Diego, CA 92130</w:t>
            </w:r>
          </w:p>
        </w:tc>
      </w:tr>
      <w:tr>
        <w:trPr>
          <w:trHeight w:val="190"/>
        </w:trPr>
        <w:tc>
          <w:tcPr>
            <w:tcW w:w="2420" w:type="dxa"/>
            <w:vAlign w:val="bottom"/>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rPr>
              <w:t>(212) 479-6000</w:t>
            </w:r>
          </w:p>
        </w:tc>
        <w:tc>
          <w:tcPr>
            <w:tcW w:w="38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(949) 409-3700</w:t>
            </w:r>
          </w:p>
        </w:tc>
        <w:tc>
          <w:tcPr>
            <w:tcW w:w="252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(858) 523-5400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117475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this Registration Statement is declared effective.</w:t>
      </w:r>
    </w:p>
    <w:p>
      <w:pPr>
        <w:spacing w:after="0" w:line="71" w:lineRule="exact"/>
        <w:rPr>
          <w:sz w:val="24"/>
          <w:szCs w:val="24"/>
          <w:color w:val="auto"/>
        </w:rPr>
      </w:pPr>
    </w:p>
    <w:p>
      <w:pPr>
        <w:jc w:val="both"/>
        <w:ind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06" w:lineRule="exact"/>
        <w:rPr>
          <w:sz w:val="24"/>
          <w:szCs w:val="24"/>
          <w:color w:val="auto"/>
        </w:rPr>
      </w:pPr>
    </w:p>
    <w:p>
      <w:pPr>
        <w:jc w:val="both"/>
        <w:ind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p>
      <w:pPr>
        <w:ind w:right="860"/>
        <w:spacing w:after="0" w:line="243"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jc w:val="both"/>
        <w:ind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104140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jc w:val="both"/>
        <w:ind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99695</wp:posOffset>
            </wp:positionV>
            <wp:extent cx="699516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0"/>
          </w:cols>
          <w:pgMar w:left="440" w:top="223"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CG Oncology, Inc. is filing this Amendment No. 1 (this “Amendment”) to its Registration Statement on Form S-1 (“Registration Statement”) for the purpose of filing Exhibits 1.1 and 5.1. This Amendment does not modify any provision of the prospectus that forms a part of the Registration Statement and accordingly, such prospectus has been omitted.</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(SEC) registration fee and the Financial Industry Regulatory Authority, Inc. (FINRA) filing fee.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 Paid or</w:t>
            </w:r>
          </w:p>
        </w:tc>
      </w:tr>
      <w:tr>
        <w:trPr>
          <w:trHeight w:val="173"/>
        </w:trPr>
        <w:tc>
          <w:tcPr>
            <w:tcW w:w="9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09"/>
        </w:trPr>
        <w:tc>
          <w:tcPr>
            <w:tcW w:w="9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47,468</w:t>
            </w:r>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47,006</w:t>
            </w: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4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4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Agent’s fees and expenses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15,526</w:t>
            </w:r>
          </w:p>
        </w:tc>
      </w:tr>
      <w:tr>
        <w:trPr>
          <w:trHeight w:val="223"/>
        </w:trPr>
        <w:tc>
          <w:tcPr>
            <w:tcW w:w="9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89"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we will indemnify each person who was or is a party or threatened to be made a party to any threatened, pending or completed action, suit or proceeding (other than an action by or in the right of us) by reason of the fact that he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unregistered securities issued by us since December 1, 2021 to the date of this registration statement. Also included is the consideration received by us for such securities and information relating to the section of the Securities Act, or rule of the SEC, under which exemption from registration was claimed.</w:t>
      </w:r>
    </w:p>
    <w:p>
      <w:pPr>
        <w:spacing w:after="0" w:line="81" w:lineRule="exact"/>
        <w:rPr>
          <w:sz w:val="20"/>
          <w:szCs w:val="20"/>
          <w:color w:val="auto"/>
        </w:rPr>
      </w:pPr>
    </w:p>
    <w:p>
      <w:pPr>
        <w:ind w:left="960" w:hanging="40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Securities</w:t>
      </w:r>
    </w:p>
    <w:p>
      <w:pPr>
        <w:spacing w:after="0" w:line="130"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and October 2022, we issued to investors an aggregate of 112,422,700 shares of Series E redeemable convertible preferred stock at a purchase price of $1.0674 per share, for aggregate consideration of approximately $120 million.</w:t>
      </w:r>
    </w:p>
    <w:p>
      <w:pPr>
        <w:spacing w:after="0" w:line="67"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we issued to investors an aggregate of 81,587,937 shares of Series F redeemable convertible preferred stock at a purchase price of $1.2872 per share, for aggregate consideration of approximately $105 million.</w:t>
      </w:r>
    </w:p>
    <w:p>
      <w:pPr>
        <w:spacing w:after="0" w:line="162"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of the Securities Act and Regulation D promulgated thereunder, for transactions by an issuer not involving any public offering, and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97" w:lineRule="exact"/>
        <w:rPr>
          <w:sz w:val="20"/>
          <w:szCs w:val="20"/>
          <w:color w:val="auto"/>
        </w:rPr>
      </w:pPr>
    </w:p>
    <w:p>
      <w:pPr>
        <w:ind w:left="960" w:hanging="418"/>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Stock Options</w:t>
      </w:r>
    </w:p>
    <w:p>
      <w:pPr>
        <w:spacing w:after="0" w:line="130"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1, 2021 through the date of this registration statement, we granted stock options to purchase an aggregate of 6,528,543 shares of our common stock at a weighted-average exercise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20"/>
          </w:cols>
          <w:pgMar w:left="440" w:top="270" w:right="439" w:bottom="1440" w:gutter="0" w:footer="0" w:header="0"/>
        </w:sectPr>
      </w:pPr>
    </w:p>
    <w:bookmarkStart w:id="4" w:name="page5"/>
    <w:bookmarkEnd w:id="4"/>
    <w:p>
      <w:pPr>
        <w:jc w:val="both"/>
        <w:ind w:left="142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of $14.57 per share, to certain of our employees, consultants and directors in connection with services provided to us by such persons. 375,471 of these options have been exercised and 349,096 have been cancelled, forfeited and expired through the date of this registration statement.</w:t>
      </w:r>
    </w:p>
    <w:p>
      <w:pPr>
        <w:spacing w:after="0" w:line="176"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The stock options and common stock issuable upon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89" w:lineRule="exact"/>
        <w:rPr>
          <w:sz w:val="20"/>
          <w:szCs w:val="20"/>
          <w:color w:val="auto"/>
        </w:rPr>
      </w:pPr>
    </w:p>
    <w:p>
      <w:pPr>
        <w:ind w:left="960" w:hanging="408"/>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of Preferred Stock</w:t>
      </w:r>
    </w:p>
    <w:p>
      <w:pPr>
        <w:spacing w:after="0" w:line="117"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29, 2024, upon the closing of our initial public offering, all shares of outstanding redeemable convertible preferred stock automatically converted into 38,413,913 shares of our common stock. The issuance of such shares of common stock was exempt from the registration requirements of the Securities Act, pursuant to Section 3(a)(9) of the Securities Act, involving an exchange of securities exchanged by the issuer with its existing security holders exclusively where no commission or other remuneration is paid or given directly or indirectly for soliciting such exchange. No underwriters were involved in this issuance of shares.</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31" w:lineRule="exact"/>
        <w:rPr>
          <w:sz w:val="20"/>
          <w:szCs w:val="20"/>
          <w:color w:val="auto"/>
        </w:rPr>
      </w:pPr>
    </w:p>
    <w:p>
      <w:pPr>
        <w:ind w:left="960" w:hanging="40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attached to this registration statement, which is incorporated by reference herein.</w:t>
      </w:r>
    </w:p>
    <w:p>
      <w:pPr>
        <w:spacing w:after="0" w:line="130" w:lineRule="exact"/>
        <w:rPr>
          <w:rFonts w:ascii="Times New Roman" w:cs="Times New Roman" w:eastAsia="Times New Roman" w:hAnsi="Times New Roman"/>
          <w:sz w:val="18"/>
          <w:szCs w:val="18"/>
          <w:color w:val="auto"/>
        </w:rPr>
      </w:pPr>
    </w:p>
    <w:p>
      <w:pPr>
        <w:jc w:val="both"/>
        <w:ind w:left="960" w:right="20" w:hanging="418"/>
        <w:spacing w:after="0" w:line="26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Statement Schedules. </w:t>
      </w:r>
      <w:r>
        <w:rPr>
          <w:rFonts w:ascii="Times New Roman" w:cs="Times New Roman" w:eastAsia="Times New Roman" w:hAnsi="Times New Roman"/>
          <w:sz w:val="18"/>
          <w:szCs w:val="18"/>
          <w:color w:val="auto"/>
        </w:rPr>
        <w:t>Schedules not listed above have been omitted because the information required to be set forth therein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 or is shown in the financial statements or notes incorporated by reference into the prospectus forming a part of this registration statement.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undertakes that:</w:t>
      </w:r>
    </w:p>
    <w:p>
      <w:pPr>
        <w:spacing w:after="0" w:line="131" w:lineRule="exact"/>
        <w:rPr>
          <w:sz w:val="20"/>
          <w:szCs w:val="20"/>
          <w:color w:val="auto"/>
        </w:rPr>
      </w:pPr>
    </w:p>
    <w:p>
      <w:pPr>
        <w:jc w:val="both"/>
        <w:ind w:left="1300" w:right="20" w:hanging="543"/>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jc w:val="both"/>
        <w:ind w:left="1300" w:hanging="543"/>
        <w:spacing w:after="0" w:line="26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580"/>
          </w:cols>
          <w:pgMar w:left="880"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2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540" w:type="dxa"/>
            <w:vAlign w:val="bottom"/>
          </w:tcPr>
          <w:p>
            <w:pPr>
              <w:spacing w:after="0"/>
              <w:rPr>
                <w:sz w:val="24"/>
                <w:szCs w:val="24"/>
                <w:color w:val="auto"/>
              </w:rPr>
            </w:pPr>
          </w:p>
        </w:tc>
        <w:tc>
          <w:tcPr>
            <w:tcW w:w="2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Form of Underwriting Agreement</w:t>
            </w:r>
          </w:p>
        </w:tc>
        <w:tc>
          <w:tcPr>
            <w:tcW w:w="374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540" w:type="dxa"/>
            <w:vAlign w:val="bottom"/>
          </w:tcPr>
          <w:p>
            <w:pPr>
              <w:spacing w:after="0"/>
              <w:rPr>
                <w:sz w:val="24"/>
                <w:szCs w:val="24"/>
                <w:color w:val="auto"/>
              </w:rPr>
            </w:pPr>
          </w:p>
        </w:tc>
        <w:tc>
          <w:tcPr>
            <w:tcW w:w="6180" w:type="dxa"/>
            <w:vAlign w:val="bottom"/>
            <w:gridSpan w:val="27"/>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Certificate of Incorporation</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540" w:type="dxa"/>
            <w:vAlign w:val="bottom"/>
          </w:tcPr>
          <w:p>
            <w:pPr>
              <w:spacing w:after="0"/>
              <w:rPr>
                <w:sz w:val="24"/>
                <w:szCs w:val="24"/>
                <w:color w:val="auto"/>
              </w:rPr>
            </w:pPr>
          </w:p>
        </w:tc>
        <w:tc>
          <w:tcPr>
            <w:tcW w:w="36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Amended and Restated Bylaws</w:t>
              </w:r>
            </w:hyperlink>
          </w:p>
        </w:tc>
        <w:tc>
          <w:tcPr>
            <w:tcW w:w="25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40" w:type="dxa"/>
            <w:vAlign w:val="bottom"/>
          </w:tcPr>
          <w:p>
            <w:pPr>
              <w:spacing w:after="0"/>
              <w:rPr>
                <w:sz w:val="24"/>
                <w:szCs w:val="24"/>
                <w:color w:val="auto"/>
              </w:rPr>
            </w:pPr>
          </w:p>
        </w:tc>
        <w:tc>
          <w:tcPr>
            <w:tcW w:w="6180" w:type="dxa"/>
            <w:vAlign w:val="bottom"/>
            <w:gridSpan w:val="27"/>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Specimen stock certificate evidencing the shares of common stock</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40" w:type="dxa"/>
            <w:vAlign w:val="bottom"/>
          </w:tcPr>
          <w:p>
            <w:pPr>
              <w:spacing w:after="0"/>
              <w:rPr>
                <w:sz w:val="24"/>
                <w:szCs w:val="24"/>
                <w:color w:val="auto"/>
              </w:rPr>
            </w:pPr>
          </w:p>
        </w:tc>
        <w:tc>
          <w:tcPr>
            <w:tcW w:w="55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Investors’ Rights Agreement, dated July 28, 2023, as</w:t>
              </w:r>
            </w:hyperlink>
          </w:p>
        </w:tc>
        <w:tc>
          <w:tcPr>
            <w:tcW w:w="6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180" w:type="dxa"/>
            <w:vAlign w:val="bottom"/>
            <w:gridSpan w:val="27"/>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by and among the Registrant and certain of its stockholders</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40" w:type="dxa"/>
            <w:vAlign w:val="bottom"/>
          </w:tcPr>
          <w:p>
            <w:pPr>
              <w:spacing w:after="0"/>
              <w:rPr>
                <w:sz w:val="24"/>
                <w:szCs w:val="24"/>
                <w:color w:val="auto"/>
              </w:rPr>
            </w:pPr>
          </w:p>
        </w:tc>
        <w:tc>
          <w:tcPr>
            <w:tcW w:w="50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Opinion of Cooley LLP</w:t>
            </w:r>
          </w:p>
        </w:tc>
        <w:tc>
          <w:tcPr>
            <w:tcW w:w="11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60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CG Oncology, Inc. 2015 Equity Incentive Plan, as amended, and form of stock grant</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agreement and form of stock option agreement thereunder</w:t>
              </w:r>
            </w:hyperlink>
          </w:p>
        </w:tc>
        <w:tc>
          <w:tcPr>
            <w:tcW w:w="20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60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CG Oncology, Inc. 2022 Incentive Award Plan and form of stock option agreement,</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180" w:type="dxa"/>
            <w:vAlign w:val="bottom"/>
            <w:gridSpan w:val="27"/>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stock option agreement (early exercise) and form of restricted stock unit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agreement thereunder</w:t>
              </w:r>
            </w:hyperlink>
          </w:p>
        </w:tc>
        <w:tc>
          <w:tcPr>
            <w:tcW w:w="4220" w:type="dxa"/>
            <w:vAlign w:val="bottom"/>
            <w:tcBorders>
              <w:top w:val="single" w:sz="8" w:color="0000EE"/>
            </w:tcBorders>
            <w:gridSpan w:val="21"/>
          </w:tcPr>
          <w:p>
            <w:pPr>
              <w:spacing w:after="0"/>
              <w:rPr>
                <w:sz w:val="17"/>
                <w:szCs w:val="17"/>
                <w:color w:val="auto"/>
              </w:rPr>
            </w:pPr>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4"/>
                <w:szCs w:val="24"/>
                <w:color w:val="auto"/>
              </w:rPr>
            </w:pPr>
          </w:p>
        </w:tc>
        <w:tc>
          <w:tcPr>
            <w:tcW w:w="59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CG Oncology, Inc. 2024 Incentive Award Plan and form of stock option agreement</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and form of restricted stock unit agreement thereunder</w:t>
              </w:r>
            </w:hyperlink>
          </w:p>
        </w:tc>
        <w:tc>
          <w:tcPr>
            <w:tcW w:w="22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6180" w:type="dxa"/>
            <w:vAlign w:val="bottom"/>
            <w:gridSpan w:val="27"/>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CG Oncology, Inc. 2024 Employee Stock Purchase Plan</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tcPr>
          <w:p>
            <w:pPr>
              <w:spacing w:after="0"/>
              <w:rPr>
                <w:sz w:val="24"/>
                <w:szCs w:val="24"/>
                <w:color w:val="auto"/>
              </w:rPr>
            </w:pPr>
          </w:p>
        </w:tc>
        <w:tc>
          <w:tcPr>
            <w:tcW w:w="404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Non-Employee Director Compensation Program</w:t>
              </w:r>
            </w:hyperlink>
          </w:p>
        </w:tc>
        <w:tc>
          <w:tcPr>
            <w:tcW w:w="2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Pr>
          <w:p>
            <w:pPr>
              <w:spacing w:after="0"/>
              <w:rPr>
                <w:sz w:val="24"/>
                <w:szCs w:val="24"/>
                <w:color w:val="auto"/>
              </w:rPr>
            </w:pPr>
          </w:p>
        </w:tc>
        <w:tc>
          <w:tcPr>
            <w:tcW w:w="6180" w:type="dxa"/>
            <w:vAlign w:val="bottom"/>
            <w:gridSpan w:val="27"/>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Development and License Agreement, dated March 11, 2019, between the Lepu</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Biotech Co., Ltd. and the Registrant</w:t>
              </w:r>
            </w:hyperlink>
          </w:p>
        </w:tc>
        <w:tc>
          <w:tcPr>
            <w:tcW w:w="3140" w:type="dxa"/>
            <w:vAlign w:val="bottom"/>
            <w:tcBorders>
              <w:top w:val="single" w:sz="8" w:color="0000EE"/>
            </w:tcBorders>
            <w:gridSpan w:val="15"/>
          </w:tcPr>
          <w:p>
            <w:pPr>
              <w:spacing w:after="0"/>
              <w:rPr>
                <w:sz w:val="17"/>
                <w:szCs w:val="17"/>
                <w:color w:val="auto"/>
              </w:rPr>
            </w:pPr>
          </w:p>
        </w:tc>
        <w:tc>
          <w:tcPr>
            <w:tcW w:w="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56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License and Collaboration Agreement, dated March 26, 2020, between Kissei</w:t>
              </w:r>
            </w:hyperlink>
          </w:p>
        </w:tc>
        <w:tc>
          <w:tcPr>
            <w:tcW w:w="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180" w:type="dxa"/>
            <w:vAlign w:val="bottom"/>
            <w:gridSpan w:val="27"/>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Pharmaceutical Co., Ltd. and the Registrant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tcPr>
          <w:p>
            <w:pPr>
              <w:spacing w:after="0"/>
              <w:rPr>
                <w:sz w:val="24"/>
                <w:szCs w:val="24"/>
                <w:color w:val="auto"/>
              </w:rPr>
            </w:pPr>
          </w:p>
        </w:tc>
        <w:tc>
          <w:tcPr>
            <w:tcW w:w="6180" w:type="dxa"/>
            <w:vAlign w:val="bottom"/>
            <w:gridSpan w:val="27"/>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First Amendment to the License and Collaboration Agreement, dated September 15,</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2022, between Kissei Pharmaceutical Co., Ltd. and the Registrant</w:t>
              </w:r>
            </w:hyperlink>
          </w:p>
        </w:tc>
        <w:tc>
          <w:tcPr>
            <w:tcW w:w="1320" w:type="dxa"/>
            <w:vAlign w:val="bottom"/>
            <w:tcBorders>
              <w:top w:val="single" w:sz="8" w:color="0000EE"/>
            </w:tcBorders>
            <w:gridSpan w:val="10"/>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tcPr>
          <w:p>
            <w:pPr>
              <w:spacing w:after="0"/>
              <w:rPr>
                <w:sz w:val="24"/>
                <w:szCs w:val="24"/>
                <w:color w:val="auto"/>
              </w:rPr>
            </w:pPr>
          </w:p>
        </w:tc>
        <w:tc>
          <w:tcPr>
            <w:tcW w:w="6180" w:type="dxa"/>
            <w:vAlign w:val="bottom"/>
            <w:gridSpan w:val="27"/>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Indemnification Agreement for Directors and Officers</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10.10#</w:t>
            </w:r>
          </w:p>
        </w:tc>
        <w:tc>
          <w:tcPr>
            <w:tcW w:w="54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CG Oncology, Inc. Annual Bonus Plan</w:t>
              </w:r>
            </w:hyperlink>
          </w:p>
        </w:tc>
        <w:tc>
          <w:tcPr>
            <w:tcW w:w="1720" w:type="dxa"/>
            <w:vAlign w:val="bottom"/>
            <w:tcBorders>
              <w:top w:val="single" w:sz="8" w:color="0000EE"/>
            </w:tcBorders>
            <w:gridSpan w:val="8"/>
          </w:tcPr>
          <w:p>
            <w:pPr>
              <w:spacing w:after="0"/>
              <w:rPr>
                <w:sz w:val="24"/>
                <w:szCs w:val="24"/>
                <w:color w:val="auto"/>
              </w:rPr>
            </w:pPr>
          </w:p>
        </w:tc>
        <w:tc>
          <w:tcPr>
            <w:tcW w:w="16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10.11#</w:t>
            </w:r>
          </w:p>
        </w:tc>
        <w:tc>
          <w:tcPr>
            <w:tcW w:w="540" w:type="dxa"/>
            <w:vAlign w:val="bottom"/>
          </w:tcPr>
          <w:p>
            <w:pPr>
              <w:spacing w:after="0"/>
              <w:rPr>
                <w:sz w:val="24"/>
                <w:szCs w:val="24"/>
                <w:color w:val="auto"/>
              </w:rPr>
            </w:pPr>
          </w:p>
        </w:tc>
        <w:tc>
          <w:tcPr>
            <w:tcW w:w="60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Amended and Restated Employment Agreement, effective March 15, 2023, between</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180" w:type="dxa"/>
            <w:vAlign w:val="bottom"/>
            <w:gridSpan w:val="27"/>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Arthur Kuan and the Registrant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800" w:type="dxa"/>
            <w:vAlign w:val="bottom"/>
            <w:gridSpan w:val="1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10.12#</w:t>
            </w:r>
          </w:p>
        </w:tc>
        <w:tc>
          <w:tcPr>
            <w:tcW w:w="540" w:type="dxa"/>
            <w:vAlign w:val="bottom"/>
          </w:tcPr>
          <w:p>
            <w:pPr>
              <w:spacing w:after="0"/>
              <w:rPr>
                <w:sz w:val="24"/>
                <w:szCs w:val="24"/>
                <w:color w:val="auto"/>
              </w:rPr>
            </w:pPr>
          </w:p>
        </w:tc>
        <w:tc>
          <w:tcPr>
            <w:tcW w:w="6180" w:type="dxa"/>
            <w:vAlign w:val="bottom"/>
            <w:gridSpan w:val="27"/>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Amended and Restated Employment Agreement, effective December 13, 2023,</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between Arthur Kuan and the Registrant</w:t>
              </w:r>
            </w:hyperlink>
          </w:p>
        </w:tc>
        <w:tc>
          <w:tcPr>
            <w:tcW w:w="4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6"/>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2840" w:type="dxa"/>
            <w:vAlign w:val="bottom"/>
            <w:gridSpan w:val="6"/>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42"/>
        </w:trPr>
        <w:tc>
          <w:tcPr>
            <w:tcW w:w="86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80" w:type="dxa"/>
            <w:vAlign w:val="bottom"/>
            <w:tcBorders>
              <w:top w:val="single" w:sz="8" w:color="auto"/>
            </w:tcBorders>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01/18/24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01/18/24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01/18/24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S-8</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01/26/24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S-8</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01/26/24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S-8</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01/26/24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S-8</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01/26/24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01/18/24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10.7</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220" w:space="320"/>
            <w:col w:w="3420"/>
          </w:cols>
          <w:pgMar w:left="440" w:top="266" w:right="49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40" w:type="dxa"/>
            <w:vAlign w:val="bottom"/>
            <w:gridSpan w:val="11"/>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840" w:type="dxa"/>
            <w:vAlign w:val="bottom"/>
            <w:gridSpan w:val="6"/>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40" w:type="dxa"/>
            <w:vAlign w:val="bottom"/>
            <w:gridSpan w:val="11"/>
            <w:vMerge w:val="continue"/>
          </w:tcPr>
          <w:p>
            <w:pPr>
              <w:spacing w:after="0"/>
              <w:rPr>
                <w:sz w:val="15"/>
                <w:szCs w:val="15"/>
                <w:color w:val="auto"/>
              </w:rPr>
            </w:pPr>
          </w:p>
        </w:tc>
        <w:tc>
          <w:tcPr>
            <w:tcW w:w="2840" w:type="dxa"/>
            <w:vAlign w:val="bottom"/>
            <w:gridSpan w:val="6"/>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42"/>
        </w:trPr>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10.13#</w:t>
            </w:r>
          </w:p>
        </w:tc>
        <w:tc>
          <w:tcPr>
            <w:tcW w:w="420" w:type="dxa"/>
            <w:vAlign w:val="bottom"/>
          </w:tcPr>
          <w:p>
            <w:pPr>
              <w:spacing w:after="0"/>
              <w:rPr>
                <w:sz w:val="22"/>
                <w:szCs w:val="22"/>
                <w:color w:val="auto"/>
              </w:rPr>
            </w:pPr>
          </w:p>
        </w:tc>
        <w:tc>
          <w:tcPr>
            <w:tcW w:w="58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Employment Agreement, effective July 9, 2023, between Ambaw Bellete and the</w:t>
              </w:r>
            </w:hyperlink>
          </w:p>
        </w:tc>
        <w:tc>
          <w:tcPr>
            <w:tcW w:w="760" w:type="dxa"/>
            <w:vAlign w:val="bottom"/>
            <w:gridSpan w:val="4"/>
          </w:tcPr>
          <w:p>
            <w:pPr>
              <w:spacing w:after="0"/>
              <w:rPr>
                <w:sz w:val="22"/>
                <w:szCs w:val="2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10.14</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20" w:type="dxa"/>
            <w:vAlign w:val="bottom"/>
            <w:gridSpan w:val="1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Registrant</w:t>
              </w:r>
            </w:hyperlink>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10.14#</w:t>
            </w:r>
          </w:p>
        </w:tc>
        <w:tc>
          <w:tcPr>
            <w:tcW w:w="420" w:type="dxa"/>
            <w:vAlign w:val="bottom"/>
          </w:tcPr>
          <w:p>
            <w:pPr>
              <w:spacing w:after="0"/>
              <w:rPr>
                <w:sz w:val="24"/>
                <w:szCs w:val="24"/>
                <w:color w:val="auto"/>
              </w:rPr>
            </w:pPr>
          </w:p>
        </w:tc>
        <w:tc>
          <w:tcPr>
            <w:tcW w:w="57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Amended and Restated Employment Agreement, effective December 13, 2023,</w:t>
              </w:r>
            </w:hyperlink>
          </w:p>
        </w:tc>
        <w:tc>
          <w:tcPr>
            <w:tcW w:w="900" w:type="dxa"/>
            <w:vAlign w:val="bottom"/>
            <w:gridSpan w:val="5"/>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between Ambaw Bellete and the Registrant</w:t>
              </w:r>
            </w:hyperlink>
          </w:p>
        </w:tc>
        <w:tc>
          <w:tcPr>
            <w:tcW w:w="348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10.15#</w:t>
            </w:r>
          </w:p>
        </w:tc>
        <w:tc>
          <w:tcPr>
            <w:tcW w:w="420" w:type="dxa"/>
            <w:vAlign w:val="bottom"/>
          </w:tcPr>
          <w:p>
            <w:pPr>
              <w:spacing w:after="0"/>
              <w:rPr>
                <w:sz w:val="24"/>
                <w:szCs w:val="24"/>
                <w:color w:val="auto"/>
              </w:rPr>
            </w:pPr>
          </w:p>
        </w:tc>
        <w:tc>
          <w:tcPr>
            <w:tcW w:w="6620" w:type="dxa"/>
            <w:vAlign w:val="bottom"/>
            <w:gridSpan w:val="13"/>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Employment Agreement, effective August 14, 2023, between Vijay Kasturi and the</w:t>
              </w:r>
            </w:hyperlink>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10.16</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Registrant</w:t>
              </w:r>
            </w:hyperlink>
          </w:p>
        </w:tc>
        <w:tc>
          <w:tcPr>
            <w:tcW w:w="6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10.16#</w:t>
            </w:r>
          </w:p>
        </w:tc>
        <w:tc>
          <w:tcPr>
            <w:tcW w:w="420" w:type="dxa"/>
            <w:vAlign w:val="bottom"/>
          </w:tcPr>
          <w:p>
            <w:pPr>
              <w:spacing w:after="0"/>
              <w:rPr>
                <w:sz w:val="24"/>
                <w:szCs w:val="24"/>
                <w:color w:val="auto"/>
              </w:rPr>
            </w:pPr>
          </w:p>
        </w:tc>
        <w:tc>
          <w:tcPr>
            <w:tcW w:w="57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Amended and Restated Employment Agreement, effective December 13, 2023,</w:t>
              </w:r>
            </w:hyperlink>
          </w:p>
        </w:tc>
        <w:tc>
          <w:tcPr>
            <w:tcW w:w="900" w:type="dxa"/>
            <w:vAlign w:val="bottom"/>
            <w:gridSpan w:val="5"/>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01/02/24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10.17</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20" w:type="dxa"/>
            <w:vAlign w:val="bottom"/>
            <w:gridSpan w:val="13"/>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between Vijay Kasturi and the Registrant</w:t>
              </w:r>
            </w:hyperlink>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10.17#</w:t>
            </w:r>
          </w:p>
        </w:tc>
        <w:tc>
          <w:tcPr>
            <w:tcW w:w="420" w:type="dxa"/>
            <w:vAlign w:val="bottom"/>
          </w:tcPr>
          <w:p>
            <w:pPr>
              <w:spacing w:after="0"/>
              <w:rPr>
                <w:sz w:val="24"/>
                <w:szCs w:val="24"/>
                <w:color w:val="auto"/>
              </w:rPr>
            </w:pPr>
          </w:p>
        </w:tc>
        <w:tc>
          <w:tcPr>
            <w:tcW w:w="61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Employment Agreement, effective January 16, 2024, between Corleen Roche and the</w:t>
              </w:r>
            </w:hyperlink>
          </w:p>
        </w:tc>
        <w:tc>
          <w:tcPr>
            <w:tcW w:w="460" w:type="dxa"/>
            <w:vAlign w:val="bottom"/>
            <w:gridSpan w:val="2"/>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S-1/A</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01/18/24</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20" w:type="dxa"/>
            <w:vAlign w:val="bottom"/>
            <w:gridSpan w:val="13"/>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Registrant</w:t>
              </w:r>
            </w:hyperlink>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6620" w:type="dxa"/>
            <w:vAlign w:val="bottom"/>
            <w:gridSpan w:val="13"/>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Consent of Independent Registered Public Accounting Firm</w:t>
              </w:r>
            </w:hyperlink>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35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Cooley LLP (included in Exhibit 5.1)</w:t>
            </w:r>
          </w:p>
        </w:tc>
        <w:tc>
          <w:tcPr>
            <w:tcW w:w="780" w:type="dxa"/>
            <w:vAlign w:val="bottom"/>
            <w:tcBorders>
              <w:top w:val="single" w:sz="8" w:color="0000EE"/>
            </w:tcBorders>
          </w:tcPr>
          <w:p>
            <w:pPr>
              <w:spacing w:after="0"/>
              <w:rPr>
                <w:sz w:val="24"/>
                <w:szCs w:val="24"/>
                <w:color w:val="auto"/>
              </w:rPr>
            </w:pPr>
          </w:p>
        </w:tc>
        <w:tc>
          <w:tcPr>
            <w:tcW w:w="230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6620" w:type="dxa"/>
            <w:vAlign w:val="bottom"/>
            <w:gridSpan w:val="13"/>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Power of Attorney (included on signature page)</w:t>
              </w:r>
            </w:hyperlink>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34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Filing Fee Table</w:t>
              </w:r>
            </w:hyperlink>
          </w:p>
        </w:tc>
        <w:tc>
          <w:tcPr>
            <w:tcW w:w="318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ind w:left="424" w:hanging="424"/>
        <w:spacing w:after="0" w:line="226" w:lineRule="auto"/>
        <w:tabs>
          <w:tab w:leader="none" w:pos="4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ind w:left="424" w:hanging="424"/>
        <w:spacing w:after="0" w:line="239" w:lineRule="auto"/>
        <w:tabs>
          <w:tab w:leader="none" w:pos="42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pursuant to Item 601 of Regulation S-K because it is both not material and is the type that the registrant treats as private or confidential.</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04"/>
          </w:cols>
          <w:pgMar w:left="436" w:top="251"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Irvine, State of California, on this 11th day of December, 2024.</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CG ONCOLOGY, INC.</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Arthur Kuan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3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center"/>
              <w:ind w:left="1270"/>
              <w:spacing w:after="0"/>
              <w:rPr>
                <w:sz w:val="20"/>
                <w:szCs w:val="20"/>
                <w:color w:val="auto"/>
              </w:rPr>
            </w:pPr>
            <w:r>
              <w:rPr>
                <w:rFonts w:ascii="Times New Roman" w:cs="Times New Roman" w:eastAsia="Times New Roman" w:hAnsi="Times New Roman"/>
                <w:sz w:val="18"/>
                <w:szCs w:val="18"/>
                <w:color w:val="auto"/>
              </w:rPr>
              <w:t>/s/ Arthur Kuan</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0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8"/>
              </w:rPr>
              <w:t>December 11, 2024</w:t>
            </w:r>
          </w:p>
        </w:tc>
      </w:tr>
      <w:tr>
        <w:trPr>
          <w:trHeight w:val="228"/>
        </w:trPr>
        <w:tc>
          <w:tcPr>
            <w:tcW w:w="320" w:type="dxa"/>
            <w:vAlign w:val="bottom"/>
          </w:tcPr>
          <w:p>
            <w:pPr>
              <w:spacing w:after="0"/>
              <w:rPr>
                <w:sz w:val="19"/>
                <w:szCs w:val="19"/>
                <w:color w:val="auto"/>
              </w:rPr>
            </w:pPr>
          </w:p>
        </w:tc>
        <w:tc>
          <w:tcPr>
            <w:tcW w:w="282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color w:val="auto"/>
                <w:w w:val="98"/>
              </w:rPr>
              <w:t>Arthur Kuan</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center"/>
              <w:ind w:left="1270"/>
              <w:spacing w:after="0"/>
              <w:rPr>
                <w:sz w:val="20"/>
                <w:szCs w:val="20"/>
                <w:color w:val="auto"/>
              </w:rPr>
            </w:pPr>
            <w:r>
              <w:rPr>
                <w:rFonts w:ascii="Times New Roman" w:cs="Times New Roman" w:eastAsia="Times New Roman" w:hAnsi="Times New Roman"/>
                <w:sz w:val="18"/>
                <w:szCs w:val="18"/>
                <w:color w:val="auto"/>
              </w:rPr>
              <w:t>/s/ Corleen Roche</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8"/>
              </w:rPr>
              <w:t>December 11, 2024</w:t>
            </w:r>
          </w:p>
        </w:tc>
      </w:tr>
      <w:tr>
        <w:trPr>
          <w:trHeight w:val="228"/>
        </w:trPr>
        <w:tc>
          <w:tcPr>
            <w:tcW w:w="320" w:type="dxa"/>
            <w:vAlign w:val="bottom"/>
          </w:tcPr>
          <w:p>
            <w:pPr>
              <w:spacing w:after="0"/>
              <w:rPr>
                <w:sz w:val="19"/>
                <w:szCs w:val="19"/>
                <w:color w:val="auto"/>
              </w:rPr>
            </w:pPr>
          </w:p>
        </w:tc>
        <w:tc>
          <w:tcPr>
            <w:tcW w:w="282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color w:val="auto"/>
                <w:w w:val="98"/>
              </w:rPr>
              <w:t>Corleen Roche</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ind w:left="1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8"/>
              </w:rPr>
              <w:t>December 11, 2024</w:t>
            </w:r>
          </w:p>
        </w:tc>
      </w:tr>
      <w:tr>
        <w:trPr>
          <w:trHeight w:val="228"/>
        </w:trPr>
        <w:tc>
          <w:tcPr>
            <w:tcW w:w="320" w:type="dxa"/>
            <w:vAlign w:val="bottom"/>
          </w:tcPr>
          <w:p>
            <w:pPr>
              <w:spacing w:after="0"/>
              <w:rPr>
                <w:sz w:val="19"/>
                <w:szCs w:val="19"/>
                <w:color w:val="auto"/>
              </w:rPr>
            </w:pPr>
          </w:p>
        </w:tc>
        <w:tc>
          <w:tcPr>
            <w:tcW w:w="28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Susan Graf</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ind w:left="1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8"/>
              </w:rPr>
              <w:t>December 11, 2024</w:t>
            </w:r>
          </w:p>
        </w:tc>
      </w:tr>
      <w:tr>
        <w:trPr>
          <w:trHeight w:val="228"/>
        </w:trPr>
        <w:tc>
          <w:tcPr>
            <w:tcW w:w="320" w:type="dxa"/>
            <w:vAlign w:val="bottom"/>
          </w:tcPr>
          <w:p>
            <w:pPr>
              <w:spacing w:after="0"/>
              <w:rPr>
                <w:sz w:val="19"/>
                <w:szCs w:val="19"/>
                <w:color w:val="auto"/>
              </w:rPr>
            </w:pPr>
          </w:p>
        </w:tc>
        <w:tc>
          <w:tcPr>
            <w:tcW w:w="28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Brian Liu, M.D.</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ind w:left="1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8"/>
              </w:rPr>
              <w:t>December 11, 2024</w:t>
            </w:r>
          </w:p>
        </w:tc>
      </w:tr>
      <w:tr>
        <w:trPr>
          <w:trHeight w:val="228"/>
        </w:trPr>
        <w:tc>
          <w:tcPr>
            <w:tcW w:w="320" w:type="dxa"/>
            <w:vAlign w:val="bottom"/>
          </w:tcPr>
          <w:p>
            <w:pPr>
              <w:spacing w:after="0"/>
              <w:rPr>
                <w:sz w:val="19"/>
                <w:szCs w:val="19"/>
                <w:color w:val="auto"/>
              </w:rPr>
            </w:pPr>
          </w:p>
        </w:tc>
        <w:tc>
          <w:tcPr>
            <w:tcW w:w="2980" w:type="dxa"/>
            <w:vAlign w:val="bottom"/>
            <w:gridSpan w:val="4"/>
          </w:tcPr>
          <w:p>
            <w:pPr>
              <w:jc w:val="center"/>
              <w:ind w:left="1110"/>
              <w:spacing w:after="0"/>
              <w:rPr>
                <w:sz w:val="20"/>
                <w:szCs w:val="20"/>
                <w:color w:val="auto"/>
              </w:rPr>
            </w:pPr>
            <w:r>
              <w:rPr>
                <w:rFonts w:ascii="Times New Roman" w:cs="Times New Roman" w:eastAsia="Times New Roman" w:hAnsi="Times New Roman"/>
                <w:sz w:val="18"/>
                <w:szCs w:val="18"/>
                <w:color w:val="auto"/>
                <w:w w:val="99"/>
              </w:rPr>
              <w:t>James J. Mulé, IPh.D.</w:t>
            </w:r>
          </w:p>
        </w:tc>
        <w:tc>
          <w:tcPr>
            <w:tcW w:w="1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ind w:left="1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8"/>
              </w:rPr>
              <w:t>December 11, 2024</w:t>
            </w:r>
          </w:p>
        </w:tc>
      </w:tr>
      <w:tr>
        <w:trPr>
          <w:trHeight w:val="228"/>
        </w:trPr>
        <w:tc>
          <w:tcPr>
            <w:tcW w:w="320" w:type="dxa"/>
            <w:vAlign w:val="bottom"/>
          </w:tcPr>
          <w:p>
            <w:pPr>
              <w:spacing w:after="0"/>
              <w:rPr>
                <w:sz w:val="19"/>
                <w:szCs w:val="19"/>
                <w:color w:val="auto"/>
              </w:rPr>
            </w:pPr>
          </w:p>
        </w:tc>
        <w:tc>
          <w:tcPr>
            <w:tcW w:w="282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color w:val="auto"/>
              </w:rPr>
              <w:t>Leonard Post, Ph.D.</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ind w:left="1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8"/>
              </w:rPr>
              <w:t>December 11, 2024</w:t>
            </w:r>
          </w:p>
        </w:tc>
      </w:tr>
      <w:tr>
        <w:trPr>
          <w:trHeight w:val="228"/>
        </w:trPr>
        <w:tc>
          <w:tcPr>
            <w:tcW w:w="320" w:type="dxa"/>
            <w:vAlign w:val="bottom"/>
          </w:tcPr>
          <w:p>
            <w:pPr>
              <w:spacing w:after="0"/>
              <w:rPr>
                <w:sz w:val="19"/>
                <w:szCs w:val="19"/>
                <w:color w:val="auto"/>
              </w:rPr>
            </w:pPr>
          </w:p>
        </w:tc>
        <w:tc>
          <w:tcPr>
            <w:tcW w:w="28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Simone Song</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ind w:left="1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8"/>
              </w:rPr>
              <w:t>December 11, 2024</w:t>
            </w:r>
          </w:p>
        </w:tc>
      </w:tr>
      <w:tr>
        <w:trPr>
          <w:trHeight w:val="228"/>
        </w:trPr>
        <w:tc>
          <w:tcPr>
            <w:tcW w:w="320" w:type="dxa"/>
            <w:vAlign w:val="bottom"/>
          </w:tcPr>
          <w:p>
            <w:pPr>
              <w:spacing w:after="0"/>
              <w:rPr>
                <w:sz w:val="19"/>
                <w:szCs w:val="19"/>
                <w:color w:val="auto"/>
              </w:rPr>
            </w:pPr>
          </w:p>
        </w:tc>
        <w:tc>
          <w:tcPr>
            <w:tcW w:w="282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7"/>
              </w:rPr>
              <w:t>Victor Tong, Jr.</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gridSpan w:val="3"/>
          </w:tcPr>
          <w:p>
            <w:pPr>
              <w:jc w:val="center"/>
              <w:ind w:left="1310"/>
              <w:spacing w:after="0"/>
              <w:rPr>
                <w:sz w:val="20"/>
                <w:szCs w:val="20"/>
                <w:color w:val="auto"/>
              </w:rPr>
            </w:pPr>
            <w:r>
              <w:rPr>
                <w:rFonts w:ascii="Times New Roman" w:cs="Times New Roman" w:eastAsia="Times New Roman" w:hAnsi="Times New Roman"/>
                <w:sz w:val="18"/>
                <w:szCs w:val="18"/>
                <w:color w:val="auto"/>
                <w:w w:val="90"/>
              </w:rPr>
              <w:t>/s/ Arthur Kuan 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1"/>
        </w:trPr>
        <w:tc>
          <w:tcPr>
            <w:tcW w:w="320" w:type="dxa"/>
            <w:vAlign w:val="bottom"/>
          </w:tcPr>
          <w:p>
            <w:pPr>
              <w:spacing w:after="0"/>
              <w:rPr>
                <w:sz w:val="16"/>
                <w:szCs w:val="16"/>
                <w:color w:val="auto"/>
              </w:rPr>
            </w:pPr>
          </w:p>
        </w:tc>
        <w:tc>
          <w:tcPr>
            <w:tcW w:w="2820" w:type="dxa"/>
            <w:vAlign w:val="bottom"/>
            <w:tcBorders>
              <w:top w:val="single" w:sz="8" w:color="auto"/>
            </w:tcBorders>
            <w:gridSpan w:val="3"/>
          </w:tcPr>
          <w:p>
            <w:pPr>
              <w:ind w:left="1620"/>
              <w:spacing w:after="0" w:line="191" w:lineRule="exact"/>
              <w:rPr>
                <w:sz w:val="20"/>
                <w:szCs w:val="20"/>
                <w:color w:val="auto"/>
              </w:rPr>
            </w:pPr>
            <w:r>
              <w:rPr>
                <w:rFonts w:ascii="Times New Roman" w:cs="Times New Roman" w:eastAsia="Times New Roman" w:hAnsi="Times New Roman"/>
                <w:sz w:val="18"/>
                <w:szCs w:val="18"/>
                <w:color w:val="auto"/>
              </w:rPr>
              <w:t xml:space="preserve">Arthur Kuan    </w:t>
            </w:r>
          </w:p>
        </w:tc>
        <w:tc>
          <w:tcPr>
            <w:tcW w:w="16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7"/>
                <w:szCs w:val="17"/>
                <w:color w:val="auto"/>
                <w:w w:val="70"/>
              </w:rPr>
              <w:t> </w:t>
            </w:r>
          </w:p>
        </w:tc>
        <w:tc>
          <w:tcPr>
            <w:tcW w:w="1520" w:type="dxa"/>
            <w:vAlign w:val="bottom"/>
            <w:tcBorders>
              <w:top w:val="single" w:sz="8" w:color="auto"/>
            </w:tcBorders>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2820" w:type="dxa"/>
            <w:vAlign w:val="bottom"/>
            <w:gridSpan w:val="3"/>
          </w:tcPr>
          <w:p>
            <w:pPr>
              <w:jc w:val="center"/>
              <w:ind w:left="1310"/>
              <w:spacing w:after="0"/>
              <w:rPr>
                <w:sz w:val="20"/>
                <w:szCs w:val="20"/>
                <w:color w:val="auto"/>
              </w:rPr>
            </w:pPr>
            <w:r>
              <w:rPr>
                <w:rFonts w:ascii="Times New Roman" w:cs="Times New Roman" w:eastAsia="Times New Roman" w:hAnsi="Times New Roman"/>
                <w:sz w:val="18"/>
                <w:szCs w:val="18"/>
                <w:color w:val="auto"/>
                <w:w w:val="90"/>
              </w:rPr>
              <w:t>Attorney-in-Fact 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54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00"/>
          </w:cols>
          <w:pgMar w:left="440" w:top="266" w:right="4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 2024</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December [•], 2024</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ind w:left="184" w:hanging="184"/>
        <w:spacing w:after="0"/>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1585 Broadway</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New York 10036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ind w:left="184" w:hanging="184"/>
        <w:spacing w:after="0"/>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200 West Street</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New York 10282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ind w:left="184" w:hanging="184"/>
        <w:spacing w:after="0"/>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 Vanderbilt Avenue</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New York 10017</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Stifel, Nicolaus &amp; Company, Incorporated</w:t>
      </w:r>
    </w:p>
    <w:p>
      <w:pPr>
        <w:ind w:left="184" w:hanging="184"/>
        <w:spacing w:after="0" w:line="196" w:lineRule="auto"/>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787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184" w:hanging="184"/>
        <w:spacing w:after="0"/>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New York 10019</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CG Oncology,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terms and conditions stated in this agreement (this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Morgan Stanley &amp; Co.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Goldman Sachs &amp; Co. LLC, TD Securities (USA) LLC and Stifel, Nicolaus &amp; Company, Incorporated are acting as representatives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and the shareholder of the Company named in Schedule II hereto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proposes, subject to the terms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conditions stated in this Agreement, to sell to the several Underwriters, an aggregate of [•] shares of the common stock, par value $0.0001 per share,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which [•] shares are to be issued and sold by the Company and [•] shares are to be sold by the Selling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Shareholder. Such shares of Common Stock shall hereinafter be referred to as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The Company and the Selling Shareholder are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hereinafter sometimes collectively referred to as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also proposes to issue and sell to the several Underwriters not more than an additional [•] shares of Common Stock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the Representatives shall have determined to exercise, on behalf of the Underwriters, the right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purchase such shares of common stock granted to the Underwriters in Section 3 hereof. The Firm Shares and the Additional Shares are hereinafter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the event that the Company has no subsidiaries, or only one subsidiary, then all references herein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“subsidiaries” of the Company shall be deemed to refer to no subsidiary, or such single subsidiary,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S-1 (File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 333-[•]),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If the Company has filed an abbreviated registration statement to register additional shares of Common Stock pursuant to Rule 462(b) under the Securities Act (a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deemed to include such Rule 462 Registration Statement.</w:t>
      </w:r>
    </w:p>
    <w:p>
      <w:pPr>
        <w:spacing w:after="0" w:line="184"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each prospectus used prior to the effectiveness of the Registration Statement, and each prospectus that omitted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Rule 430A under the Securities Act that was used after such effectiveness and prior to the execution and delivery of this Agreement,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Sale Prospectus</w:t>
      </w:r>
      <w:r>
        <w:rPr>
          <w:rFonts w:ascii="Times New Roman" w:cs="Times New Roman" w:eastAsia="Times New Roman" w:hAnsi="Times New Roman"/>
          <w:sz w:val="18"/>
          <w:szCs w:val="18"/>
          <w:color w:val="auto"/>
        </w:rPr>
        <w:t>” means the preliminary prospectus contained in the Registration Statement at the time of its effectiveness together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pricing information set forth in Schedule III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“supplement,” “amendment” and “amend” as used herein with respect to the Registration Statement,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187" w:lineRule="exact"/>
        <w:rPr>
          <w:sz w:val="20"/>
          <w:szCs w:val="20"/>
          <w:color w:val="auto"/>
        </w:rPr>
      </w:pPr>
    </w:p>
    <w:p>
      <w:pPr>
        <w:ind w:left="620" w:hanging="184"/>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119"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2" w:name="page13"/>
    <w:bookmarkEnd w:id="12"/>
    <w:p>
      <w:pPr>
        <w:ind w:firstLine="419"/>
        <w:spacing w:after="0" w:line="252"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does not contain and, as amended or supplemented, if applicable, as of the date of such amendment or supplement,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83" w:lineRule="exact"/>
        <w:rPr>
          <w:rFonts w:ascii="Times New Roman" w:cs="Times New Roman" w:eastAsia="Times New Roman" w:hAnsi="Times New Roman"/>
          <w:sz w:val="18"/>
          <w:szCs w:val="18"/>
          <w:color w:val="auto"/>
        </w:rPr>
      </w:pPr>
    </w:p>
    <w:p>
      <w:pPr>
        <w:ind w:right="60" w:firstLine="419"/>
        <w:spacing w:after="0" w:line="254" w:lineRule="auto"/>
        <w:tabs>
          <w:tab w:leader="none" w:pos="6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 Except for the free writing prospectuses, if any, identified in Schedule III hereto, and electronic road shows, if any, each furnished to the Representatives before first use, the Company has not prepared, used or referred to, and will not, without the prior consent of the Representatives, prepare, use or refer to, any free writing prospectus.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13" w:name="page14"/>
    <w:bookmarkEnd w:id="13"/>
    <w:p>
      <w:pPr>
        <w:ind w:right="60" w:firstLine="419"/>
        <w:spacing w:after="0" w:line="256"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w:t>
      </w:r>
    </w:p>
    <w:p>
      <w:pPr>
        <w:spacing w:after="0" w:line="79" w:lineRule="exact"/>
        <w:rPr>
          <w:rFonts w:ascii="Times New Roman" w:cs="Times New Roman" w:eastAsia="Times New Roman" w:hAnsi="Times New Roman"/>
          <w:sz w:val="18"/>
          <w:szCs w:val="18"/>
          <w:color w:val="auto"/>
        </w:rPr>
      </w:pPr>
    </w:p>
    <w:p>
      <w:pPr>
        <w:ind w:right="120" w:firstLine="419"/>
        <w:spacing w:after="0" w:line="282" w:lineRule="auto"/>
        <w:tabs>
          <w:tab w:leader="none" w:pos="6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 and does not, directly or indirectly, own any capital stock or other equity or ownership or proprietary interest in any corporation, partnership, association, trust or other entity.</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as to legal matters, in all material respects, to the description thereof contained in each of the Registration Statement, the Time of Sale Prospectus and the Prospectus.</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outstanding prior to the issuance of the Shares have been duly authorized and are validly issued, fully paid and non-assessable.</w:t>
      </w:r>
    </w:p>
    <w:p>
      <w:pPr>
        <w:spacing w:after="0" w:line="53" w:lineRule="exact"/>
        <w:rPr>
          <w:rFonts w:ascii="Times New Roman" w:cs="Times New Roman" w:eastAsia="Times New Roman" w:hAnsi="Times New Roman"/>
          <w:sz w:val="18"/>
          <w:szCs w:val="18"/>
          <w:color w:val="auto"/>
        </w:rPr>
      </w:pPr>
    </w:p>
    <w:p>
      <w:pPr>
        <w:jc w:val="both"/>
        <w:ind w:right="140" w:firstLine="419"/>
        <w:spacing w:after="0" w:line="266" w:lineRule="auto"/>
        <w:tabs>
          <w:tab w:leader="none" w:pos="6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stock options granted pursuant to the stock-based compensation plans of the Company and its subsidiaries (the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Plans</w:t>
      </w:r>
      <w:r>
        <w:rPr>
          <w:rFonts w:ascii="Times New Roman" w:cs="Times New Roman" w:eastAsia="Times New Roman" w:hAnsi="Times New Roman"/>
          <w:sz w:val="18"/>
          <w:szCs w:val="18"/>
          <w:color w:val="auto"/>
        </w:rPr>
        <w:t>”), (i)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(ii) each such grant was made in accordance with the terms of the Company Stock Plans, and all applicable laws and regulatory rules or requirements, including all applicable federal securities laws.</w:t>
      </w:r>
    </w:p>
    <w:p>
      <w:pPr>
        <w:spacing w:after="0" w:line="1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880" w:top="270" w:right="499" w:bottom="1440" w:gutter="0" w:footer="0" w:header="0"/>
        </w:sectPr>
      </w:pPr>
    </w:p>
    <w:bookmarkStart w:id="14" w:name="page15"/>
    <w:bookmarkEnd w:id="14"/>
    <w:p>
      <w:pPr>
        <w:ind w:right="60" w:firstLine="419"/>
        <w:spacing w:after="0" w:line="254"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this case of clauses (i), (iii) and (iv), where such contravention would not, individually or in the aggregate, reasonably be expected to have a material adverse effect on the Company, and no consent, approval, authorization or order of, or qualification with, any governmental body, agency or court is required for the performance by the Company of its obligations under this Agreement, except such as have been obtained or waived or as may be required by the securities or Blue Sky laws of the various states or foreign jurisdictions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offer and sale of the Shares.</w:t>
      </w:r>
    </w:p>
    <w:p>
      <w:pPr>
        <w:spacing w:after="0" w:line="80" w:lineRule="exact"/>
        <w:rPr>
          <w:rFonts w:ascii="Times New Roman" w:cs="Times New Roman" w:eastAsia="Times New Roman" w:hAnsi="Times New Roman"/>
          <w:sz w:val="18"/>
          <w:szCs w:val="18"/>
          <w:color w:val="auto"/>
        </w:rPr>
      </w:pPr>
    </w:p>
    <w:p>
      <w:pPr>
        <w:ind w:right="280" w:firstLine="419"/>
        <w:spacing w:after="0" w:line="266" w:lineRule="auto"/>
        <w:tabs>
          <w:tab w:leader="none" w:pos="6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67" w:lineRule="exact"/>
        <w:rPr>
          <w:rFonts w:ascii="Times New Roman" w:cs="Times New Roman" w:eastAsia="Times New Roman" w:hAnsi="Times New Roman"/>
          <w:sz w:val="18"/>
          <w:szCs w:val="18"/>
          <w:color w:val="auto"/>
        </w:rPr>
      </w:pPr>
    </w:p>
    <w:p>
      <w:pPr>
        <w:ind w:firstLine="419"/>
        <w:spacing w:after="0" w:line="254" w:lineRule="auto"/>
        <w:tabs>
          <w:tab w:leader="none" w:pos="7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 in violation of its respective certificate of incorporation or bylaws;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applicable to the Company, any of its subsidiaries or their respective businesses and properties, except, in the case of clauses (ii) and (iii) above, for any such default or violation that would not, individually or in the aggregate, have a material adverse effect on the Company and its subsidiaries, taken as a whole.</w:t>
      </w:r>
    </w:p>
    <w:p>
      <w:pPr>
        <w:spacing w:after="0" w:line="83"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5" w:name="page16"/>
    <w:bookmarkEnd w:id="1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to which the Company is subject or by which the Company is bound that are required to be described in the Registration Statement, the Time of Sale Prospectus or the Prospectus or to be filed as exhibits to the Registration Statement that are not described in all material respects or filed as required.</w:t>
      </w:r>
    </w:p>
    <w:p>
      <w:pPr>
        <w:spacing w:after="0" w:line="75" w:lineRule="exact"/>
        <w:rPr>
          <w:sz w:val="20"/>
          <w:szCs w:val="20"/>
          <w:color w:val="auto"/>
        </w:rPr>
      </w:pPr>
    </w:p>
    <w:p>
      <w:pPr>
        <w:jc w:val="both"/>
        <w:ind w:right="220" w:firstLine="419"/>
        <w:spacing w:after="0" w:line="266"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w:t>
      </w:r>
    </w:p>
    <w:p>
      <w:pPr>
        <w:spacing w:after="0" w:line="67"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has received all permits, licenses or other approvals required of them under applicable Environmental Laws to conduct their respective 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jc w:val="both"/>
        <w:ind w:right="40" w:firstLine="419"/>
        <w:spacing w:after="0" w:line="261"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6" w:name="page17"/>
    <w:bookmarkEnd w:id="16"/>
    <w:p>
      <w:pPr>
        <w:ind w:right="80" w:firstLine="419"/>
        <w:spacing w:after="0" w:line="261" w:lineRule="auto"/>
        <w:tabs>
          <w:tab w:leader="none" w:pos="6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otherwise have been validly waived in connection with the issuance and sale of the Shares contemplated hereby and as described in the Time of Sale Prospectus and the Prospectus.</w:t>
      </w:r>
    </w:p>
    <w:p>
      <w:pPr>
        <w:spacing w:after="0" w:line="71"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affiliates, or any director, officer, or employee thereof, nor, to the Company’s knowledge,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the Company and each of its subsidiaries and each of its controlled affiliates has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81" w:lineRule="exact"/>
        <w:rPr>
          <w:rFonts w:ascii="Times New Roman" w:cs="Times New Roman" w:eastAsia="Times New Roman" w:hAnsi="Times New Roman"/>
          <w:sz w:val="18"/>
          <w:szCs w:val="18"/>
          <w:color w:val="auto"/>
        </w:rPr>
      </w:pPr>
    </w:p>
    <w:p>
      <w:pPr>
        <w:ind w:right="100" w:firstLine="419"/>
        <w:spacing w:after="0" w:line="254" w:lineRule="auto"/>
        <w:tabs>
          <w:tab w:leader="none" w:pos="6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7" w:name="page18"/>
    <w:bookmarkEnd w:id="17"/>
    <w:p>
      <w:pPr>
        <w:ind w:right="100" w:firstLine="419"/>
        <w:spacing w:after="0" w:line="266" w:lineRule="auto"/>
        <w:tabs>
          <w:tab w:leader="none" w:pos="6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None of the Company, any of its subsidiaries, or any director, officer, or employee thereof, or, to the Company’s knowledge, any agent, controlled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80" w:right="160" w:firstLine="391"/>
        <w:spacing w:after="0" w:line="266" w:lineRule="auto"/>
        <w:tabs>
          <w:tab w:leader="none" w:pos="165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980" w:right="240" w:firstLine="391"/>
        <w:spacing w:after="0" w:line="312" w:lineRule="auto"/>
        <w:tabs>
          <w:tab w:leader="none" w:pos="1648"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located, organized or resident in a country or territory that is the subject of Sanctions (including, without limitation, Crimea, Cuba, Iran, North Korea, Syria, and the Donetsk People’s Republic and Luhansk People’s Republic located in Ukraine).</w:t>
      </w:r>
    </w:p>
    <w:p>
      <w:pPr>
        <w:spacing w:after="0" w:line="31" w:lineRule="exact"/>
        <w:rPr>
          <w:rFonts w:ascii="Times New Roman" w:cs="Times New Roman" w:eastAsia="Times New Roman" w:hAnsi="Times New Roman"/>
          <w:sz w:val="17"/>
          <w:szCs w:val="17"/>
          <w:color w:val="auto"/>
        </w:rPr>
      </w:pPr>
    </w:p>
    <w:p>
      <w:pPr>
        <w:ind w:left="540" w:right="240" w:firstLine="408"/>
        <w:spacing w:after="0" w:line="282" w:lineRule="auto"/>
        <w:tabs>
          <w:tab w:leader="none" w:pos="120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140" w:firstLine="391"/>
        <w:spacing w:after="0" w:line="282" w:lineRule="auto"/>
        <w:tabs>
          <w:tab w:leader="none" w:pos="165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80" w:right="260" w:firstLine="391"/>
        <w:spacing w:after="0" w:line="282" w:lineRule="auto"/>
        <w:tabs>
          <w:tab w:leader="none" w:pos="164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left="540" w:right="220" w:firstLine="408"/>
        <w:spacing w:after="0" w:line="266" w:lineRule="auto"/>
        <w:tabs>
          <w:tab w:leader="none" w:pos="12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67" w:lineRule="exact"/>
        <w:rPr>
          <w:rFonts w:ascii="Times New Roman" w:cs="Times New Roman" w:eastAsia="Times New Roman" w:hAnsi="Times New Roman"/>
          <w:sz w:val="18"/>
          <w:szCs w:val="18"/>
          <w:color w:val="auto"/>
        </w:rPr>
      </w:pPr>
    </w:p>
    <w:p>
      <w:pPr>
        <w:ind w:firstLine="419"/>
        <w:spacing w:after="0" w:line="254" w:lineRule="auto"/>
        <w:tabs>
          <w:tab w:leader="none" w:pos="7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the terms of the equity compensation plans or agreements described in the Time of Sale Prospectus),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except in each case as described in each of the Registration Statement, the Time of Sale Prospectus and the Prospectus, respectively.</w:t>
      </w:r>
    </w:p>
    <w:p>
      <w:pPr>
        <w:spacing w:after="0" w:line="1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80"/>
          </w:cols>
          <w:pgMar w:left="880" w:top="270" w:right="539" w:bottom="1440" w:gutter="0" w:footer="0" w:header="0"/>
        </w:sectPr>
      </w:pPr>
    </w:p>
    <w:bookmarkStart w:id="18" w:name="page19"/>
    <w:bookmarkEnd w:id="18"/>
    <w:p>
      <w:pPr>
        <w:ind w:firstLine="419"/>
        <w:spacing w:after="0" w:line="256"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and its subsidiaries own or have valid and enforceable licenses or other rights to practice and use all technology,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of the business of the Company and its subsidiaries (including as described in the Time of Sale Prospectus and the Prospectus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Except as disclosed in the Time of Sale Prospectus and the Prospectus, (i) to the Company’s knowledge, the conduct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and its subsidiaries’ respective business and the proposed conduct of its business (including the development and commercialization of the product candidates described in the Time of Sale Prospectus and the Prospectus) has not and will not infringe or misappropriate any intellectual property rights of others; (ii) to the Company’s knowledge, there are no ownership rights of third parties to any of the Company Intellectual Property owned by the Company or any of its subsidiaries, and such Company Intellectual Property is owned by the Company free and clear of all liens, security interests, or encumbrances; (iii) the registered patents, trademarks and copyrights held or licensed by the Company and its subsidiaries included within the Company Intellectual Property are subsisting, and, to the Company’s knowledge, valid and enforceable, and the patent, trademark, and copyright applications included within the Company Intellectual Property are subsisting and have not been abandoned, except as would not, individually or in the aggregate, reasonably be expected to result in a material adverse effect on the Company; (iv) to the Company’s knowledge, there is no infringement by third parties of any of the Company Intellectual Property; (v) no action, suit, claim or other proceeding is pending or threatened in writing alleging that the Company or any of its subsidiaries is infringing, misappropriating, diluting or otherwise violating, or would, upon the commercialization of any product or service proposed in the Time of Sale Prospectus and the Prospectus as under development, infringe, misappropriate, dilute, or otherwise violate any</w:t>
      </w:r>
    </w:p>
    <w:p>
      <w:pPr>
        <w:spacing w:after="0" w:line="1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80"/>
          </w:cols>
          <w:pgMar w:left="880" w:top="270" w:right="539" w:bottom="1440" w:gutter="0" w:footer="0" w:header="0"/>
        </w:sectPr>
      </w:pPr>
    </w:p>
    <w:bookmarkStart w:id="19" w:name="page20"/>
    <w:bookmarkEnd w:id="19"/>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of others with respect to any of the Company’s product candidates, processes or Company Intellectual Property; (vi) no action, suit, claim or other proceeding is pending, or is threatened in writing, challenging the validity, enforceability, scope, registration, ownership or use of any Company Intellectual Property; (vii) the Company has not received written notice of any claim of infringement, misappropriation or conflict with any asserted rights of others with respect to any of the Company’s products, proposed products, processes or Company Intellectual Property;</w:t>
      </w:r>
    </w:p>
    <w:p>
      <w:pPr>
        <w:spacing w:after="0" w:line="3" w:lineRule="exact"/>
        <w:rPr>
          <w:sz w:val="20"/>
          <w:szCs w:val="20"/>
          <w:color w:val="auto"/>
        </w:rPr>
      </w:pPr>
    </w:p>
    <w:p>
      <w:pPr>
        <w:ind w:left="4" w:right="120" w:hanging="4"/>
        <w:spacing w:after="0" w:line="251" w:lineRule="auto"/>
        <w:tabs>
          <w:tab w:leader="none" w:pos="4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employee, consultant or independent contractor of the Company or any of its subsidiaries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Personnel</w:t>
      </w:r>
      <w:r>
        <w:rPr>
          <w:rFonts w:ascii="Times New Roman" w:cs="Times New Roman" w:eastAsia="Times New Roman" w:hAnsi="Times New Roman"/>
          <w:sz w:val="18"/>
          <w:szCs w:val="18"/>
          <w:color w:val="auto"/>
        </w:rPr>
        <w:t>”) is in or has ever been in violation in any respect of any term of any employment contract, patent disclosure agreement, invention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agreement, non-competition agreement, non-solicitation agreement, or nondisclosure agreement it has with the Company; (ix) the Company has taken commercially reasonable measures to protect its confidential information and trade secrets and to maintain and safeguard the Company Intellectual Property, including the execution of appropriate nondisclosure and confidentiality agreements; (x) the Company and its subsidiaries have complied with the material terms of each material agreement pursuant to which material intellectual property has been licensed to the Company or any of its subsidiaries, and all such agreements are in full force and effect; (xi) to the Company’s knowledge, none of the Company Intellectual Property has been obtained or is being used by the Company in violation of any contractual obligation binding on the Company; (xii) to the Company’s knowledge, the use of the product candidates described in the Time of Sale Prospectus and the Prospectus as under development by the Company fall within the scope of the claims of one or more patents or patent applications owned by, or exclusively licensed to, the Company; and (xiii) to the Company’s knowledge, the duties of candor and good faith required by the United States Patent and Trademark Office during the prosecution of the United States patents and patent applications included in the Company Intellectual Property have been complied with.</w:t>
      </w:r>
    </w:p>
    <w:p>
      <w:pPr>
        <w:spacing w:after="0" w:line="83" w:lineRule="exact"/>
        <w:rPr>
          <w:rFonts w:ascii="Times New Roman" w:cs="Times New Roman" w:eastAsia="Times New Roman" w:hAnsi="Times New Roman"/>
          <w:sz w:val="18"/>
          <w:szCs w:val="18"/>
          <w:color w:val="auto"/>
        </w:rPr>
      </w:pPr>
    </w:p>
    <w:p>
      <w:pPr>
        <w:ind w:left="4" w:firstLine="419"/>
        <w:spacing w:after="0" w:line="254" w:lineRule="auto"/>
        <w:tabs>
          <w:tab w:leader="none" w:pos="6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result in a material adverse effect on the Company and its subsidiaries, taken as a whole, (A) each Plan (as defined below) has been maintained in compliance with its terms and the requirements of any applicable statutes, orders, rules and regulations, including but not limited to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(B) no non-exempt prohibited transaction, within the meaning of Section 406 of ERISA or Section 4975 of the Code, has occurred with respect to any Plan; (C) for each Plan, no failure to satisfy the minimum funding standards (within the meaning of Section 412 of the Code or Section 302 of ERISA), whether or not waived, has occurred or is reasonably expected to occur; (D) no “reportable event” (within the meaning of Section 4043(c) of ERISA, other than those events as to which notice is waived) has occurred or is reasonably expected to occur with respect to any Plan that is a “Pension Plan” (within the meaning of Section 3(2) of ERISA) (together with any multiemployer plan within the meaning of Section 4001(a)(3) of ERISA, a</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70" w:right="459" w:bottom="1440" w:gutter="0" w:footer="0" w:header="0"/>
        </w:sectPr>
      </w:pPr>
    </w:p>
    <w:bookmarkStart w:id="20" w:name="page21"/>
    <w:bookmarkEnd w:id="2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and (E) neither the Company nor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Code) has incurred, nor is reasonably expected to incur, any liability under Title IV of ERISA (other than contributions to any Plan or any Pension Plan or premiums to the Pension Benefit Guaranty Corporation, in the ordinary course and without default) with respect to the termination of, withdrawal from or failure to make required contributions to, any Pension Plan. For purposes of this paragraph, (x) the term “Plan” means an employee benefit plan, within the meaning of Section 3(3) of ERISA, subject to Title IV of ERISA, for which the Company has any liability (whether absolute or contingent).</w:t>
      </w:r>
    </w:p>
    <w:p>
      <w:pPr>
        <w:spacing w:after="0" w:line="79" w:lineRule="exact"/>
        <w:rPr>
          <w:sz w:val="20"/>
          <w:szCs w:val="20"/>
          <w:color w:val="auto"/>
        </w:rPr>
      </w:pPr>
    </w:p>
    <w:p>
      <w:pPr>
        <w:ind w:right="40" w:firstLine="419"/>
        <w:spacing w:after="0" w:line="281" w:lineRule="auto"/>
        <w:tabs>
          <w:tab w:leader="none" w:pos="7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result in a material adverse effect on the Company, no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singly or in the aggregate, have a material adverse effect on the Company and its subsidiaries, taken as a whole.</w:t>
      </w:r>
    </w:p>
    <w:p>
      <w:pPr>
        <w:spacing w:after="0" w:line="56" w:lineRule="exact"/>
        <w:rPr>
          <w:rFonts w:ascii="Times New Roman" w:cs="Times New Roman" w:eastAsia="Times New Roman" w:hAnsi="Times New Roman"/>
          <w:sz w:val="17"/>
          <w:szCs w:val="17"/>
          <w:color w:val="auto"/>
        </w:rPr>
      </w:pPr>
    </w:p>
    <w:p>
      <w:pPr>
        <w:ind w:right="20" w:firstLine="419"/>
        <w:spacing w:after="0" w:line="256"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in the Company’s reasonable judgment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spacing w:after="0" w:line="79" w:lineRule="exact"/>
        <w:rPr>
          <w:rFonts w:ascii="Times New Roman" w:cs="Times New Roman" w:eastAsia="Times New Roman" w:hAnsi="Times New Roman"/>
          <w:sz w:val="18"/>
          <w:szCs w:val="18"/>
          <w:color w:val="auto"/>
        </w:rPr>
      </w:pPr>
    </w:p>
    <w:p>
      <w:pPr>
        <w:ind w:right="140" w:firstLine="419"/>
        <w:spacing w:after="0" w:line="258" w:lineRule="auto"/>
        <w:tabs>
          <w:tab w:leader="none" w:pos="7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possess all certificates, authorizations and permits issued by the appropriate federal, state or foreign regulatory authorities necessary to conduct their respective businesses,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66" w:right="479" w:bottom="1440" w:gutter="0" w:footer="0" w:header="0"/>
        </w:sectPr>
      </w:pPr>
    </w:p>
    <w:bookmarkStart w:id="21" w:name="page22"/>
    <w:bookmarkEnd w:id="21"/>
    <w:p>
      <w:pPr>
        <w:ind w:firstLine="419"/>
        <w:spacing w:after="0" w:line="254"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financial statements included or incorporated by reference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83"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80" w:firstLine="419"/>
        <w:spacing w:after="0" w:line="258" w:lineRule="auto"/>
        <w:tabs>
          <w:tab w:leader="none" w:pos="7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which has expressed its opinion and certified certain of the financial statements of the Company and delivered its report with respect to the audited consolidated financial statements and schedules filed with the Commission as part of the Registration Statement and included in each of the Time of Sale Prospectus and the Prospectus,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75" w:lineRule="exact"/>
        <w:rPr>
          <w:rFonts w:ascii="Times New Roman" w:cs="Times New Roman" w:eastAsia="Times New Roman" w:hAnsi="Times New Roman"/>
          <w:sz w:val="18"/>
          <w:szCs w:val="18"/>
          <w:color w:val="auto"/>
        </w:rPr>
      </w:pPr>
    </w:p>
    <w:p>
      <w:pPr>
        <w:ind w:right="20" w:firstLine="419"/>
        <w:spacing w:after="0" w:line="254"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in all material respects.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80" w:lineRule="exact"/>
        <w:rPr>
          <w:rFonts w:ascii="Times New Roman" w:cs="Times New Roman" w:eastAsia="Times New Roman" w:hAnsi="Times New Roman"/>
          <w:sz w:val="18"/>
          <w:szCs w:val="18"/>
          <w:color w:val="auto"/>
        </w:rPr>
      </w:pPr>
    </w:p>
    <w:p>
      <w:pPr>
        <w:ind w:right="80" w:firstLine="419"/>
        <w:spacing w:after="0" w:line="266" w:lineRule="auto"/>
        <w:tabs>
          <w:tab w:leader="none" w:pos="7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industry and market related data included in the Registration Statement, the Time of Sale Prospectus and the Prospectus are based on or derived from sources that the Company believes, after reasonable inquiry, to be reliable and accurate. To the Company’s knowledge, after reasonable investigation, it does not require the consent of any third party for the use of any such data.</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22" w:name="page23"/>
    <w:bookmarkEnd w:id="22"/>
    <w:p>
      <w:pPr>
        <w:ind w:left="680" w:hanging="26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required under applicable rules, the Company maintains disclosure controls and procedures that comply with the</w:t>
      </w:r>
    </w:p>
    <w:p>
      <w:pPr>
        <w:spacing w:after="0" w:line="27" w:lineRule="exact"/>
        <w:rPr>
          <w:rFonts w:ascii="Times New Roman" w:cs="Times New Roman" w:eastAsia="Times New Roman" w:hAnsi="Times New Roman"/>
          <w:sz w:val="18"/>
          <w:szCs w:val="18"/>
          <w:color w:val="auto"/>
        </w:rPr>
      </w:pPr>
    </w:p>
    <w:p>
      <w:pPr>
        <w:ind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77" w:lineRule="exact"/>
        <w:rPr>
          <w:rFonts w:ascii="Times New Roman" w:cs="Times New Roman" w:eastAsia="Times New Roman" w:hAnsi="Times New Roman"/>
          <w:sz w:val="18"/>
          <w:szCs w:val="18"/>
          <w:color w:val="auto"/>
        </w:rPr>
      </w:pPr>
    </w:p>
    <w:p>
      <w:pPr>
        <w:ind w:right="260" w:firstLine="419"/>
        <w:spacing w:after="0" w:line="266" w:lineRule="auto"/>
        <w:tabs>
          <w:tab w:leader="none" w:pos="6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sold, issued or distributed any shares of Common Stock during the six-month period preceding the date hereof, including any sales pursuant to Rule 144A under, or Regulation D or S of, the Securities Act, other than shares issued pursuant to employee benefit plans, equity incentive plans or other employee compensation plans or pursuant to outstanding options, rights or warrants.</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7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filed all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its subsidiaries, taken as a whole) and have paid all taxes required to be paid thereon or pursuant to any assessment received by the Company and its subsidiaries (except for cases in which the failure to file or pay would not, singly or in the aggregate, reasonably be expected to have a material adverse effect on the Company and its subsidiaries, taken as a whole, or, except as currently being contested in good faith and for which reserves required by U.S. GAAP have been established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86" w:lineRule="exact"/>
        <w:rPr>
          <w:rFonts w:ascii="Times New Roman" w:cs="Times New Roman" w:eastAsia="Times New Roman" w:hAnsi="Times New Roman"/>
          <w:sz w:val="18"/>
          <w:szCs w:val="18"/>
          <w:color w:val="auto"/>
        </w:rPr>
      </w:pPr>
    </w:p>
    <w:p>
      <w:pPr>
        <w:ind w:right="160" w:firstLine="419"/>
        <w:spacing w:after="0" w:line="258" w:lineRule="auto"/>
        <w:tabs>
          <w:tab w:leader="none" w:pos="6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actions to ensure that, upon the effectiveness of the Registration Statement, it will be in compliance with all provisions of the Sarbanes-Oxley Act of 2002, as amended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and all rules and regulations promulgated thereunder applicable to the Company at such time, and is taking steps designed to ensure that it will be in compliance, at all times, with the other provisions of the Sarbanes-Oxley Act when they become applicable to the Company after the effectiveness of the Registration Statement.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23" w:name="page24"/>
    <w:bookmarkEnd w:id="23"/>
    <w:p>
      <w:pPr>
        <w:ind w:right="140" w:firstLine="419"/>
        <w:spacing w:after="0" w:line="282" w:lineRule="auto"/>
        <w:tabs>
          <w:tab w:leader="none" w:pos="8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not taken, directly or indirectly, any action designed to, or that would reasonably be expected to, cause or result in any stabilization or manipulation of the price of the Shares.</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Registration Statement to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40" w:firstLine="419"/>
        <w:spacing w:after="0" w:line="254"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IV hereto.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communication with potential investors undertaken in reliance on Section 5(d) or Rule 163B of the Securities Act.</w:t>
      </w:r>
    </w:p>
    <w:p>
      <w:pPr>
        <w:spacing w:after="0" w:line="83" w:lineRule="exact"/>
        <w:rPr>
          <w:rFonts w:ascii="Times New Roman" w:cs="Times New Roman" w:eastAsia="Times New Roman" w:hAnsi="Times New Roman"/>
          <w:sz w:val="18"/>
          <w:szCs w:val="18"/>
          <w:color w:val="auto"/>
        </w:rPr>
      </w:pPr>
    </w:p>
    <w:p>
      <w:pPr>
        <w:ind w:right="40" w:firstLine="419"/>
        <w:spacing w:after="0" w:line="258"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firstLine="419"/>
        <w:spacing w:after="0" w:line="255"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tests and clinical trials, and other studies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conducted or sponsored by the Company or in which the Company has participated with respect to its product candidate that are described in, or the results of which are referred to in, the Registration Statement, the Time of Sale Prospectus or the Prospectus were and, if still pending, are being conducted in all material respects in accordance with all applicable Health Care Laws and any other applicable rules or regulations to which they are subject; each description of the results of such Studies is accurate in all material respects, and the Company has no knowledge of any other Studies the results of which are inconsistent with, or otherwise call into question, the results described or referred to in the Registration Statement, the Time of Sale Prospectus or the Prospectus; the Company has made all such filings and obtained all such approvals or authorizations as may be required by the Food and Drug Administration (the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24" w:name="page25"/>
    <w:bookmarkEnd w:id="24"/>
    <w:p>
      <w:pPr>
        <w:ind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of the U.S. Department of Health and Human Services or from any other U.S. or foreign government or drug regulatory agency, or health care facility Institutional Review Board for the conduct of such Studies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except where the failure to make such filing or obtain such approval would not reasonably be expected to, individually or in the aggregate, result in a material adverse effect on the Company; the Company has not received any written notice of, or written correspondence from, any Regulatory Agency requiring the termination or suspension of any Studies currently being conducted or proposed to be conducted by or on behalf of the Company, nor is the Company aware of any reasonable grounds for such written notice or correspondence.</w:t>
      </w:r>
    </w:p>
    <w:p>
      <w:pPr>
        <w:spacing w:after="0" w:line="78" w:lineRule="exact"/>
        <w:rPr>
          <w:sz w:val="20"/>
          <w:szCs w:val="20"/>
          <w:color w:val="auto"/>
        </w:rPr>
      </w:pPr>
    </w:p>
    <w:p>
      <w:pPr>
        <w:ind w:firstLine="419"/>
        <w:spacing w:after="0" w:line="252" w:lineRule="auto"/>
        <w:tabs>
          <w:tab w:leader="none" w:pos="7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to the Company’s knowledge, its directors, officers, employees, and agents, are and at all relevant times have been, in compliance with all applicable Health Care Laws except where such non-compliance would not reasonably be expected to, individually or in the aggregate, result in a material adverse effect on the Company.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(i) the Federal Food, Drug, and Cosmetic Act (21 U.S.C. §§ 301 et seq.), the Public Health Service Act (42 U.S.C. §§ 201 et seq.) and the regulations promulgated thereunder; (ii) all federal, state, local and all foreign health care related fraud and abuse laws, including, without limitation, the U.S. Anti-Kickback Statute (42 U.S.C. §1320a-7b(b)), the U.S. False Statements Law (42 U.S.C. §1320a-7b(a)), the Civil Monetary Penalties Law (42 U.S.C. §1320a-7a), the U.S. Civil False Claims Act (31 U.S.C. §3729 et seq.), all criminal laws relating to health care fraud and abuse, including but not limited to 18 U.S.C. §§ 286 and 287, and the health 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 1320d et seq.), the Physician Payments Sunshine Act (42 U.S.C. §1320a-7h), the exclusions law (42 U.S.C. §1320a-7), the statutes and regulations of applicable government funded or sponsored healthcare programs, including but not limited to the Medicare (Title XVIII of the Social Security Act) and Medicaid (Title XIX of the Social Security Act); (iii) licensure, quality, safety and accreditation requirements enforced by applicable governmental authorities; and (iv) any and all other comparable health care laws and regulations applicable to the ownership, testing, development, manufacture, packaging, processing, use, distribution, marketing, advertising, labeling, promotion, sale, offer for sale, storage, import, export or disposal of any product manufactured or distributed by the Company. The Company has not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applicable Health Care Laws, and, to the Company’s knowledge, no such claim, action, suit, proceeding, hearing, enforcement, investigation, arbitration or other action is threatened. The Company is not a party to any corporate integrity agreements, monitoring agreements, consent decrees, settlement orders, or similar agreements with or imposed by any governmental or regulatory authority. Additionally, neither the</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66" w:right="45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nor any of the Company’s employees, officers, directors, contractors or, to the Company’s knowledge, any of its agents, is or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or engaged in any conduct that would reasonably be expected to result in debarment, suspension, or exclusion. Except as not reasonably be expected to, individually or in the aggregate, result in a material adverse effect on the Company, the Company has filed, obtained, maintained or submitted all reports, documents, forms, notices, applications, records, claims, submissions and supplements or amendments as required by any applicable Health Care Laws, and all such reports, documents, forms, notices, applications, records, claims, submissions and supplements or amendments were timely, complete, accurate and not misleading on the date filed in all respects (or were corrected or supplemented by a subsequent submission). Except in each case as would not reasonably be expected to, individually or in the aggregate, result in a material adverse effect on the Company (A) possesses and is in compliance with all licenses, certificates, approvals, clearances, exemptions, authorizations, permits and supplements or amendments thereto required by any applicable Health Care Laws, (B) has fulfilled and performed all of its obligations with respect to all such licenses, sublicenses, certificates, permits and other authorizations, and (C) to the Company’s knowledge, no event has occurred which allows, or after notice or lapse of time would allow, revocation or termination thereof or results in any other impairment of the rights of the holder.</w:t>
      </w:r>
    </w:p>
    <w:p>
      <w:pPr>
        <w:spacing w:after="0" w:line="89" w:lineRule="exact"/>
        <w:rPr>
          <w:sz w:val="20"/>
          <w:szCs w:val="20"/>
          <w:color w:val="auto"/>
        </w:rPr>
      </w:pPr>
    </w:p>
    <w:p>
      <w:pPr>
        <w:ind w:firstLine="419"/>
        <w:spacing w:after="0" w:line="253" w:lineRule="auto"/>
        <w:tabs>
          <w:tab w:leader="none" w:pos="7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 is and at all relevant times has been in material compliance with all applicable Health Care Laws enforced by the FDA and other comparable governmental entities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except where such non-compliance would not reasonably be expected to, individually or in the aggregate, result in a material adverse effect on the Company; (B) has not received any FDA Form 483, written notice of adverse finding, warning letter, untitled letter or other written correspondence or written notice from the FDA or any governmental entity alleging or asserting material noncompliance with any Applicable Laws or any licenses, certificates, approvals, clearances, exemptions, authorizations, permits and supplements or amendments thereto required by any such Applicable Laws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(C) possesses all Authorizations, such Authorizations are valid and in full force and effect and the Company is not in violation of any term of any such Authorizations except as would not reasonably be expected to, individually or in the aggregate, result in a material adverse effect on the Company; (D) has not received written notice of any claim, action, suit, proceeding, hearing, enforcement, investigation, arbitration or other action from the FDA or any governmental entity or third party alleging that any product operation or activity is in material violation of any Applicable Laws or Authorizations and has no knowledge that the FDA or any comparable governmental entity or third party has threatened any such claim, litigation, arbitration, action, suit, investigation or proceeding, which in each case, if</w:t>
      </w:r>
    </w:p>
    <w:p>
      <w:pPr>
        <w:spacing w:after="0" w:line="1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20"/>
          </w:cols>
          <w:pgMar w:left="880" w:top="270" w:right="499" w:bottom="1440" w:gutter="0" w:footer="0" w:header="0"/>
        </w:sectPr>
      </w:pPr>
    </w:p>
    <w:bookmarkStart w:id="26" w:name="page27"/>
    <w:bookmarkEnd w:id="2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determined adversely to the Company, would reasonably be expected to have a material adverse effect on the Company; (E) has not received written notice that the FDA or any governmental entity has taken, is taking or intends to take action to limit, suspend, modify or revoke any material Authorizations and has no knowledge that the FDA or any governmental entity has threatened such action except where such limitation, suspension, modification or revocation would not reasonably be expected to, individually or in the aggregate, result in a material adverse effect on the Company; and (F) except as would not reasonably be expected to, individually or in the aggregate, result in a material adverse effect on the Company, has filed, obtained, maintained or submitted all reports, documents, forms, notices, applications, records, claims, submissions and supplements or amendments as required by any Applicable Laws or Authorizations and all such reports, documents, forms, notices, applications, records, claims, submissions and supplements or amendments were complete and correct on the date filed (or were corrected or supplemented by a subsequent submission.</w:t>
      </w:r>
    </w:p>
    <w:p>
      <w:pPr>
        <w:spacing w:after="0" w:line="80" w:lineRule="exact"/>
        <w:rPr>
          <w:sz w:val="20"/>
          <w:szCs w:val="20"/>
          <w:color w:val="auto"/>
        </w:rPr>
      </w:pPr>
    </w:p>
    <w:p>
      <w:pPr>
        <w:ind w:right="20" w:firstLine="419"/>
        <w:spacing w:after="0" w:line="252" w:lineRule="auto"/>
        <w:tabs>
          <w:tab w:leader="none" w:pos="6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at all relevant times has been, in material compliance with applicable data privacy and security laws and regulations (the “</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contractual obligations, or binding industry standards regarding the collection, use, transfer, storage, processing , protection, disposal or disclosure (collectively, “</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of Personal Data (defined below), sensitive, confidential, or regulated data (collectively “</w:t>
      </w:r>
      <w:r>
        <w:rPr>
          <w:rFonts w:ascii="Times New Roman" w:cs="Times New Roman" w:eastAsia="Times New Roman" w:hAnsi="Times New Roman"/>
          <w:sz w:val="18"/>
          <w:szCs w:val="18"/>
          <w:b w:val="1"/>
          <w:bCs w:val="1"/>
          <w:color w:val="auto"/>
        </w:rPr>
        <w:t>Sensitive Data</w:t>
      </w:r>
      <w:r>
        <w:rPr>
          <w:rFonts w:ascii="Times New Roman" w:cs="Times New Roman" w:eastAsia="Times New Roman" w:hAnsi="Times New Roman"/>
          <w:sz w:val="18"/>
          <w:szCs w:val="18"/>
          <w:color w:val="auto"/>
        </w:rPr>
        <w:t>”), including, to the extent applicable,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HIPAA as amended by the Health Information Technology for Economic and Clinical Health Act (“</w:t>
      </w:r>
      <w:r>
        <w:rPr>
          <w:rFonts w:ascii="Times New Roman" w:cs="Times New Roman" w:eastAsia="Times New Roman" w:hAnsi="Times New Roman"/>
          <w:sz w:val="18"/>
          <w:szCs w:val="18"/>
          <w:b w:val="1"/>
          <w:bCs w:val="1"/>
          <w:color w:val="auto"/>
        </w:rPr>
        <w:t>HITECH</w:t>
      </w:r>
      <w:r>
        <w:rPr>
          <w:rFonts w:ascii="Times New Roman" w:cs="Times New Roman" w:eastAsia="Times New Roman" w:hAnsi="Times New Roman"/>
          <w:sz w:val="18"/>
          <w:szCs w:val="18"/>
          <w:color w:val="auto"/>
        </w:rPr>
        <w:t>”) and the regulations implemented thereunder, and the California Consumer Privacy Act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of 2018 (collectively, the “</w:t>
      </w:r>
      <w:r>
        <w:rPr>
          <w:rFonts w:ascii="Times New Roman" w:cs="Times New Roman" w:eastAsia="Times New Roman" w:hAnsi="Times New Roman"/>
          <w:sz w:val="18"/>
          <w:szCs w:val="18"/>
          <w:b w:val="1"/>
          <w:bCs w:val="1"/>
          <w:color w:val="auto"/>
        </w:rPr>
        <w:t>Privacy and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has the same meaning as the term “personal data,” “personal information,” “protected health information,”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 under applicable Data Protection Laws. To ensure compliance with the Privacy and Security Obligations, the Company has in place, complies with, and takes appropriate steps designed to ensure compliance with their policies and procedures relating to data privacy and security and the Processing of Personal Data (the “Policies”). To the extent required by Data Protection Laws, the Company has contractually required third parties Processing Personal Data on behalf of the Company to comply with applicable Privacy and Security Obligations. The Company has not received written notice of any actual or potential liability under or relating to, or actual or potential violation of, any of the Privacy and Security Obligations, and, is not (i) currently conducting or paying for, in whole or in part, any investigation, remediation, or other corrective action pursuant to any Privacy and Security Obligation; or (ii) a party to any order, decree, or agreement that imposes any obligation or liability under any Privacy and Security Obligation.</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27" w:name="page28"/>
    <w:bookmarkEnd w:id="27"/>
    <w:p>
      <w:pPr>
        <w:ind w:left="360" w:right="140" w:firstLine="419"/>
        <w:spacing w:after="0" w:line="253" w:lineRule="auto"/>
        <w:tabs>
          <w:tab w:leader="none" w:pos="11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individually or in the aggregate, reasonably be expected to have a material adverse effect: (i) the Company’s information technology assets and equipment, computers, technology systems and other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operate and perform as required in connection with the operation of the business of the Company as currently conducted, and are free and clear of all material bugs, errors, defects, Trojan horses, time bombs, malware and other malicious code, (ii) the Company has implemented and maintained commercially reasonable physical, technical and administrative controls, policies, procedures, and safeguards designed to maintain and protect the integrity, continuous operation, redundancy and security of all IT Systems (including all Sensitive Data) used in connection with the operation of the Company, (iii) the Company has established commercially reasonable disaster recovery and security plans, procedures and facilities for the business, including, without limitation, for the IT Systems and Sensitive Data and (iv) during the past three (3) years, there have been no security breaches, outages or unauthorized uses of or accesses to the Sensitive Data or IT Systems.</w:t>
      </w:r>
    </w:p>
    <w:p>
      <w:pPr>
        <w:spacing w:after="0" w:line="86" w:lineRule="exact"/>
        <w:rPr>
          <w:rFonts w:ascii="Times New Roman" w:cs="Times New Roman" w:eastAsia="Times New Roman" w:hAnsi="Times New Roman"/>
          <w:sz w:val="18"/>
          <w:szCs w:val="18"/>
          <w:color w:val="auto"/>
        </w:rPr>
      </w:pPr>
    </w:p>
    <w:p>
      <w:pPr>
        <w:ind w:left="360" w:right="20" w:firstLine="419"/>
        <w:spacing w:after="0" w:line="266" w:lineRule="auto"/>
        <w:tabs>
          <w:tab w:leader="none" w:pos="11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in all material respects.</w:t>
      </w:r>
    </w:p>
    <w:p>
      <w:pPr>
        <w:spacing w:after="0" w:line="173" w:lineRule="exact"/>
        <w:rPr>
          <w:rFonts w:ascii="Times New Roman" w:cs="Times New Roman" w:eastAsia="Times New Roman" w:hAnsi="Times New Roman"/>
          <w:sz w:val="18"/>
          <w:szCs w:val="18"/>
          <w:color w:val="auto"/>
        </w:rPr>
      </w:pPr>
    </w:p>
    <w:p>
      <w:pPr>
        <w:ind w:left="-80" w:right="300" w:firstLine="436"/>
        <w:spacing w:after="0" w:line="284"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Selling Shareholder</w:t>
      </w:r>
      <w:r>
        <w:rPr>
          <w:rFonts w:ascii="Times New Roman" w:cs="Times New Roman" w:eastAsia="Times New Roman" w:hAnsi="Times New Roman"/>
          <w:sz w:val="18"/>
          <w:szCs w:val="18"/>
          <w:color w:val="auto"/>
        </w:rPr>
        <w:t>. The Selling Shareholder represents and warrants to and agrees with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that:</w:t>
      </w:r>
    </w:p>
    <w:p>
      <w:pPr>
        <w:spacing w:after="0" w:line="52" w:lineRule="exact"/>
        <w:rPr>
          <w:rFonts w:ascii="Times New Roman" w:cs="Times New Roman" w:eastAsia="Times New Roman" w:hAnsi="Times New Roman"/>
          <w:sz w:val="18"/>
          <w:szCs w:val="18"/>
          <w:color w:val="auto"/>
        </w:rPr>
      </w:pPr>
    </w:p>
    <w:p>
      <w:pPr>
        <w:ind w:left="1020" w:hanging="241"/>
        <w:spacing w:after="0"/>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or on behalf of the Selling Shareholder.</w:t>
      </w:r>
    </w:p>
    <w:p>
      <w:pPr>
        <w:spacing w:after="0" w:line="117" w:lineRule="exact"/>
        <w:rPr>
          <w:rFonts w:ascii="Times New Roman" w:cs="Times New Roman" w:eastAsia="Times New Roman" w:hAnsi="Times New Roman"/>
          <w:sz w:val="18"/>
          <w:szCs w:val="18"/>
          <w:color w:val="auto"/>
        </w:rPr>
      </w:pPr>
    </w:p>
    <w:p>
      <w:pPr>
        <w:ind w:left="360" w:firstLine="419"/>
        <w:spacing w:after="0" w:line="270" w:lineRule="auto"/>
        <w:tabs>
          <w:tab w:leader="none" w:pos="103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the Selling Shareholder of, and the performance by the Selling Shareholder of its obligations under, this Agreement, the Custody Agreement signed by the Selling Shareholder and [•], as Custodian, relating to the deposit of the Shares to be sold by the Selling Shareholder (the “</w:t>
      </w:r>
      <w:r>
        <w:rPr>
          <w:rFonts w:ascii="Times New Roman" w:cs="Times New Roman" w:eastAsia="Times New Roman" w:hAnsi="Times New Roman"/>
          <w:sz w:val="17"/>
          <w:szCs w:val="17"/>
          <w:b w:val="1"/>
          <w:bCs w:val="1"/>
          <w:color w:val="auto"/>
        </w:rPr>
        <w:t>Custody Agreement</w:t>
      </w:r>
      <w:r>
        <w:rPr>
          <w:rFonts w:ascii="Times New Roman" w:cs="Times New Roman" w:eastAsia="Times New Roman" w:hAnsi="Times New Roman"/>
          <w:sz w:val="17"/>
          <w:szCs w:val="17"/>
          <w:color w:val="auto"/>
        </w:rPr>
        <w:t>”) and the Power of Attorney appointing certain individuals as the Selling Shareholder’s attorneys-in-fact to the extent set forth therein, relating to the transactions contemplated hereby and by the Registration Statement (the “</w:t>
      </w:r>
      <w:r>
        <w:rPr>
          <w:rFonts w:ascii="Times New Roman" w:cs="Times New Roman" w:eastAsia="Times New Roman" w:hAnsi="Times New Roman"/>
          <w:sz w:val="17"/>
          <w:szCs w:val="17"/>
          <w:b w:val="1"/>
          <w:bCs w:val="1"/>
          <w:color w:val="auto"/>
        </w:rPr>
        <w:t>Power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Attorney</w:t>
      </w:r>
      <w:r>
        <w:rPr>
          <w:rFonts w:ascii="Times New Roman" w:cs="Times New Roman" w:eastAsia="Times New Roman" w:hAnsi="Times New Roman"/>
          <w:sz w:val="17"/>
          <w:szCs w:val="17"/>
          <w:color w:val="auto"/>
        </w:rPr>
        <w:t>”) will not contravene any provision of applicable law, the memorandum of association, articles of association, certificate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incorporation, by-laws or similar governing documents of the Selling Shareholder, or any agreement or other instrument binding upon the Selling Shareholder or any judgment, order or decree of any governmental body, agency or court having jurisdiction over the Selling Shareholder, and no consent, approval, authorization or order of, or qualification with, any governmental body, agency or court is required for the performance by the Selling Shareholder of its obligations under this Agreement or the Custody Agreement or Power of Attorney of the Selling Shareholder, except such as may be required by the securities or Blue Sky laws of the various states in connection with the offer and sale of the Shares.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40"/>
          </w:cols>
          <w:pgMar w:left="520" w:top="270" w:right="539" w:bottom="1440" w:gutter="0" w:footer="0" w:header="0"/>
        </w:sectPr>
      </w:pPr>
    </w:p>
    <w:bookmarkStart w:id="28" w:name="page29"/>
    <w:bookmarkEnd w:id="28"/>
    <w:p>
      <w:pPr>
        <w:ind w:right="120" w:firstLine="419"/>
        <w:spacing w:after="0" w:line="258" w:lineRule="auto"/>
        <w:tabs>
          <w:tab w:leader="none" w:pos="6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Selling Shareholder has, and on the Closing Date will have, valid title to, or a valid “security entitlement” within the meaning of Section 8-501 of the New York Uniform Commercial Code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in respect of, the Shares to be sold by the Selling Shareholder free and clear of all security interests, claims, liens, equities or other encumbrances and the legal right and power, and all authorization and approval required by law, to enter into this Agreement, the Custody Agreement and the Power of Attorney and to sell, transfer and deliver the Shares to be sold by the Selling Shareholder or a security entitlement in respect of the Shares.</w:t>
      </w:r>
    </w:p>
    <w:p>
      <w:pPr>
        <w:spacing w:after="0" w:line="75" w:lineRule="exact"/>
        <w:rPr>
          <w:rFonts w:ascii="Times New Roman" w:cs="Times New Roman" w:eastAsia="Times New Roman" w:hAnsi="Times New Roman"/>
          <w:sz w:val="18"/>
          <w:szCs w:val="18"/>
          <w:color w:val="auto"/>
        </w:rPr>
      </w:pPr>
    </w:p>
    <w:p>
      <w:pPr>
        <w:ind w:right="220" w:firstLine="419"/>
        <w:spacing w:after="0" w:line="282"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Custody Agreement and the Power of Attorney have been duly authorized, executed and delivered by the Selling Shareholder and are valid and binding agreements of the Selling Shareholder.</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for the Shares to be sold by the Selling Shareholder pursuant to this Agreement, delivery of such Shares, as directed by the Underwriters, to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or such other nominee as may be designated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UCC)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for purposes of this representation, the Selling Shareholder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81" w:lineRule="exact"/>
        <w:rPr>
          <w:rFonts w:ascii="Times New Roman" w:cs="Times New Roman" w:eastAsia="Times New Roman" w:hAnsi="Times New Roman"/>
          <w:sz w:val="18"/>
          <w:szCs w:val="18"/>
          <w:color w:val="auto"/>
        </w:rPr>
      </w:pPr>
    </w:p>
    <w:p>
      <w:pPr>
        <w:ind w:right="120" w:firstLine="419"/>
        <w:spacing w:after="0" w:line="282"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has delivered to the Representatives an executed lock-up agreement in substantially the form attached hereto as Exhibit A.</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has no reason to believe that the representations and warranties of the Company contained in Section 1 are not true and correct, is familiar with the Registration Statement, the Time of Sale Prospectus and the Prospectus and has no knowledge of any material fact, condition or information not disclosed in the Registration Statement, the Time of Sale Prospectus or the Prospectus that has had, or may have, a material adverse effect on the Company and its subsidiaries, taken as a whole. The Selling</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29" w:name="page30"/>
    <w:bookmarkEnd w:id="29"/>
    <w:p>
      <w:pPr>
        <w:ind w:left="4"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Shareholder is not prompted by any information concerning the Company or its subsidiaries which is not set forth in the Registration Statement, the Time of Sale Prospectus or the Prospectus to sell its Shares pursuant to this Agreement.</w:t>
      </w:r>
    </w:p>
    <w:p>
      <w:pPr>
        <w:spacing w:after="0" w:line="54" w:lineRule="exact"/>
        <w:rPr>
          <w:sz w:val="20"/>
          <w:szCs w:val="20"/>
          <w:color w:val="auto"/>
        </w:rPr>
      </w:pPr>
    </w:p>
    <w:p>
      <w:pPr>
        <w:ind w:left="4" w:right="20" w:firstLine="419"/>
        <w:spacing w:after="0" w:line="268" w:lineRule="auto"/>
        <w:tabs>
          <w:tab w:leader="none" w:pos="68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w:t>
      </w:r>
    </w:p>
    <w:p>
      <w:pPr>
        <w:spacing w:after="0" w:line="4" w:lineRule="exact"/>
        <w:rPr>
          <w:rFonts w:ascii="Times New Roman" w:cs="Times New Roman" w:eastAsia="Times New Roman" w:hAnsi="Times New Roman"/>
          <w:sz w:val="17"/>
          <w:szCs w:val="17"/>
          <w:color w:val="auto"/>
        </w:rPr>
      </w:pPr>
    </w:p>
    <w:p>
      <w:pPr>
        <w:ind w:left="4" w:hanging="4"/>
        <w:spacing w:after="0" w:line="251" w:lineRule="auto"/>
        <w:tabs>
          <w:tab w:leader="none" w:pos="3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Morgan Stanley &amp; Co. LLC expressly for use therein</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the representations and warranties set forth in this paragraph 2(h) are limited to statements or omissions made in reliance upon information relating to the Selling Shareholder furnished to the Company in writing by the Selling Shareholder expressly for use in the Registration Statement, the Time of Sale Prospectus, the Prospectus or any amendments or supplements thereto (the “</w:t>
      </w:r>
      <w:r>
        <w:rPr>
          <w:rFonts w:ascii="Times New Roman" w:cs="Times New Roman" w:eastAsia="Times New Roman" w:hAnsi="Times New Roman"/>
          <w:sz w:val="18"/>
          <w:szCs w:val="18"/>
          <w:b w:val="1"/>
          <w:bCs w:val="1"/>
          <w:color w:val="auto"/>
        </w:rPr>
        <w:t>Selling Shareholder Information</w:t>
      </w:r>
      <w:r>
        <w:rPr>
          <w:rFonts w:ascii="Times New Roman" w:cs="Times New Roman" w:eastAsia="Times New Roman" w:hAnsi="Times New Roman"/>
          <w:sz w:val="18"/>
          <w:szCs w:val="18"/>
          <w:color w:val="auto"/>
        </w:rPr>
        <w:t>”); it being understood that the Selling Shareholder Information shall be limited to the legal name and address of, and the number of shares beneficially owned and offered by, such Selling Shareholder, and the other information with respect to such Selling Shareholder that appears under the caption “Principal and Selling Stockholders” in the Registration Statement, the Time of Sale Prospectus, and the Prospectus.</w:t>
      </w:r>
    </w:p>
    <w:p>
      <w:pPr>
        <w:spacing w:after="0" w:line="81"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64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Selling Shareholder, any of its subsidiaries, or any director, officer, or employee thereof, or, to the Selling Shareholder’s knowledge, any agent, controlled affiliate or representative of the Selling Shareholder or any of its subsidiaries, is a Person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1664" w:hanging="289"/>
        <w:spacing w:after="0"/>
        <w:tabs>
          <w:tab w:leader="none" w:pos="166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or</w:t>
      </w:r>
    </w:p>
    <w:p>
      <w:pPr>
        <w:spacing w:after="0" w:line="117" w:lineRule="exact"/>
        <w:rPr>
          <w:rFonts w:ascii="Times New Roman" w:cs="Times New Roman" w:eastAsia="Times New Roman" w:hAnsi="Times New Roman"/>
          <w:sz w:val="18"/>
          <w:szCs w:val="18"/>
          <w:color w:val="auto"/>
        </w:rPr>
      </w:pPr>
    </w:p>
    <w:p>
      <w:pPr>
        <w:ind w:left="984" w:right="300" w:firstLine="391"/>
        <w:spacing w:after="0" w:line="312" w:lineRule="auto"/>
        <w:tabs>
          <w:tab w:leader="none" w:pos="1652"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located, organized or resident in a country or territory that is the subject of Sanctions (including, without limitation, Crimea, Cuba, Iran, North Korea, Syria, and the Donetsk People’s Republic and Luhansk People’s Republic located in Ukraine).</w:t>
      </w:r>
    </w:p>
    <w:p>
      <w:pPr>
        <w:spacing w:after="0" w:line="7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4"/>
          </w:cols>
          <w:pgMar w:left="876" w:top="270" w:right="479" w:bottom="1440" w:gutter="0" w:footer="0" w:header="0"/>
        </w:sectPr>
      </w:pPr>
    </w:p>
    <w:bookmarkStart w:id="30" w:name="page31"/>
    <w:bookmarkEnd w:id="30"/>
    <w:p>
      <w:pPr>
        <w:ind w:left="540" w:right="300" w:firstLine="408"/>
        <w:spacing w:after="0" w:line="282" w:lineRule="auto"/>
        <w:tabs>
          <w:tab w:leader="none" w:pos="120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Selling Shareholder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220" w:firstLine="391"/>
        <w:spacing w:after="0" w:line="282" w:lineRule="auto"/>
        <w:tabs>
          <w:tab w:leader="none" w:pos="165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80" w:right="340" w:firstLine="391"/>
        <w:spacing w:after="0" w:line="282" w:lineRule="auto"/>
        <w:tabs>
          <w:tab w:leader="none" w:pos="164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jc w:val="both"/>
        <w:ind w:left="540" w:firstLine="408"/>
        <w:spacing w:after="0" w:line="266" w:lineRule="auto"/>
        <w:tabs>
          <w:tab w:leader="none" w:pos="125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67" w:lineRule="exact"/>
        <w:rPr>
          <w:rFonts w:ascii="Times New Roman" w:cs="Times New Roman" w:eastAsia="Times New Roman" w:hAnsi="Times New Roman"/>
          <w:sz w:val="18"/>
          <w:szCs w:val="18"/>
          <w:color w:val="auto"/>
        </w:rPr>
      </w:pPr>
    </w:p>
    <w:p>
      <w:pPr>
        <w:ind w:right="100" w:firstLine="419"/>
        <w:spacing w:after="0" w:line="253" w:lineRule="auto"/>
        <w:tabs>
          <w:tab w:leader="none" w:pos="6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Selling Shareholder or any of its subsidiaries or affiliates, or any director, officer, or employee thereof, nor, to the Selling Shareholder’s knowledge, any agent or representative of the Selling Shareholder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 order to influence official action, or to any person in violation of any applicable anti-corruption laws; (ii) the Selling Shareholder and each of its subsidiaries and each of its controlled affiliates has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Selling Shareholder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86" w:lineRule="exact"/>
        <w:rPr>
          <w:rFonts w:ascii="Times New Roman" w:cs="Times New Roman" w:eastAsia="Times New Roman" w:hAnsi="Times New Roman"/>
          <w:sz w:val="18"/>
          <w:szCs w:val="18"/>
          <w:color w:val="auto"/>
        </w:rPr>
      </w:pPr>
    </w:p>
    <w:p>
      <w:pPr>
        <w:jc w:val="both"/>
        <w:ind w:right="80" w:firstLine="419"/>
        <w:spacing w:after="0" w:line="261"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Selling Shareholder and each of its subsidiaries are and have been conducted at all times in material compliance with all applicable Anti-Money Laundering Laws, and no action, suit or proceeding by or before any court or governmental agency, authority or body or any arbitrator involving the Selling Shareholder or any of its subsidiaries with respect to the Anti-Money Laundering Laws is pending or, to the best knowledge of the Selling Shareholder, threatened.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31" w:name="page32"/>
    <w:bookmarkEnd w:id="31"/>
    <w:p>
      <w:pPr>
        <w:ind w:left="440" w:right="40" w:firstLine="419"/>
        <w:spacing w:after="0" w:line="266" w:lineRule="auto"/>
        <w:tabs>
          <w:tab w:leader="none" w:pos="107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Selling Shareholder represents and warrants that it is not (i) an employee benefit plan subject to ERISA, (ii) a plan or account subject to the Code or (iii) an entity deemed to hold “plan assets” of any such plan or account under Section 3(42) of ERISA, 29 C.F.R. 2510.3-101, or otherwise.</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stamp, documentary, issuance, registration, transfer, withholding, capital gains, income or other taxes or duties are payable by or on behalf of the Underwriters, the Company or any of its subsidiaries in the British Virgin Islands or to any taxing authority thereof or therein in connection with (i) the execution, delivery or consummation of this Agreement, (ii) the sale and delivery of the Shares to the Underwriters or purchasers procured by the Underwriters, or (iii) the resale and delivery of the Shares by the Underwriters in the manner contemplated herein.</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has the power to submit, and pursuant to Section 19 has, to the extent permitted by law, legally, validly, effectively and irrevocably submitted, to the jurisdiction of the Specified Courts (as defined in Section 19), and has the power to designate, appoint and empower, and pursuant to Section 19, has legally, validly and effectively designated, appointed and empowered an agent for service of process in any suit or proceeding based on or arising under this Agreement in any of the Specified Courts.</w:t>
      </w:r>
    </w:p>
    <w:p>
      <w:pPr>
        <w:spacing w:after="0" w:line="177"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Agreements to Sell and Purchase. </w:t>
      </w:r>
      <w:r>
        <w:rPr>
          <w:rFonts w:ascii="Times New Roman" w:cs="Times New Roman" w:eastAsia="Times New Roman" w:hAnsi="Times New Roman"/>
          <w:sz w:val="18"/>
          <w:szCs w:val="18"/>
          <w:color w:val="auto"/>
        </w:rPr>
        <w:t>Each Seller, severally and not jointly, hereby agrees to sell to the several Underwriters, and each Underwriter,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basis of the representations and warranties herein contained, but subject to the terms and conditions hereinafter stated, agrees, severally and not jointly, to purchase from such Seller at $[•] per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 number of Firm Shares that bears the same proportion to the number of Firm Shares to be sold by such Seller as the number of Firm Shares set forth in Schedule I hereto opposite the name of such Underwriter bears to the total number of Firm Shares.</w:t>
      </w:r>
    </w:p>
    <w:p>
      <w:pPr>
        <w:spacing w:after="0" w:line="18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32" w:name="page33"/>
    <w:bookmarkEnd w:id="32"/>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notice. Additional Shares may be purchased as provided in Section 5 hereof solely for the purpose of covering sales of shares in excess of the number of the Firm Shares. On each day, if any, that Additional Shares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1" w:lineRule="exact"/>
        <w:rPr>
          <w:sz w:val="20"/>
          <w:szCs w:val="20"/>
          <w:color w:val="auto"/>
        </w:rPr>
      </w:pPr>
    </w:p>
    <w:p>
      <w:pPr>
        <w:ind w:right="80" w:firstLine="436"/>
        <w:spacing w:after="0" w:line="258"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Sellers are advised by the Representatives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Shares as soon after the Registration Statement and this Agreement have become effective as in the judgment of the Representatives is advisable. The Sellers are further advised by the Representatives that the Shares are to be offered to the public initially at $[•] a share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and to certain dealers selected by the Representatives at a price that represents a concession not in excess of $[•] a share under the Public Offering Price.</w:t>
      </w:r>
    </w:p>
    <w:p>
      <w:pPr>
        <w:spacing w:after="0" w:line="183"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and Delivery. </w:t>
      </w:r>
      <w:r>
        <w:rPr>
          <w:rFonts w:ascii="Times New Roman" w:cs="Times New Roman" w:eastAsia="Times New Roman" w:hAnsi="Times New Roman"/>
          <w:sz w:val="18"/>
          <w:szCs w:val="18"/>
          <w:color w:val="auto"/>
        </w:rPr>
        <w:t>Payment for the Firm Shares to be sold by each Seller shall be made to such Seller in Federal or other funds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in New York City against delivery of such Firm Shares for the respective accounts of the several Underwriters at 10:00 a.m., New York City time, on December [•], 2024, or at such other time on the same or such other date, not later than December [•], 2024,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on the same or on such other date, in any event not later than December [•], 2024, as shall be designated in writing by the Representatives.</w:t>
      </w:r>
    </w:p>
    <w:p>
      <w:pPr>
        <w:spacing w:after="0" w:line="180" w:lineRule="exact"/>
        <w:rPr>
          <w:sz w:val="20"/>
          <w:szCs w:val="20"/>
          <w:color w:val="auto"/>
        </w:rPr>
      </w:pPr>
    </w:p>
    <w:p>
      <w:pPr>
        <w:jc w:val="both"/>
        <w:ind w:right="40" w:firstLine="440"/>
        <w:spacing w:after="0" w:line="258" w:lineRule="auto"/>
        <w:rPr>
          <w:sz w:val="20"/>
          <w:szCs w:val="20"/>
          <w:color w:val="auto"/>
        </w:rPr>
      </w:pPr>
      <w:r>
        <w:rPr>
          <w:rFonts w:ascii="Times New Roman" w:cs="Times New Roman" w:eastAsia="Times New Roman" w:hAnsi="Times New Roman"/>
          <w:sz w:val="18"/>
          <w:szCs w:val="18"/>
          <w:color w:val="auto"/>
        </w:rPr>
        <w:t>The Firm Shares and Additional Shares shall be registered in such names and in such denominations as Morgan Stanley &amp; Co. LLC shall request not later than one full business day prior to the Closing Date or the applicable Option Closing Date, as the case may be. The Firm Shares and Additional Shares shall be delivered to Morgan Stanley &amp; Co. LLC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81" w:lineRule="exact"/>
        <w:rPr>
          <w:sz w:val="20"/>
          <w:szCs w:val="20"/>
          <w:color w:val="auto"/>
        </w:rPr>
      </w:pPr>
    </w:p>
    <w:p>
      <w:pPr>
        <w:ind w:right="80" w:firstLine="436"/>
        <w:spacing w:after="0" w:line="267"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Sellers to sell the Shares to the Underwriters and the several obligations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to purchase and pay for the Shares on the Closing Date are subject to the condition that the Registration Statement shall have become effective not later than [4:00] p.m. (New York City time) on the date 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several obligations of the Underwriters are subject to the following further conditions:</w:t>
      </w:r>
    </w:p>
    <w:p>
      <w:pPr>
        <w:spacing w:after="0" w:line="117" w:lineRule="exact"/>
        <w:rPr>
          <w:sz w:val="20"/>
          <w:szCs w:val="20"/>
          <w:color w:val="auto"/>
        </w:rPr>
      </w:pPr>
    </w:p>
    <w:p>
      <w:pPr>
        <w:ind w:left="660" w:hanging="241"/>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540" w:right="420" w:firstLine="408"/>
        <w:spacing w:after="0" w:line="282" w:lineRule="auto"/>
        <w:tabs>
          <w:tab w:leader="none" w:pos="115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or pursuant to Section 8A under the Securities Act shall be pending before or threatened by the Commission;</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20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w:t>
      </w:r>
    </w:p>
    <w:p>
      <w:pPr>
        <w:spacing w:after="0" w:line="71" w:lineRule="exact"/>
        <w:rPr>
          <w:rFonts w:ascii="Times New Roman" w:cs="Times New Roman" w:eastAsia="Times New Roman" w:hAnsi="Times New Roman"/>
          <w:sz w:val="18"/>
          <w:szCs w:val="18"/>
          <w:color w:val="auto"/>
        </w:rPr>
      </w:pPr>
    </w:p>
    <w:p>
      <w:pPr>
        <w:ind w:left="540" w:right="100" w:firstLine="408"/>
        <w:spacing w:after="0" w:line="261" w:lineRule="auto"/>
        <w:tabs>
          <w:tab w:leader="none" w:pos="125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judgment of the Representatives, is material and adverse and that makes it, in the judgment of the Representatives, impracticable to market the Shares on the terms and in the manner contemplated in the Time of Sale Prospectus.</w:t>
      </w:r>
    </w:p>
    <w:p>
      <w:pPr>
        <w:spacing w:after="0" w:line="71" w:lineRule="exact"/>
        <w:rPr>
          <w:rFonts w:ascii="Times New Roman" w:cs="Times New Roman" w:eastAsia="Times New Roman" w:hAnsi="Times New Roman"/>
          <w:sz w:val="18"/>
          <w:szCs w:val="18"/>
          <w:color w:val="auto"/>
        </w:rPr>
      </w:pPr>
    </w:p>
    <w:p>
      <w:pPr>
        <w:ind w:right="100" w:firstLine="419"/>
        <w:spacing w:after="0" w:line="261" w:lineRule="auto"/>
        <w:tabs>
          <w:tab w:leader="none" w:pos="6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 certificate, dated the Closing Date and signed by an executive officer of the Company, to the effect set forth in Sections 6(a)(i) and 6(a)(ii)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right="200" w:firstLine="419"/>
        <w:spacing w:after="0" w:line="282" w:lineRule="auto"/>
        <w:tabs>
          <w:tab w:leader="none" w:pos="6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Cooley LLP, outside counsel for the Company, dated the Closing Date, in the form and substance reasonably satisfactory to the Representatives.</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40"/>
          </w:cols>
          <w:pgMar w:left="880" w:top="270" w:right="479" w:bottom="1440" w:gutter="0" w:footer="0" w:header="0"/>
        </w:sectPr>
      </w:pPr>
    </w:p>
    <w:bookmarkStart w:id="34" w:name="page35"/>
    <w:bookmarkEnd w:id="34"/>
    <w:p>
      <w:pPr>
        <w:ind w:left="440" w:right="160" w:firstLine="419"/>
        <w:spacing w:after="0" w:line="282" w:lineRule="auto"/>
        <w:tabs>
          <w:tab w:leader="none" w:pos="11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an opinion and negative assurance letter of Latham &amp; Watkins LLP, counsel for the Underwriters, dated the Closing Date, in form and substance reasonably satisfactory to the Underwriters.</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Morrison &amp; Foerster LLP, intellectual property counsel for the Company, dated the Closing Date, in form and substance reasonably satisfactory to the Underwriters.</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0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Ogier, British Virgin Islands outside counsel for the Selling Shareholder, dated the Closing Date, in form and substance reasonably satisfactory to the Underwriters.</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Goodwin Procter LLP, United States outside counsel for the Selling Shareholder, dated the Closing Date, in form and substance reasonably satisfactory to the Underwriters.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With respect to Sections 6(c) and (d) above, Cooley LLP and Latham &amp; Watkins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opinion and negative assurance letter of Cooley LLP and the opinions of Ogier and Goodwin Procter LLP described in Sections 6(c), 6(f) and 6(g), respectively, above shall be rendered to the Underwriters at the request of the Company or the Selling Shareholder, as the case may be, and shall so state therein.</w:t>
      </w:r>
    </w:p>
    <w:p>
      <w:pPr>
        <w:spacing w:after="0" w:line="68" w:lineRule="exact"/>
        <w:rPr>
          <w:sz w:val="20"/>
          <w:szCs w:val="20"/>
          <w:color w:val="auto"/>
        </w:rPr>
      </w:pPr>
    </w:p>
    <w:p>
      <w:pPr>
        <w:ind w:left="440" w:firstLine="419"/>
        <w:spacing w:after="0" w:line="258" w:lineRule="auto"/>
        <w:tabs>
          <w:tab w:leader="none" w:pos="11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Underwriters, from Ernst &amp; Young LLP,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0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executed by the directors and officers of the Company and certain affiliates thereof, in each case set forth in Exhibit B hereto, relating to restrictions on sales and certain other dispositions of shares of Common Stock or certain other securities, delivered to the Representatives on or before the date hereof (the “</w:t>
      </w:r>
      <w:r>
        <w:rPr>
          <w:rFonts w:ascii="Times New Roman" w:cs="Times New Roman" w:eastAsia="Times New Roman" w:hAnsi="Times New Roman"/>
          <w:sz w:val="18"/>
          <w:szCs w:val="18"/>
          <w:b w:val="1"/>
          <w:bCs w:val="1"/>
          <w:color w:val="auto"/>
        </w:rPr>
        <w:t>Lock-up Agreements</w:t>
      </w:r>
      <w:r>
        <w:rPr>
          <w:rFonts w:ascii="Times New Roman" w:cs="Times New Roman" w:eastAsia="Times New Roman" w:hAnsi="Times New Roman"/>
          <w:sz w:val="18"/>
          <w:szCs w:val="18"/>
          <w:color w:val="auto"/>
        </w:rPr>
        <w:t>”), shall be in full force and effect on the Closing Date.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35" w:name="page36"/>
    <w:bookmarkEnd w:id="35"/>
    <w:p>
      <w:pPr>
        <w:ind w:right="80" w:firstLine="419"/>
        <w:spacing w:after="0" w:line="282" w:lineRule="auto"/>
        <w:tabs>
          <w:tab w:leader="none" w:pos="6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several obligations of the Underwriters to purchase Additional Shares hereunder are subject to the delivery to the Representatives on the applicable Option Closing Date of the following if such Option Closing Date is different than the Closing Date:</w:t>
      </w:r>
    </w:p>
    <w:p>
      <w:pPr>
        <w:spacing w:after="0" w:line="53" w:lineRule="exact"/>
        <w:rPr>
          <w:rFonts w:ascii="Times New Roman" w:cs="Times New Roman" w:eastAsia="Times New Roman" w:hAnsi="Times New Roman"/>
          <w:sz w:val="18"/>
          <w:szCs w:val="18"/>
          <w:color w:val="auto"/>
        </w:rPr>
      </w:pPr>
    </w:p>
    <w:p>
      <w:pPr>
        <w:ind w:left="540" w:right="360" w:firstLine="408"/>
        <w:spacing w:after="0" w:line="282" w:lineRule="auto"/>
        <w:tabs>
          <w:tab w:leader="none" w:pos="115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an executive officer of the Company, confirming that the certificate delivered on the Closing Date pursuant to Section 6(b) hereof remains true and correct as of such Option Closing Date;</w:t>
      </w:r>
    </w:p>
    <w:p>
      <w:pPr>
        <w:spacing w:after="0" w:line="53" w:lineRule="exact"/>
        <w:rPr>
          <w:rFonts w:ascii="Times New Roman" w:cs="Times New Roman" w:eastAsia="Times New Roman" w:hAnsi="Times New Roman"/>
          <w:sz w:val="18"/>
          <w:szCs w:val="18"/>
          <w:color w:val="auto"/>
        </w:rPr>
      </w:pPr>
    </w:p>
    <w:p>
      <w:pPr>
        <w:ind w:left="540" w:right="100" w:firstLine="408"/>
        <w:spacing w:after="0" w:line="266" w:lineRule="auto"/>
        <w:tabs>
          <w:tab w:leader="none" w:pos="120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Cooley LLP, outside counsel for the Company, dated the Option Closing Date, relating to the Additional Shares to be purchased on such Option Closing Date and otherwise to the same effect as the opinion required by Section 6(c) hereof;</w:t>
      </w:r>
    </w:p>
    <w:p>
      <w:pPr>
        <w:spacing w:after="0" w:line="67" w:lineRule="exact"/>
        <w:rPr>
          <w:rFonts w:ascii="Times New Roman" w:cs="Times New Roman" w:eastAsia="Times New Roman" w:hAnsi="Times New Roman"/>
          <w:sz w:val="18"/>
          <w:szCs w:val="18"/>
          <w:color w:val="auto"/>
        </w:rPr>
      </w:pPr>
    </w:p>
    <w:p>
      <w:pPr>
        <w:ind w:left="540" w:firstLine="408"/>
        <w:spacing w:after="0" w:line="266" w:lineRule="auto"/>
        <w:tabs>
          <w:tab w:leader="none" w:pos="125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Latham &amp; Watkins LLP, counsel for the Underwriters, dated the Option Closing Date, relating to the Additional Shares to be purchased on such Option Closing Date and otherwise to the same effect as the opinion required by Section 6(d) hereof;</w:t>
      </w:r>
    </w:p>
    <w:p>
      <w:pPr>
        <w:spacing w:after="0" w:line="67" w:lineRule="exact"/>
        <w:rPr>
          <w:rFonts w:ascii="Times New Roman" w:cs="Times New Roman" w:eastAsia="Times New Roman" w:hAnsi="Times New Roman"/>
          <w:sz w:val="18"/>
          <w:szCs w:val="18"/>
          <w:color w:val="auto"/>
        </w:rPr>
      </w:pPr>
    </w:p>
    <w:p>
      <w:pPr>
        <w:ind w:left="540" w:right="60" w:firstLine="408"/>
        <w:spacing w:after="0" w:line="261" w:lineRule="auto"/>
        <w:tabs>
          <w:tab w:leader="none" w:pos="124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dated the Option Closing Date, in form and substance satisfactory to the Underwriters, from Ernst &amp; Young LLP, independent registered public accounting firm, substantially in the same form and substance as the letter furnished to the Underwriters pursuant to Section 6(h)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w:t>
      </w:r>
    </w:p>
    <w:p>
      <w:pPr>
        <w:spacing w:after="0" w:line="71" w:lineRule="exact"/>
        <w:rPr>
          <w:rFonts w:ascii="Times New Roman" w:cs="Times New Roman" w:eastAsia="Times New Roman" w:hAnsi="Times New Roman"/>
          <w:sz w:val="18"/>
          <w:szCs w:val="18"/>
          <w:color w:val="auto"/>
        </w:rPr>
      </w:pPr>
    </w:p>
    <w:p>
      <w:pPr>
        <w:ind w:left="540" w:right="40" w:firstLine="408"/>
        <w:spacing w:after="0" w:line="261" w:lineRule="auto"/>
        <w:tabs>
          <w:tab w:leader="none" w:pos="11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Morrison &amp; Foerster LLP, intellectual property counsel for the Company, dated the Option Closing Date, relating to the Additional Shares to be purchased on such Option Closing Date and otherwise to the same effect as the opinion required by</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6(e) hereof; and</w:t>
      </w:r>
    </w:p>
    <w:p>
      <w:pPr>
        <w:spacing w:after="0" w:line="98" w:lineRule="exact"/>
        <w:rPr>
          <w:rFonts w:ascii="Times New Roman" w:cs="Times New Roman" w:eastAsia="Times New Roman" w:hAnsi="Times New Roman"/>
          <w:sz w:val="18"/>
          <w:szCs w:val="18"/>
          <w:color w:val="auto"/>
        </w:rPr>
      </w:pPr>
    </w:p>
    <w:p>
      <w:pPr>
        <w:ind w:left="540" w:right="140" w:firstLine="408"/>
        <w:spacing w:after="0" w:line="266" w:lineRule="auto"/>
        <w:tabs>
          <w:tab w:leader="none" w:pos="124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80"/>
          </w:cols>
          <w:pgMar w:left="880" w:top="270" w:right="439" w:bottom="1440" w:gutter="0" w:footer="0" w:header="0"/>
        </w:sectPr>
      </w:pPr>
    </w:p>
    <w:bookmarkStart w:id="36" w:name="page37"/>
    <w:bookmarkEnd w:id="36"/>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upon written request, without charge, five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7(e) or 7(f) below, as many copies of the Time of Sale Prospectus, the Prospectus and any supplements and amendments thereto or to the Registration Statement as the Representatives may reasonably request.</w:t>
      </w:r>
    </w:p>
    <w:p>
      <w:pPr>
        <w:spacing w:after="0" w:line="75" w:lineRule="exact"/>
        <w:rPr>
          <w:rFonts w:ascii="Times New Roman" w:cs="Times New Roman" w:eastAsia="Times New Roman" w:hAnsi="Times New Roman"/>
          <w:sz w:val="18"/>
          <w:szCs w:val="18"/>
          <w:color w:val="auto"/>
        </w:rPr>
      </w:pPr>
    </w:p>
    <w:p>
      <w:pPr>
        <w:ind w:left="4" w:right="80" w:firstLine="419"/>
        <w:spacing w:after="0" w:line="261" w:lineRule="auto"/>
        <w:tabs>
          <w:tab w:leader="none" w:pos="6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in writing, and to file with the Commission within the applicable period specified in Rule 424(b) under the Securities Act any prospectus required to be filed pursuant to such Rule.</w:t>
      </w:r>
    </w:p>
    <w:p>
      <w:pPr>
        <w:spacing w:after="0" w:line="71"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6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53"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left="4" w:firstLine="419"/>
        <w:spacing w:after="0" w:line="253" w:lineRule="auto"/>
        <w:tabs>
          <w:tab w:leader="none" w:pos="6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27"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04"/>
          </w:cols>
          <w:pgMar w:left="876" w:top="268" w:right="519" w:bottom="1440" w:gutter="0" w:footer="0" w:header="0"/>
        </w:sectPr>
      </w:pPr>
    </w:p>
    <w:bookmarkStart w:id="37" w:name="page38"/>
    <w:bookmarkEnd w:id="37"/>
    <w:p>
      <w:pPr>
        <w:ind w:left="640" w:hanging="221"/>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during such period after the first date of the public offering of the Shares as in the opinion of counsel for the Underwriters the</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84" w:lineRule="exact"/>
        <w:rPr>
          <w:rFonts w:ascii="Times New Roman" w:cs="Times New Roman" w:eastAsia="Times New Roman" w:hAnsi="Times New Roman"/>
          <w:sz w:val="18"/>
          <w:szCs w:val="18"/>
          <w:color w:val="auto"/>
        </w:rPr>
      </w:pPr>
    </w:p>
    <w:p>
      <w:pPr>
        <w:ind w:right="120" w:firstLine="419"/>
        <w:spacing w:after="0" w:line="261"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endeavor to qualify the Shares for offer and sale under the securities or Blue Sky laws of such jurisdictions as the Representatives shall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as a deal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71" w:lineRule="exact"/>
        <w:rPr>
          <w:rFonts w:ascii="Times New Roman" w:cs="Times New Roman" w:eastAsia="Times New Roman" w:hAnsi="Times New Roman"/>
          <w:sz w:val="18"/>
          <w:szCs w:val="18"/>
          <w:color w:val="auto"/>
        </w:rPr>
      </w:pPr>
    </w:p>
    <w:p>
      <w:pPr>
        <w:ind w:right="100" w:firstLine="419"/>
        <w:spacing w:after="0" w:line="261"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71" w:lineRule="exact"/>
        <w:rPr>
          <w:rFonts w:ascii="Times New Roman" w:cs="Times New Roman" w:eastAsia="Times New Roman" w:hAnsi="Times New Roman"/>
          <w:sz w:val="18"/>
          <w:szCs w:val="18"/>
          <w:color w:val="auto"/>
        </w:rPr>
      </w:pPr>
    </w:p>
    <w:p>
      <w:pPr>
        <w:ind w:right="60" w:firstLine="419"/>
        <w:spacing w:after="0" w:line="258" w:lineRule="auto"/>
        <w:tabs>
          <w:tab w:leader="none" w:pos="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40"/>
          </w:cols>
          <w:pgMar w:left="880" w:top="270" w:right="479" w:bottom="1440" w:gutter="0" w:footer="0" w:header="0"/>
        </w:sectPr>
      </w:pPr>
    </w:p>
    <w:bookmarkStart w:id="38" w:name="page39"/>
    <w:bookmarkEnd w:id="38"/>
    <w:p>
      <w:pPr>
        <w:ind w:left="4"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FINRA (provided that fees and expenses of counsel pursuant to clauses (iii) and (iv) above shall not, in the aggregate, exceed $40,000),</w:t>
      </w:r>
    </w:p>
    <w:p>
      <w:pPr>
        <w:spacing w:after="0" w:line="5" w:lineRule="exact"/>
        <w:rPr>
          <w:sz w:val="20"/>
          <w:szCs w:val="20"/>
          <w:color w:val="auto"/>
        </w:rPr>
      </w:pPr>
    </w:p>
    <w:p>
      <w:pPr>
        <w:ind w:left="264" w:hanging="264"/>
        <w:spacing w:after="0"/>
        <w:tabs>
          <w:tab w:leader="none" w:pos="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incident to listing the Shares on the Nasdaq Global Market, (vi) the cost of printing certificates representing the Shares,</w:t>
      </w:r>
    </w:p>
    <w:p>
      <w:pPr>
        <w:spacing w:after="0" w:line="9" w:lineRule="exact"/>
        <w:rPr>
          <w:rFonts w:ascii="Times New Roman" w:cs="Times New Roman" w:eastAsia="Times New Roman" w:hAnsi="Times New Roman"/>
          <w:sz w:val="18"/>
          <w:szCs w:val="18"/>
          <w:color w:val="auto"/>
        </w:rPr>
      </w:pPr>
    </w:p>
    <w:p>
      <w:pPr>
        <w:ind w:left="4" w:right="120" w:hanging="4"/>
        <w:spacing w:after="0" w:line="251" w:lineRule="auto"/>
        <w:tabs>
          <w:tab w:leader="none" w:pos="3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the cost of such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7(i), Section 10 and the last paragraph of Section 12 below, the Underwriters will pay all of their costs and expenses, including fees and disbursements of their counsel, stock transfer taxes payable on resale of any of the Shares by them and any advertising expenses connected with any offers they may make, and all travel and other expenses of the Underwriters or any of their employees incurred by them in connection with participation in investor presentations on any “road show” undertaken in connection with the marketing of the offering of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last sentence of this Section 7(i) does not include the cost of any chartered aircraft, which shall be paid 50% by the Company as described above in clause (viii).</w:t>
      </w:r>
    </w:p>
    <w:p>
      <w:pPr>
        <w:spacing w:after="0" w:line="83" w:lineRule="exact"/>
        <w:rPr>
          <w:rFonts w:ascii="Times New Roman" w:cs="Times New Roman" w:eastAsia="Times New Roman" w:hAnsi="Times New Roman"/>
          <w:sz w:val="18"/>
          <w:szCs w:val="18"/>
          <w:color w:val="auto"/>
        </w:rPr>
      </w:pPr>
    </w:p>
    <w:p>
      <w:pPr>
        <w:ind w:left="4" w:firstLine="419"/>
        <w:spacing w:after="0" w:line="266" w:lineRule="auto"/>
        <w:tabs>
          <w:tab w:leader="none" w:pos="64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later of (a) completion of the distribution of the Shares within the meaning of the Securities Act and (b) completion of the Restricted Period (as defined in Section 7(n) below).</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4"/>
          </w:cols>
          <w:pgMar w:left="876" w:top="270" w:right="459" w:bottom="1440" w:gutter="0" w:footer="0" w:header="0"/>
        </w:sectPr>
      </w:pPr>
    </w:p>
    <w:bookmarkStart w:id="39" w:name="page40"/>
    <w:bookmarkEnd w:id="39"/>
    <w:p>
      <w:pPr>
        <w:ind w:firstLine="419"/>
        <w:spacing w:after="0" w:line="256"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79" w:lineRule="exact"/>
        <w:rPr>
          <w:rFonts w:ascii="Times New Roman" w:cs="Times New Roman" w:eastAsia="Times New Roman" w:hAnsi="Times New Roman"/>
          <w:sz w:val="18"/>
          <w:szCs w:val="18"/>
          <w:color w:val="auto"/>
        </w:rPr>
      </w:pPr>
    </w:p>
    <w:p>
      <w:pPr>
        <w:jc w:val="both"/>
        <w:ind w:right="300" w:firstLine="419"/>
        <w:spacing w:after="0" w:line="261" w:lineRule="auto"/>
        <w:tabs>
          <w:tab w:leader="none" w:pos="63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71" w:lineRule="exact"/>
        <w:rPr>
          <w:rFonts w:ascii="Times New Roman" w:cs="Times New Roman" w:eastAsia="Times New Roman" w:hAnsi="Times New Roman"/>
          <w:sz w:val="18"/>
          <w:szCs w:val="18"/>
          <w:color w:val="auto"/>
        </w:rPr>
      </w:pPr>
    </w:p>
    <w:p>
      <w:pPr>
        <w:ind w:right="40" w:firstLine="419"/>
        <w:spacing w:after="0" w:line="261" w:lineRule="auto"/>
        <w:tabs>
          <w:tab w:leader="none" w:pos="7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Selling Shareholder is not a U.S. person for U.S. federal income tax purposes, the Company will deliver to each Underwriter (or its agent), on or before the Closing Date, (i) a certificate with respect to the Company’s status as a “United States real property holding corporation,” dated not more than thirty (30) days prior to the Closing Date, as described in Treasury Regulations Sections 1.897-2(h) and 1.1445-2(c)(3), and (ii) proof of delivery to the IRS of the required notice, as described in Treasury Regulations 1.897-2(h)(2).</w:t>
      </w:r>
    </w:p>
    <w:p>
      <w:pPr>
        <w:spacing w:after="0" w:line="71"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covenants with each Underwriter that, without the prior written consent of Morgan Stanley &amp; Co. LLC and Goldman Sachs &amp; Co. LLC, it will not, and will not publicly disclose an intention to, during the period ending 90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(2) enter into any hedging, swap or other arrangement that transfers to another, in whole or in part, any of the economic consequences of ownership of the shares of Common Stock, whether any such transaction described in clause (1) or (2) above is to be settled by delivery of shares of Common Stock or such other securities, in cash or otherwise, or (3) confidentially submit any draft registration statement or file any registration statement with the Commission relating to the offering of any shares of Common Stock or any securities convertible into or exercisable or exchangeable for Common Stock.</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40" w:name="page41"/>
    <w:bookmarkEnd w:id="40"/>
    <w:p>
      <w:pPr>
        <w:ind w:firstLine="952"/>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restrictions contained in the preceding paragraph shall not apply to (a) the Shares to be sold hereunder, (b) the issuance by the Company of shares of Common Stock upon the exercise of an option or warrant or the conversion of a security outstanding on the date hereof as described in each of the Time of Sale Prospectus and Prospectus, (c) grants of compensatory equity-based awards, and/or the issuance of shares of Common Stock or securities with respect thereto, made pursuant to compensatory equity-based plans as described in the Time of Sale Prospectus, provided that the Company shall cause each recipient of such grant that is named on Exhibit B hereto, if any, to execute and deliver to the Representatives an agreement substantially in the form of Exhibit A hereto if such recipient has not already delivered one, (d) the reacquisition or withholding of all or a portion of shares of Common Stock subject to a stock award to satisfy a tax withholding obligation of the Company in connection with the vesting or exercise of such stock award or to satisfy the purchase price or exercise price of such stock award, (e) the filing of a registration of Form S-8 to register shares of Common Stock issuable pursuant to any employee benefit plans, qualified stock option plans or other employee compensation plans, described in the Time of Sale Prospectus, (f) any shares of Common Stock issuable pursuant to any non-employee director stock compensation plan or program described in the Time of Sale Prospectus, (g) shares of Common Stock or any securities convertible into, or exercisable or exchangeable for, shares of Common Stock, or the entrance into an agreement to issue shares of Common Stock or any securities convertible into, or exercisable or exchangeable for, shares of Common Stock, in connection with any merger, joint venture, strategic alliances, commercial or other collaborative transaction or the acquisition or licenses of the business, property, technology or other assets of another individual or entity or the assumption of an employee benefit plan in connection with a merger or acquisition;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aggregate number of shares of Common Stock or any other securities convertible into, or exercisable or exchangeable for, shares of Common Stock that the Company may issue or agree to issue pursuant to this clause (g) shall not exceed 5% of the total outstanding share capital of the Company immediately following the issuance of the Shares; and provided further, that the recipients of any such shares of Common Stock and securities issued pursuant to this clause (g) during the 90-day restricted period described above shall enter into an agreement substantially in the form of Exhibit A hereto on or prior to such issuance or (h) facilitating the establishment of a trading plan on behalf of a shareholder, officer or director of the Company pursuant to Rule 10b5-1 under the Exchange Act for the transfer of shares of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plan does not provide for the transfer of shares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shares of Common Stock may be made under such plan during the Restricted Period.</w:t>
      </w:r>
    </w:p>
    <w:p>
      <w:pPr>
        <w:spacing w:after="0" w:line="3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0"/>
          </w:cols>
          <w:pgMar w:left="880" w:top="270" w:right="459" w:bottom="1440" w:gutter="0" w:footer="0" w:header="0"/>
        </w:sectPr>
      </w:pPr>
    </w:p>
    <w:bookmarkStart w:id="41" w:name="page42"/>
    <w:bookmarkEnd w:id="41"/>
    <w:p>
      <w:pPr>
        <w:ind w:left="4" w:right="40" w:firstLine="95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Restricted Period, the Company will enforce all agreements between the Company and any of its securityholders that restrict or prohibit, expressly or in operation, the offer, sale or transfer of any shares of Common Stock or any securities convertible into or exercisable or exchangeable for Common Stock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directors and securityholders pursuant to Section 6(i) hereof.</w:t>
      </w:r>
    </w:p>
    <w:p>
      <w:pPr>
        <w:spacing w:after="0" w:line="185" w:lineRule="exact"/>
        <w:rPr>
          <w:sz w:val="20"/>
          <w:szCs w:val="20"/>
          <w:color w:val="auto"/>
        </w:rPr>
      </w:pPr>
    </w:p>
    <w:p>
      <w:pPr>
        <w:ind w:left="184" w:hanging="184"/>
        <w:spacing w:after="0"/>
        <w:tabs>
          <w:tab w:leader="none" w:pos="1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Selling Shareholder</w:t>
      </w:r>
      <w:r>
        <w:rPr>
          <w:rFonts w:ascii="Times New Roman" w:cs="Times New Roman" w:eastAsia="Times New Roman" w:hAnsi="Times New Roman"/>
          <w:sz w:val="18"/>
          <w:szCs w:val="18"/>
          <w:color w:val="auto"/>
        </w:rPr>
        <w:t>. The Selling Shareholder covenants with each Underwriter as follows:</w:t>
      </w:r>
    </w:p>
    <w:p>
      <w:pPr>
        <w:spacing w:after="0" w:line="119" w:lineRule="exact"/>
        <w:rPr>
          <w:rFonts w:ascii="Times New Roman" w:cs="Times New Roman" w:eastAsia="Times New Roman" w:hAnsi="Times New Roman"/>
          <w:sz w:val="18"/>
          <w:szCs w:val="18"/>
          <w:color w:val="auto"/>
        </w:rPr>
      </w:pPr>
    </w:p>
    <w:p>
      <w:pPr>
        <w:ind w:left="4" w:right="220" w:firstLine="419"/>
        <w:spacing w:after="0" w:line="312" w:lineRule="auto"/>
        <w:tabs>
          <w:tab w:leader="none" w:pos="67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Selling Shareholder will deliver to each Underwriter (or its agent), prior to or at the Closing Date, a properly completed and executed Internal Revenue Service (“IRS”) Form W-9 or an IRS Form W-8, as appropriate, together with all required attachments to such form.</w:t>
      </w:r>
    </w:p>
    <w:p>
      <w:pPr>
        <w:spacing w:after="0" w:line="31" w:lineRule="exact"/>
        <w:rPr>
          <w:rFonts w:ascii="Times New Roman" w:cs="Times New Roman" w:eastAsia="Times New Roman" w:hAnsi="Times New Roman"/>
          <w:sz w:val="17"/>
          <w:szCs w:val="17"/>
          <w:color w:val="auto"/>
        </w:rPr>
      </w:pPr>
    </w:p>
    <w:p>
      <w:pPr>
        <w:ind w:left="4" w:right="40" w:firstLine="419"/>
        <w:spacing w:after="0" w:line="261" w:lineRule="auto"/>
        <w:tabs>
          <w:tab w:leader="none" w:pos="68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will deliver to each Underwriter (or its agent), on the date of execution of this Agreement, a properly completed and executed Certification Regarding Beneficial Owners of Legal Entity Customers, together with copies of identifying documentation, and the Selling Shareholder undertakes to provide such additional supporting documentation as each Underwriter may reasonably request in connection with the verification of the foregoing Certification.</w:t>
      </w:r>
    </w:p>
    <w:p>
      <w:pPr>
        <w:spacing w:after="0" w:line="71" w:lineRule="exact"/>
        <w:rPr>
          <w:rFonts w:ascii="Times New Roman" w:cs="Times New Roman" w:eastAsia="Times New Roman" w:hAnsi="Times New Roman"/>
          <w:sz w:val="18"/>
          <w:szCs w:val="18"/>
          <w:color w:val="auto"/>
        </w:rPr>
      </w:pPr>
    </w:p>
    <w:p>
      <w:pPr>
        <w:ind w:left="4" w:firstLine="419"/>
        <w:spacing w:after="0" w:line="261" w:lineRule="auto"/>
        <w:tabs>
          <w:tab w:leader="none" w:pos="6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by the Selling Shareholder under this Agreement shall be paid free and clear of and without deductions or withholdings of any present or future taxes or duties, unless the deduction or withholding is required by law, in which case the Selling Shareholder shall pay such additional amount as will result in the receipt by each Underwriter of the full amount that would have been received had no deduction or withholding been made.</w:t>
      </w:r>
    </w:p>
    <w:p>
      <w:pPr>
        <w:spacing w:after="0" w:line="71"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8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to an Underwriter shall be considered exclusive of any value added or similar taxes. Where the Selling Shareholder is obliged to pay value added or similar tax on any amount payable hereunder to an Underwriter, the Selling Shareholder shall in addition to the sum payable hereunder pay an amount equal to any applicable value added or similar tax.</w:t>
      </w:r>
    </w:p>
    <w:p>
      <w:pPr>
        <w:spacing w:after="0" w:line="67" w:lineRule="exact"/>
        <w:rPr>
          <w:rFonts w:ascii="Times New Roman" w:cs="Times New Roman" w:eastAsia="Times New Roman" w:hAnsi="Times New Roman"/>
          <w:sz w:val="18"/>
          <w:szCs w:val="18"/>
          <w:color w:val="auto"/>
        </w:rPr>
      </w:pPr>
    </w:p>
    <w:p>
      <w:pPr>
        <w:ind w:left="4" w:right="80" w:firstLine="419"/>
        <w:spacing w:after="0" w:line="258" w:lineRule="auto"/>
        <w:tabs>
          <w:tab w:leader="none" w:pos="6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the Selling Shareholder agrees to pay or cause to be paid all expenses incident to the performance of its obligations under this Agreement, including the fees, disbursements and expenses of the counsel for the Selling Shareholder and all other costs and expenses incident to the performance of the obligations of the Selling Shareholder hereunder for which provision is not otherwise made in this Section. The provisions of this Section 8(e) shall not supersede or otherwise affect any agreement that the Sellers may otherwise have for the allocation of such expenses among themselves.</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4"/>
          </w:cols>
          <w:pgMar w:left="876" w:top="270" w:right="459" w:bottom="1440" w:gutter="0" w:footer="0" w:header="0"/>
        </w:sectPr>
      </w:pPr>
    </w:p>
    <w:bookmarkStart w:id="42" w:name="page43"/>
    <w:bookmarkEnd w:id="42"/>
    <w:p>
      <w:pPr>
        <w:ind w:left="440" w:firstLine="419"/>
        <w:spacing w:after="0" w:line="261" w:lineRule="auto"/>
        <w:tabs>
          <w:tab w:leader="none" w:pos="108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sum payable by the Selling Shareholder under this Agreement is subject to tax in the hands of an Underwriter or taken into account as a receipt in computing the taxable income of that Underwriter (excluding net income taxes on underwriting commissions payable hereunder), the sum payable to the Underwriter under this Agreement shall be increased to such sum as will ensure that the Underwriter shall be left with the sum it would have had in the absence of such tax.</w:t>
      </w:r>
    </w:p>
    <w:p>
      <w:pPr>
        <w:spacing w:after="0" w:line="177" w:lineRule="exact"/>
        <w:rPr>
          <w:rFonts w:ascii="Times New Roman" w:cs="Times New Roman" w:eastAsia="Times New Roman" w:hAnsi="Times New Roman"/>
          <w:sz w:val="18"/>
          <w:szCs w:val="18"/>
          <w:color w:val="auto"/>
        </w:rPr>
      </w:pPr>
    </w:p>
    <w:p>
      <w:pPr>
        <w:ind w:right="380" w:firstLine="436"/>
        <w:spacing w:after="0" w:line="267" w:lineRule="auto"/>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3" w:lineRule="exact"/>
        <w:rPr>
          <w:rFonts w:ascii="Times New Roman" w:cs="Times New Roman" w:eastAsia="Times New Roman" w:hAnsi="Times New Roman"/>
          <w:sz w:val="18"/>
          <w:szCs w:val="18"/>
          <w:color w:val="auto"/>
        </w:rPr>
      </w:pPr>
    </w:p>
    <w:p>
      <w:pPr>
        <w:ind w:firstLine="436"/>
        <w:spacing w:after="0" w:line="252" w:lineRule="auto"/>
        <w:tabs>
          <w:tab w:leader="none" w:pos="71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 (a) The Company agrees to indemnify and hold harmless each Underwriter, each person, if any, who controls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w:t>
      </w:r>
      <w:r>
        <w:rPr>
          <w:rFonts w:ascii="Times New Roman" w:cs="Times New Roman" w:eastAsia="Times New Roman" w:hAnsi="Times New Roman"/>
          <w:sz w:val="18"/>
          <w:szCs w:val="18"/>
          <w:i w:val="1"/>
          <w:iCs w:val="1"/>
          <w:color w:val="auto"/>
        </w:rPr>
        <w:t>as defined in Rule 433(h) under the Securities Act (a “</w:t>
      </w:r>
      <w:r>
        <w:rPr>
          <w:rFonts w:ascii="Times New Roman" w:cs="Times New Roman" w:eastAsia="Times New Roman" w:hAnsi="Times New Roman"/>
          <w:sz w:val="18"/>
          <w:szCs w:val="18"/>
          <w:b w:val="1"/>
          <w:bCs w:val="1"/>
          <w:i w:val="1"/>
          <w:iCs w:val="1"/>
          <w:color w:val="auto"/>
        </w:rPr>
        <w:t>road show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(c) below. The Company agrees and confirms that references to “affiliates” of Morgan Stanley that appear in this Agreement shall be understood to include Mitsubishi UFJ Morgan Stanley Securities Co., Ltd.</w:t>
      </w:r>
    </w:p>
    <w:p>
      <w:pPr>
        <w:spacing w:after="0" w:line="89" w:lineRule="exact"/>
        <w:rPr>
          <w:rFonts w:ascii="Times New Roman" w:cs="Times New Roman" w:eastAsia="Times New Roman" w:hAnsi="Times New Roman"/>
          <w:sz w:val="18"/>
          <w:szCs w:val="18"/>
          <w:color w:val="auto"/>
        </w:rPr>
      </w:pPr>
    </w:p>
    <w:p>
      <w:pPr>
        <w:ind w:left="440" w:right="20" w:firstLine="419"/>
        <w:spacing w:after="0" w:line="252" w:lineRule="auto"/>
        <w:tabs>
          <w:tab w:leader="none" w:pos="111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(c) below, The liability of the Selling Shareholder pursuant to this section 10(b) shall not exceed the proceeds (net of any underwriting discounts and commissions but before deducting expenses) from the sale of the Shares sold by the Selling Shareholder hereunder (the “Selling Shareholder Proceeds”). The Selling Shareholder agrees and confirms that references to “affiliates” of Morgan Stanley that appear in this Agreement shall be understood to include Mitsubishi UFJ Morgan Stanley Securities Co., Ltd.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3" w:name="page44"/>
    <w:bookmarkEnd w:id="43"/>
    <w:p>
      <w:pPr>
        <w:ind w:firstLine="419"/>
        <w:spacing w:after="0" w:line="268" w:lineRule="auto"/>
        <w:tabs>
          <w:tab w:leader="none" w:pos="66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Underwriter agrees, severally and not jointly, to indemnify and hold harmless the Company, the Selling Shareholder, the directors of the Company, the officers of the Company who sign the Registration Statement and each person, if any, who controls the Company or the Selling Shareholder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arise out of, or are based upon,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through the Representatives consists of the following information in the Prospectus: the selling concession figure in the third paragraph and the information set forth in the twelfth paragraph, other than in the third and eighth sentences thereof, in each case under the caption “Underwriting” (the “</w:t>
      </w:r>
      <w:r>
        <w:rPr>
          <w:rFonts w:ascii="Times New Roman" w:cs="Times New Roman" w:eastAsia="Times New Roman" w:hAnsi="Times New Roman"/>
          <w:sz w:val="17"/>
          <w:szCs w:val="17"/>
          <w:b w:val="1"/>
          <w:bCs w:val="1"/>
          <w:color w:val="auto"/>
        </w:rPr>
        <w:t>Underwriting Information</w:t>
      </w:r>
      <w:r>
        <w:rPr>
          <w:rFonts w:ascii="Times New Roman" w:cs="Times New Roman" w:eastAsia="Times New Roman" w:hAnsi="Times New Roman"/>
          <w:sz w:val="17"/>
          <w:szCs w:val="17"/>
          <w:color w:val="auto"/>
        </w:rPr>
        <w:t>”).</w:t>
      </w:r>
    </w:p>
    <w:p>
      <w:pPr>
        <w:spacing w:after="0" w:line="73" w:lineRule="exact"/>
        <w:rPr>
          <w:rFonts w:ascii="Times New Roman" w:cs="Times New Roman" w:eastAsia="Times New Roman" w:hAnsi="Times New Roman"/>
          <w:sz w:val="17"/>
          <w:szCs w:val="17"/>
          <w:color w:val="auto"/>
        </w:rPr>
      </w:pPr>
    </w:p>
    <w:p>
      <w:pPr>
        <w:ind w:firstLine="419"/>
        <w:spacing w:after="0" w:line="252"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10(a), 10(b) or 10(c),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(ii) the fees and expenses of more than one separate firm (in addition to any local counsel) for the Company, its directors, its officers who sign the Registration Statement and each person, if any, who controls the Company within the meaning of either such Section and (iii) the fees and expenses of more than one separate firm (in addition to any local counsel) for the Selling Shareholder and all persons, if any, who control the Selling Shareholder within the meaning of either such Section, and that all such fees and expenses shall be reimbursed as they are incurred. In the case of any such separate firm for the Underwriters and such control persons and affiliates of any Underwriters, such</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0"/>
          </w:cols>
          <w:pgMar w:left="880" w:top="270" w:right="459" w:bottom="1440" w:gutter="0" w:footer="0" w:header="0"/>
        </w:sectPr>
      </w:pPr>
    </w:p>
    <w:bookmarkStart w:id="44" w:name="page45"/>
    <w:bookmarkEnd w:id="44"/>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firm shall be designated in writing by the Representatives. In the case of any such separate firm for the Company, and such directors, officers and control persons of the Company, such firm shall be designated in writing by the Company. In the case of any such separate firm for the Selling Shareholder and such control persons of the Selling Shareholder, such firm shall be designated in writing by the Selling Shareholder.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88" w:lineRule="exact"/>
        <w:rPr>
          <w:sz w:val="20"/>
          <w:szCs w:val="20"/>
          <w:color w:val="auto"/>
        </w:rPr>
      </w:pPr>
    </w:p>
    <w:p>
      <w:pPr>
        <w:ind w:firstLine="419"/>
        <w:spacing w:after="0" w:line="253" w:lineRule="auto"/>
        <w:tabs>
          <w:tab w:leader="none" w:pos="6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10(a), 10(b) or 10(c)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Sellers on the one hand and the Underwriters on the other hand from the offering of the Shares or (ii) if the allocation provided by clause 10(e)(i) above is not permitted by applicable law, in such proportion as is appropriate to reflect not only the relative benefits referred to in clause 10(e)(i)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indemnifying party or parties on the one hand and the indemnified party or parties on the other hand in connection with the offering of the Shares shall be deemed to be in the same respective proportions as the net proceeds from the offering of the Shares (before deducting expenses) received by the Sellers and the total underwriting discounts and commissions received by the Underwriters, in each case as set forth in the table on the cover of the Prospectus, bear to the aggregate</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0"/>
          </w:cols>
          <w:pgMar w:left="880" w:top="270" w:right="459" w:bottom="1440" w:gutter="0" w:footer="0" w:header="0"/>
        </w:sectPr>
      </w:pPr>
    </w:p>
    <w:bookmarkStart w:id="45" w:name="page46"/>
    <w:bookmarkEnd w:id="45"/>
    <w:p>
      <w:pPr>
        <w:ind w:left="44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 Offering Price of the Shares; provided, further, that the liability of the Selling Shareholder pursuant to this Section 10(e) shall not exceed the Selling Shareholder Proceeds. The relative fault of the Sellers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Sellers or by the Underwriters and the parties’ relative intent, knowledge, access to information and opportunity to correct or prevent such statement or omission. The Underwriters’ respective obligations to contribute pursuant to this Section 10 are several in proportion to the respective number of Shares they have purchased hereunder, and not joint.</w:t>
      </w:r>
    </w:p>
    <w:p>
      <w:pPr>
        <w:spacing w:after="0" w:line="79" w:lineRule="exact"/>
        <w:rPr>
          <w:sz w:val="20"/>
          <w:szCs w:val="20"/>
          <w:color w:val="auto"/>
        </w:rPr>
      </w:pPr>
    </w:p>
    <w:p>
      <w:pPr>
        <w:ind w:left="440" w:firstLine="419"/>
        <w:spacing w:after="0" w:line="253" w:lineRule="auto"/>
        <w:tabs>
          <w:tab w:leader="none" w:pos="10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Sellers and the Underwriters agree that it would not be just or equitable if contribution pursuant to this Section 10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10(e). The amount paid or payable by an indemnified party as a result of the losses, claims, damages and liabilities referred to in Section 10(e) shall be deemed to include, subject to the limitations set forth above, any legal or other expenses reasonably incurred by such indemnified party in connection with investigating or defending any such action or claim. Notwithstanding the provisions of this Section 10,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10 are not exclusive and shall not limit any rights or remedies which may otherwise be available to any indemnified party at law or in equity.</w:t>
      </w:r>
    </w:p>
    <w:p>
      <w:pPr>
        <w:spacing w:after="0" w:line="83"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provisions contained in this Section 10 and the representations, warranties and other statements of the Company and the Selling Shareholder contained in this Agreement shall remain operative and in full force and effect regardless of (i) any termination of this Agreement, (ii) any investigation made by or on behalf of any Underwriter, any person controlling any Underwriter or any affiliate of any Underwriter, by or on behalf of the Selling Shareholder or any person controlling the Selling Shareholder, or by or on behalf of the Company, its officers or directors or any person controlling the Company and (iii) acceptance of and payment for any of the Shares.</w:t>
      </w:r>
    </w:p>
    <w:p>
      <w:pPr>
        <w:spacing w:after="0" w:line="181" w:lineRule="exact"/>
        <w:rPr>
          <w:rFonts w:ascii="Times New Roman" w:cs="Times New Roman" w:eastAsia="Times New Roman" w:hAnsi="Times New Roman"/>
          <w:sz w:val="18"/>
          <w:szCs w:val="18"/>
          <w:color w:val="auto"/>
        </w:rPr>
      </w:pPr>
    </w:p>
    <w:p>
      <w:pPr>
        <w:ind w:right="80" w:firstLine="436"/>
        <w:spacing w:after="0" w:line="267" w:lineRule="auto"/>
        <w:tabs>
          <w:tab w:leader="none" w:pos="7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delivery of this Agreement and prior to or on the Closing Date or any Option Closing Date, as the case may be, (i) trading generally shall have been suspended or materially limited on, or by, as the case may be, any of the New York Stock Exchange, the NYSE MKT, the Nasdaq</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46" w:name="page47"/>
    <w:bookmarkEnd w:id="4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Global Market, the Chicago Board of Options Exchange, the Chicago Mercantile Exchange or the Chicago Board of Trade or other relevant exchanges,</w:t>
      </w:r>
    </w:p>
    <w:p>
      <w:pPr>
        <w:spacing w:after="0" w:line="27" w:lineRule="exact"/>
        <w:rPr>
          <w:sz w:val="20"/>
          <w:szCs w:val="20"/>
          <w:color w:val="auto"/>
        </w:rPr>
      </w:pPr>
    </w:p>
    <w:p>
      <w:pPr>
        <w:ind w:left="4" w:right="40" w:hanging="4"/>
        <w:spacing w:after="0" w:line="252" w:lineRule="auto"/>
        <w:tabs>
          <w:tab w:leader="none" w:pos="26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of any securities of the Company shall have been suspended on any exchange or in any over-the-counter market, (iii) a material disruption in securities settlement, payment or clearance services in the United States or other relevant jurisdiction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judgment of the Representatives, is material and adverse and which, singly or together with any other event specified in this clause (v), makes it, in the judgment of the Representatives, impracticable or inadvisable to proceed with the offer, sale or delivery of the Shares on the terms and in the manner contemplated in the Time of Sale Prospectus or the Prospectus.</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7"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Shares that any Underwriter has agreed to purchase pursuant to this Agreement be increased pursuant to this Section 12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the Company and the Selling Shareholder for the purchase of such Firm Shares are not made within 36 hours after such default, this Agreement shall terminate without liability on the part of any non-defaulting Underwriter, the Company or the Selling Shareholder. In any such case either the Representatives or the relevant Sellers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4"/>
          </w:cols>
          <w:pgMar w:left="436" w:top="270" w:right="479" w:bottom="1440" w:gutter="0" w:footer="0" w:header="0"/>
        </w:sectPr>
      </w:pPr>
    </w:p>
    <w:bookmarkStart w:id="47" w:name="page48"/>
    <w:bookmarkEnd w:id="4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any Seller to comply with the terms or to fulfill any of the conditions of this Agreement, or if for any reason any Seller shall be unable to perform its obligations under this Agreement other than by reason of a default by the Underwriters or following termination of this Agreement pursuant to clauses (i), (iii), (iv) or (v) of Section 11, the Sellers will reimburse the Underwriters or such Underwriters as have so terminated this Agreement with respect to themselves, severally, for all out-of-pocket accountable expenses (including the reasonably incurred fees and disbursements of their counsel) actually incurred by such Underwriters in connection with this Agreement or the offering contemplated hereunder.</w:t>
      </w:r>
    </w:p>
    <w:p>
      <w:pPr>
        <w:spacing w:after="0" w:line="185" w:lineRule="exact"/>
        <w:rPr>
          <w:sz w:val="20"/>
          <w:szCs w:val="20"/>
          <w:color w:val="auto"/>
        </w:rPr>
      </w:pPr>
    </w:p>
    <w:p>
      <w:pPr>
        <w:ind w:right="20" w:firstLine="436"/>
        <w:spacing w:after="0" w:line="261" w:lineRule="auto"/>
        <w:tabs>
          <w:tab w:leader="none" w:pos="7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Shares, represents the entire agreement between the Company and the Selling Shareholder, on the one hand, and the Underwriters, on the other, with respect to the preparation of any preliminary prospectus, the Time of Sale Prospectus, the Prospectus, the conduct of the offering, and the purchase and sale of the Shares.</w:t>
      </w:r>
    </w:p>
    <w:p>
      <w:pPr>
        <w:spacing w:after="0" w:line="73" w:lineRule="exact"/>
        <w:rPr>
          <w:rFonts w:ascii="Times New Roman" w:cs="Times New Roman" w:eastAsia="Times New Roman" w:hAnsi="Times New Roman"/>
          <w:sz w:val="18"/>
          <w:szCs w:val="18"/>
          <w:color w:val="auto"/>
        </w:rPr>
      </w:pPr>
    </w:p>
    <w:p>
      <w:pPr>
        <w:ind w:left="440" w:right="100" w:firstLine="419"/>
        <w:spacing w:after="0" w:line="254" w:lineRule="auto"/>
        <w:tabs>
          <w:tab w:leader="none" w:pos="111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Selling Shareholder each acknowledges that in connection with the offering of the Shares: (i) the Underwriters have acted at arm’s length, are not agents of, and owe no fiduciary duties to, the Company, the Selling Shareholder or any other person, (ii) the Underwriters owe the Company and the Selling Shareholder only those duties and obligations set forth in this Agreement, any contemporaneous written agreements and prior written agreements (to the extent not superseded by this Agreement), if any, and (iii) the Underwriters may have interests that differ from those of the Company and the Selling Shareholder, and (iv) none of the activities of the Underwriters in connection with the transactions contemplated herein constitutes a recommendation, investment advice, or solicitation of any action by the Underwriters with respect to any entity or natural person. The Company and the Selling Shareholder waive to the full extent permitted by applicable law any claims it may have against the Underwriters arising from an alleged breach of fiduciary duty in connection with the offering of the Shares.</w:t>
      </w:r>
    </w:p>
    <w:p>
      <w:pPr>
        <w:spacing w:after="0" w:line="83"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0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further acknowledges and agrees that, although the Underwriters may provide the Selling Shareholder with certain Regulation Best Interest and Form CRS disclosures or other related documentation in connection with the offering, the Underwriters are not making a recommendation to the Selling Shareholder to participate in the offering or sell any Shares at the Purchase Price, and nothing set forth in such disclosures or documentation is intended to suggest that any Underwriter is making such a recommendation.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48" w:name="page49"/>
    <w:bookmarkEnd w:id="48"/>
    <w:p>
      <w:pPr>
        <w:ind w:right="120" w:firstLine="436"/>
        <w:spacing w:after="0" w:line="261" w:lineRule="auto"/>
        <w:tabs>
          <w:tab w:leader="none" w:pos="7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ind w:firstLine="436"/>
        <w:spacing w:after="0" w:line="258"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 and Electronic Signatures</w:t>
      </w:r>
      <w:r>
        <w:rPr>
          <w:rFonts w:ascii="Times New Roman" w:cs="Times New Roman" w:eastAsia="Times New Roman" w:hAnsi="Times New Roman"/>
          <w:sz w:val="18"/>
          <w:szCs w:val="18"/>
          <w:color w:val="auto"/>
        </w:rPr>
        <w:t>. This Agreement may be executed in any number of counterparts, each of which shall be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3" w:lineRule="exact"/>
        <w:rPr>
          <w:rFonts w:ascii="Times New Roman" w:cs="Times New Roman" w:eastAsia="Times New Roman" w:hAnsi="Times New Roman"/>
          <w:sz w:val="18"/>
          <w:szCs w:val="18"/>
          <w:color w:val="auto"/>
        </w:rPr>
      </w:pPr>
    </w:p>
    <w:p>
      <w:pPr>
        <w:ind w:right="840" w:firstLine="436"/>
        <w:spacing w:after="0" w:line="315" w:lineRule="auto"/>
        <w:tabs>
          <w:tab w:leader="none" w:pos="71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Applicable Law</w:t>
      </w:r>
      <w:r>
        <w:rPr>
          <w:rFonts w:ascii="Times New Roman" w:cs="Times New Roman" w:eastAsia="Times New Roman" w:hAnsi="Times New Roman"/>
          <w:sz w:val="17"/>
          <w:szCs w:val="17"/>
          <w:color w:val="auto"/>
        </w:rPr>
        <w:t>. This Agreement, any claim, controversy or disputes arising under or related to this Agreement and any transaction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contemplated by this Agreement shall be governed by and construed in accordance with the internal laws of the State of New York.</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8" w:right="459" w:bottom="1440" w:gutter="0" w:footer="0" w:header="0"/>
        </w:sectPr>
      </w:pPr>
    </w:p>
    <w:bookmarkStart w:id="49" w:name="page50"/>
    <w:bookmarkEnd w:id="49"/>
    <w:p>
      <w:pPr>
        <w:ind w:right="540" w:firstLine="987"/>
        <w:spacing w:after="0" w:line="284" w:lineRule="auto"/>
        <w:tabs>
          <w:tab w:leader="none" w:pos="126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a part of this Agreement.</w:t>
      </w:r>
    </w:p>
    <w:p>
      <w:pPr>
        <w:spacing w:after="0" w:line="158" w:lineRule="exact"/>
        <w:rPr>
          <w:rFonts w:ascii="Times New Roman" w:cs="Times New Roman" w:eastAsia="Times New Roman" w:hAnsi="Times New Roman"/>
          <w:sz w:val="18"/>
          <w:szCs w:val="18"/>
          <w:color w:val="auto"/>
        </w:rPr>
      </w:pPr>
    </w:p>
    <w:p>
      <w:pPr>
        <w:ind w:firstLine="987"/>
        <w:spacing w:after="0"/>
        <w:tabs>
          <w:tab w:leader="none" w:pos="126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mailed or sent to the Representatives in care of Morgan Stanley &amp; Co. LLC, 1585 Broadway, New York, New York 10036, Attention: Equity Syndicate Desk, with a copy to the Legal Department; Goldman Sachs &amp; Co. LLC, 200 West Street, New York, New York 10282, Attention: Registration Department; TD Securities (USA) LLC, 1 Vanderbilt Avenue, New York, New York 10017, Attention: Head of Equity Capital Markets, with a copy to </w:t>
      </w:r>
      <w:r>
        <w:rPr>
          <w:rFonts w:ascii="Times New Roman" w:cs="Times New Roman" w:eastAsia="Times New Roman" w:hAnsi="Times New Roman"/>
          <w:sz w:val="18"/>
          <w:szCs w:val="18"/>
          <w:u w:val="single" w:color="auto"/>
          <w:color w:val="auto"/>
        </w:rPr>
        <w:t>CIBLegal@tdsecurities.com</w:t>
      </w:r>
      <w:r>
        <w:rPr>
          <w:rFonts w:ascii="Times New Roman" w:cs="Times New Roman" w:eastAsia="Times New Roman" w:hAnsi="Times New Roman"/>
          <w:sz w:val="18"/>
          <w:szCs w:val="18"/>
          <w:color w:val="auto"/>
        </w:rPr>
        <w:t>; or Stifel, Nicolaus &amp; Company, Incorporated, 787 Seventh Avenue,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10019, to the attention of Equity Capital Markets; if to the Company shall be delivered, mailed or sent to CG Oncology, Inc., 400 Spectrum Center Drive, Suite 2040, Irvine, California 92618, Attention: Chief Executive Officer; and if to the Selling Shareholder shall be delivered, mailed or sent to Charming Jade Limited, C/O Room Nos. 4727-4734, 47/F, Sun Hung Kai Centre, 30 Harbour Road, Wanchai, Hong Kong.</w:t>
      </w:r>
    </w:p>
    <w:p>
      <w:pPr>
        <w:spacing w:after="0" w:line="196"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 Appointment of Agents for Service</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right="60" w:firstLine="408"/>
        <w:spacing w:after="0" w:line="254" w:lineRule="auto"/>
        <w:tabs>
          <w:tab w:leader="none" w:pos="162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irrevocably submits to the non-exclusive jurisdiction of any New York State or United States Federal court sitting in The City of New York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over any suit, action or proceeding arising out of or relating to this Agreement, the Time of Sale Prospectus, the Prospectus, the Registration Statement or the offering of the Shares (each, a “</w:t>
      </w:r>
      <w:r>
        <w:rPr>
          <w:rFonts w:ascii="Times New Roman" w:cs="Times New Roman" w:eastAsia="Times New Roman" w:hAnsi="Times New Roman"/>
          <w:sz w:val="18"/>
          <w:szCs w:val="18"/>
          <w:b w:val="1"/>
          <w:b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The Selling Shareholder irrevocably waives, to the fullest extent permitted by law, any objection which it may now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have to the laying of venue of any Related Proceeding brought in such a court and any claim that any such Related Proceeding brought in such a court has been brought in an inconvenient forum. To the extent that the Selling Shareholder has or hereafter may acquire any immunity (on the grounds of sovereignty or otherwise) from the jurisdiction of any court or from any legal process with respect to itself or its property, the Selling Shareholder irrevocably waives, to the fullest extent permitted by law, such immunity in respect of any such suit, action or proceeding.</w:t>
      </w:r>
    </w:p>
    <w:p>
      <w:pPr>
        <w:spacing w:after="0" w:line="80" w:lineRule="exact"/>
        <w:rPr>
          <w:rFonts w:ascii="Times New Roman" w:cs="Times New Roman" w:eastAsia="Times New Roman" w:hAnsi="Times New Roman"/>
          <w:sz w:val="18"/>
          <w:szCs w:val="18"/>
          <w:color w:val="auto"/>
        </w:rPr>
      </w:pPr>
    </w:p>
    <w:p>
      <w:pPr>
        <w:ind w:left="980" w:firstLine="408"/>
        <w:spacing w:after="0" w:line="238" w:lineRule="auto"/>
        <w:tabs>
          <w:tab w:leader="none" w:pos="16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herby irrevocably appoints ORI Capital US Limited, with offices at 12 Michigan Drive,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Natick, Massachusetts, 01760, as its agent for service of process in any Related Proceeding and agrees that service of process in any such Related Proceeding may be made upon it at the office of such agent. The Selling Shareholder waives, to the fullest extent permitted by law, any other requirements of or objections to personal jurisdiction with respect thereto. The Selling Shareholder represents and warrants that such agent has agreed to act as the Selling Shareholder’s agent for service of process, and the Selling Shareholder agrees to take any and all action, including the filing of any and all documents and instruments, that may be necessary to continue such appointment in full force and effect.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8" w:right="459" w:bottom="1440" w:gutter="0" w:footer="0" w:header="0"/>
        </w:sectPr>
      </w:pPr>
    </w:p>
    <w:bookmarkStart w:id="50" w:name="page51"/>
    <w:bookmarkEnd w:id="50"/>
    <w:p>
      <w:pPr>
        <w:ind w:firstLine="987"/>
        <w:spacing w:after="0" w:line="253" w:lineRule="auto"/>
        <w:tabs>
          <w:tab w:leader="none" w:pos="126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into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Selling Shareholder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Selling Shareholder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Selling Shareholder an amount equal to the excess of the dollars so purchased over the sum originally due to such Underwriter or controlling person 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8" w:right="459" w:bottom="1440" w:gutter="0" w:footer="0" w:header="0"/>
        </w:sectPr>
      </w:pPr>
    </w:p>
    <w:bookmarkStart w:id="51" w:name="page52"/>
    <w:bookmarkEnd w:id="5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CG ONCOLOGY, INC.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Underwriting Agreement]</w:t>
      </w:r>
    </w:p>
    <w:p>
      <w:pPr>
        <w:sectPr>
          <w:pgSz w:w="11900" w:h="16838" w:orient="portrait"/>
          <w:cols w:equalWidth="0" w:num="1">
            <w:col w:w="9019"/>
          </w:cols>
          <w:pgMar w:left="1440" w:top="270" w:right="1440" w:bottom="1440" w:gutter="0" w:footer="0" w:header="0"/>
        </w:sectPr>
      </w:pPr>
    </w:p>
    <w:bookmarkStart w:id="52" w:name="page53"/>
    <w:bookmarkEnd w:id="5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Selling Shareholder named in Schedule II hereto</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Attorney-in Fact</w:t>
      </w:r>
    </w:p>
    <w:p>
      <w:pPr>
        <w:spacing w:after="0" w:line="13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9440"/>
          </w:cols>
          <w:pgMar w:left="1440" w:top="270" w:right="10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3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560" w:type="dxa"/>
            <w:vAlign w:val="bottom"/>
            <w:vMerge w:val="restart"/>
          </w:tcPr>
          <w:p>
            <w:pPr>
              <w:spacing w:after="0"/>
              <w:rPr>
                <w:sz w:val="13"/>
                <w:szCs w:val="13"/>
                <w:color w:val="auto"/>
              </w:rPr>
            </w:pPr>
          </w:p>
        </w:tc>
        <w:tc>
          <w:tcPr>
            <w:tcW w:w="2420" w:type="dxa"/>
            <w:vAlign w:val="bottom"/>
          </w:tcPr>
          <w:p>
            <w:pPr>
              <w:spacing w:after="0"/>
              <w:rPr>
                <w:sz w:val="13"/>
                <w:szCs w:val="13"/>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Firm Shares To</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2420" w:type="dxa"/>
            <w:vAlign w:val="bottom"/>
          </w:tcPr>
          <w:p>
            <w:pPr>
              <w:spacing w:after="0"/>
              <w:rPr>
                <w:sz w:val="15"/>
                <w:szCs w:val="15"/>
                <w:color w:val="auto"/>
              </w:rPr>
            </w:pPr>
          </w:p>
        </w:tc>
        <w:tc>
          <w:tcPr>
            <w:tcW w:w="1720" w:type="dxa"/>
            <w:vAlign w:val="bottom"/>
            <w:gridSpan w:val="2"/>
          </w:tcPr>
          <w:p>
            <w:pPr>
              <w:ind w:left="420"/>
              <w:spacing w:after="0" w:line="160"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24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1480"/>
              <w:spacing w:after="0" w:line="203" w:lineRule="exact"/>
              <w:rPr>
                <w:sz w:val="20"/>
                <w:szCs w:val="20"/>
                <w:color w:val="auto"/>
              </w:rPr>
            </w:pPr>
            <w:r>
              <w:rPr>
                <w:rFonts w:ascii="Times New Roman" w:cs="Times New Roman" w:eastAsia="Times New Roman" w:hAnsi="Times New Roman"/>
                <w:sz w:val="18"/>
                <w:szCs w:val="18"/>
                <w:color w:val="auto"/>
                <w:w w:val="87"/>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420" w:type="dxa"/>
            <w:vAlign w:val="bottom"/>
          </w:tcPr>
          <w:p>
            <w:pPr>
              <w:spacing w:after="0"/>
              <w:rPr>
                <w:sz w:val="18"/>
                <w:szCs w:val="18"/>
                <w:color w:val="auto"/>
              </w:rPr>
            </w:pPr>
          </w:p>
        </w:tc>
        <w:tc>
          <w:tcPr>
            <w:tcW w:w="17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2420" w:type="dxa"/>
            <w:vAlign w:val="bottom"/>
          </w:tcPr>
          <w:p>
            <w:pPr>
              <w:spacing w:after="0"/>
              <w:rPr>
                <w:sz w:val="18"/>
                <w:szCs w:val="18"/>
                <w:color w:val="auto"/>
              </w:rPr>
            </w:pPr>
          </w:p>
        </w:tc>
        <w:tc>
          <w:tcPr>
            <w:tcW w:w="17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2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Pr>
          <w:p>
            <w:pPr>
              <w:spacing w:after="0"/>
              <w:rPr>
                <w:sz w:val="18"/>
                <w:szCs w:val="18"/>
                <w:color w:val="auto"/>
              </w:rPr>
            </w:pPr>
          </w:p>
        </w:tc>
        <w:tc>
          <w:tcPr>
            <w:tcW w:w="17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1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bl>
    <w:p>
      <w:pPr>
        <w:sectPr>
          <w:pgSz w:w="11900" w:h="16838" w:orient="portrait"/>
          <w:cols w:equalWidth="0" w:num="1">
            <w:col w:w="10020"/>
          </w:cols>
          <w:pgMar w:left="1440" w:top="266" w:right="4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3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Shareholder</w:t>
            </w:r>
          </w:p>
        </w:tc>
        <w:tc>
          <w:tcPr>
            <w:tcW w:w="1440" w:type="dxa"/>
            <w:vAlign w:val="bottom"/>
            <w:vMerge w:val="restart"/>
          </w:tcPr>
          <w:p>
            <w:pPr>
              <w:spacing w:after="0"/>
              <w:rPr>
                <w:sz w:val="13"/>
                <w:szCs w:val="13"/>
                <w:color w:val="auto"/>
              </w:rPr>
            </w:pPr>
          </w:p>
        </w:tc>
        <w:tc>
          <w:tcPr>
            <w:tcW w:w="3100" w:type="dxa"/>
            <w:vAlign w:val="bottom"/>
          </w:tcPr>
          <w:p>
            <w:pPr>
              <w:spacing w:after="0"/>
              <w:rPr>
                <w:sz w:val="13"/>
                <w:szCs w:val="13"/>
                <w:color w:val="auto"/>
              </w:rPr>
            </w:pPr>
          </w:p>
        </w:tc>
        <w:tc>
          <w:tcPr>
            <w:tcW w:w="1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Firm Shares To</w:t>
            </w:r>
          </w:p>
        </w:tc>
        <w:tc>
          <w:tcPr>
            <w:tcW w:w="0" w:type="dxa"/>
            <w:vAlign w:val="bottom"/>
          </w:tcPr>
          <w:p>
            <w:pPr>
              <w:spacing w:after="0"/>
              <w:rPr>
                <w:sz w:val="1"/>
                <w:szCs w:val="1"/>
                <w:color w:val="auto"/>
              </w:rPr>
            </w:pPr>
          </w:p>
        </w:tc>
      </w:tr>
      <w:tr>
        <w:trPr>
          <w:trHeight w:val="180"/>
        </w:trPr>
        <w:tc>
          <w:tcPr>
            <w:tcW w:w="1220" w:type="dxa"/>
            <w:vAlign w:val="bottom"/>
            <w:tcBorders>
              <w:bottom w:val="single" w:sz="8" w:color="auto"/>
            </w:tcBorders>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3100" w:type="dxa"/>
            <w:vAlign w:val="bottom"/>
          </w:tcPr>
          <w:p>
            <w:pPr>
              <w:spacing w:after="0"/>
              <w:rPr>
                <w:sz w:val="15"/>
                <w:szCs w:val="15"/>
                <w:color w:val="auto"/>
              </w:rPr>
            </w:pPr>
          </w:p>
        </w:tc>
        <w:tc>
          <w:tcPr>
            <w:tcW w:w="17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203"/>
        </w:trPr>
        <w:tc>
          <w:tcPr>
            <w:tcW w:w="2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Charming Jade Limited</w:t>
            </w:r>
          </w:p>
        </w:tc>
        <w:tc>
          <w:tcPr>
            <w:tcW w:w="3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1480"/>
              <w:spacing w:after="0" w:line="203" w:lineRule="exact"/>
              <w:rPr>
                <w:sz w:val="20"/>
                <w:szCs w:val="20"/>
                <w:color w:val="auto"/>
              </w:rPr>
            </w:pPr>
            <w:r>
              <w:rPr>
                <w:rFonts w:ascii="Times New Roman" w:cs="Times New Roman" w:eastAsia="Times New Roman" w:hAnsi="Times New Roman"/>
                <w:sz w:val="18"/>
                <w:szCs w:val="18"/>
                <w:color w:val="auto"/>
                <w:w w:val="87"/>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tcPr>
          <w:p>
            <w:pPr>
              <w:spacing w:after="0"/>
              <w:rPr>
                <w:sz w:val="18"/>
                <w:szCs w:val="18"/>
                <w:color w:val="auto"/>
              </w:rPr>
            </w:pPr>
          </w:p>
        </w:tc>
        <w:tc>
          <w:tcPr>
            <w:tcW w:w="17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bl>
    <w:p>
      <w:pPr>
        <w:sectPr>
          <w:pgSz w:w="11900" w:h="16838" w:orient="portrait"/>
          <w:cols w:equalWidth="0" w:num="1">
            <w:col w:w="10020"/>
          </w:cols>
          <w:pgMar w:left="1440" w:top="266" w:right="4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issued December [•], 2024</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Firm Shares: [•]</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Additional Shares: [•]</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Public Offering Price: $[•] per share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1024"/>
          </w:cols>
          <w:pgMar w:left="436" w:top="266" w:right="4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Testing-the-Waters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IV-1</w:t>
      </w:r>
    </w:p>
    <w:p>
      <w:pPr>
        <w:sectPr>
          <w:pgSz w:w="11900" w:h="16838" w:orient="portrait"/>
          <w:cols w:equalWidth="0" w:num="1">
            <w:col w:w="11020"/>
          </w:cols>
          <w:pgMar w:left="440" w:top="266" w:right="4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_____________,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ectPr>
          <w:pgSz w:w="11900" w:h="16838" w:orient="portrait"/>
          <w:cols w:equalWidth="0" w:num="1">
            <w:col w:w="11020"/>
          </w:cols>
          <w:pgMar w:left="440" w:top="266"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New York 10036</w:t>
      </w:r>
    </w:p>
    <w:p>
      <w:pPr>
        <w:spacing w:after="0" w:line="200" w:lineRule="exact"/>
        <w:rPr>
          <w:sz w:val="20"/>
          <w:szCs w:val="20"/>
          <w:color w:val="auto"/>
        </w:rPr>
      </w:pPr>
    </w:p>
    <w:p>
      <w:pPr>
        <w:sectPr>
          <w:pgSz w:w="11900" w:h="16838" w:orient="portrait"/>
          <w:cols w:equalWidth="0" w:num="2">
            <w:col w:w="220" w:space="200"/>
            <w:col w:w="10600"/>
          </w:cols>
          <w:pgMar w:left="440" w:top="266" w:right="4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New York 10282</w:t>
      </w:r>
    </w:p>
    <w:p>
      <w:pPr>
        <w:spacing w:after="0" w:line="200" w:lineRule="exact"/>
        <w:rPr>
          <w:sz w:val="20"/>
          <w:szCs w:val="20"/>
          <w:color w:val="auto"/>
        </w:rPr>
      </w:pPr>
    </w:p>
    <w:p>
      <w:pPr>
        <w:sectPr>
          <w:pgSz w:w="11900" w:h="16838" w:orient="portrait"/>
          <w:cols w:equalWidth="0" w:num="2">
            <w:col w:w="220" w:space="200"/>
            <w:col w:w="10600"/>
          </w:cols>
          <w:pgMar w:left="440" w:top="266" w:right="4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200" w:lineRule="exact"/>
        <w:rPr>
          <w:sz w:val="20"/>
          <w:szCs w:val="20"/>
          <w:color w:val="auto"/>
        </w:rPr>
      </w:pPr>
    </w:p>
    <w:p>
      <w:pPr>
        <w:sectPr>
          <w:pgSz w:w="11900" w:h="16838" w:orient="portrait"/>
          <w:cols w:equalWidth="0" w:num="2">
            <w:col w:w="220" w:space="200"/>
            <w:col w:w="10600"/>
          </w:cols>
          <w:pgMar w:left="440" w:top="266" w:right="4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Stifel, Nicolaus &amp; Company, Incorporated</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787 7</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Avenue, 11</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0" w:lineRule="exact"/>
        <w:rPr>
          <w:sz w:val="20"/>
          <w:szCs w:val="20"/>
          <w:color w:val="auto"/>
        </w:rPr>
      </w:pPr>
    </w:p>
    <w:p>
      <w:pPr>
        <w:sectPr>
          <w:pgSz w:w="11900" w:h="16838" w:orient="portrait"/>
          <w:cols w:equalWidth="0" w:num="2">
            <w:col w:w="220" w:space="200"/>
            <w:col w:w="10600"/>
          </w:cols>
          <w:pgMar w:left="440" w:top="266"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Morgan Stanley &amp; Co. LLC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Goldman Sachs &amp; Co. LLC (“</w:t>
      </w:r>
      <w:r>
        <w:rPr>
          <w:rFonts w:ascii="Times New Roman" w:cs="Times New Roman" w:eastAsia="Times New Roman" w:hAnsi="Times New Roman"/>
          <w:sz w:val="18"/>
          <w:szCs w:val="18"/>
          <w:b w:val="1"/>
          <w:bCs w:val="1"/>
          <w:color w:val="auto"/>
        </w:rPr>
        <w:t>Goldman Sachs</w:t>
      </w:r>
      <w:r>
        <w:rPr>
          <w:rFonts w:ascii="Times New Roman" w:cs="Times New Roman" w:eastAsia="Times New Roman" w:hAnsi="Times New Roman"/>
          <w:sz w:val="18"/>
          <w:szCs w:val="18"/>
          <w:color w:val="auto"/>
        </w:rPr>
        <w:t>”), TD Securities (USA) LLC (“</w:t>
      </w:r>
      <w:r>
        <w:rPr>
          <w:rFonts w:ascii="Times New Roman" w:cs="Times New Roman" w:eastAsia="Times New Roman" w:hAnsi="Times New Roman"/>
          <w:sz w:val="18"/>
          <w:szCs w:val="18"/>
          <w:b w:val="1"/>
          <w:bCs w:val="1"/>
          <w:color w:val="auto"/>
        </w:rPr>
        <w:t>TD Cowen</w:t>
      </w:r>
      <w:r>
        <w:rPr>
          <w:rFonts w:ascii="Times New Roman" w:cs="Times New Roman" w:eastAsia="Times New Roman" w:hAnsi="Times New Roman"/>
          <w:sz w:val="18"/>
          <w:szCs w:val="18"/>
          <w:color w:val="auto"/>
        </w:rPr>
        <w:t>”) and Stifel, Nicolaus &amp; Company, Incorporated (together with Morgan Stanley, Goldman Sachs and TD Cowen,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as representatives of the several Underwriters, propose to enter into an Underwriting Agreement (the “</w:t>
      </w:r>
      <w:r>
        <w:rPr>
          <w:rFonts w:ascii="Times New Roman" w:cs="Times New Roman" w:eastAsia="Times New Roman" w:hAnsi="Times New Roman"/>
          <w:sz w:val="18"/>
          <w:szCs w:val="18"/>
          <w:b w:val="1"/>
          <w:b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CG Oncology,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Selling Shareholder (as defined in the Underwriting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several Underwriters, including the Representatives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common stock, par value $0.0001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Company and the Selling Shareholder are hereinafter sometimes collectively referred to as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type w:val="continuous"/>
        </w:sectPr>
      </w:pPr>
    </w:p>
    <w:bookmarkStart w:id="59" w:name="page60"/>
    <w:bookmarkEnd w:id="59"/>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induce the Underwriters that may participate in the Public Offering to continue their efforts in connection with the Public Offering, the undersigned hereby agrees that, without the prior written consent of Morgan Stanley and Goldman Sachs on behalf of the Underwriters, it will not, and will not publicly disclose an intention to, during the period commencing on the date hereof and ending 90 days after the date of the final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by the undersigned or any other securities so owned convertible into or exercisable or exchangeable for Common Stock or (2) enter into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shares of Common Stock, or securities convertible into or exercisable or exchangeable for Common Stock, even if any such sale or disposition transaction or transactions would be made or executed by or on behalf of someone other than the undersigned.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paragraph shall not apply to:</w:t>
      </w:r>
    </w:p>
    <w:p>
      <w:pPr>
        <w:spacing w:after="0" w:line="117" w:lineRule="exact"/>
        <w:rPr>
          <w:sz w:val="20"/>
          <w:szCs w:val="20"/>
          <w:color w:val="auto"/>
        </w:rPr>
      </w:pPr>
    </w:p>
    <w:p>
      <w:pPr>
        <w:ind w:right="180" w:firstLine="436"/>
        <w:spacing w:after="0" w:line="261"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shares of Common Stock or other securities acquired in the Public Offering or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or other public announcement shall be voluntarily made during the Restricted Period in connection with subsequent sales of Common Stock or other securities acquired in the Public Offering or in such open market transactions;</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or any security convertible into Common Stock (i) as a bona fide gift, (ii) to an immediate family member (as defined below) or to any trust for the direct or indirect benefit of the undersigned or an immediate family member of the undersigned, (iii) to any corporation, partnership, limited liability company, investment fund, trust or other entity of which the undersigned and the immediate family of the undersigned are the legal and beneficial owner of all of the outstanding equity securities or similar interests, or (iv) by will, other testamentary document or intestate succession to the legal representative, heir, beneficiary or an immediate family member of the undersigned;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or distribution pursuant to this clause (b), (A) such transfer shall not involve a disposition for value, (B) each donee, distributee or transferee shall sign and deliver a lock-up agreement substantially in the form of this agreement and (C) no public disclosure or filing shall be made voluntarily during the Restricted Period, and to the extent a filing under Section 16(a) of the Exchange Act is required during the Restricted Period as a result of transfers made pursuant to this clause (b), it shall clearly indicate that the filing relates to the circumstances described in this clause (b), including that the securities remain subject to the terms of this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0" w:name="page61"/>
    <w:bookmarkEnd w:id="60"/>
    <w:p>
      <w:pPr>
        <w:ind w:left="4" w:right="20" w:firstLine="436"/>
        <w:spacing w:after="0" w:line="253" w:lineRule="auto"/>
        <w:tabs>
          <w:tab w:leader="none" w:pos="68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undersigned is a corporation, partnership, limited liability company, trust or other business entity, (i) transfers or distributions of shares of Common Stock or any security convertible into shares of Common Stock to current or former general or limited partners, managers or members, stockholders, other equityholders or direct or indirect affiliates (within the meaning of Rule 405 under the Securities Act of 1933, as amended) of the undersigned, or to the estates of any of the foregoing or (ii) transfers or distributions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or distribution pursuant to this clause (c), (A) each transferee, donee or distributee shall sign and deliver a lock-up agreement substantially in the form of this agreement, (B) no filing under Section 16(a) of the Exchange Act or other public announcement reporting a reduction in beneficial ownership of shares of Common Stock shall be required or shall be voluntarily made during the Restricted Period (other than a required filing on Schedule 13D, 13F or 13G) and (C) such transfer shall not involve a disposition for value;</w:t>
      </w:r>
    </w:p>
    <w:p>
      <w:pPr>
        <w:spacing w:after="0" w:line="190" w:lineRule="exact"/>
        <w:rPr>
          <w:rFonts w:ascii="Times New Roman" w:cs="Times New Roman" w:eastAsia="Times New Roman" w:hAnsi="Times New Roman"/>
          <w:sz w:val="18"/>
          <w:szCs w:val="18"/>
          <w:color w:val="auto"/>
        </w:rPr>
      </w:pPr>
    </w:p>
    <w:p>
      <w:pPr>
        <w:ind w:left="4" w:right="100" w:firstLine="436"/>
        <w:spacing w:after="0" w:line="270" w:lineRule="auto"/>
        <w:tabs>
          <w:tab w:leader="none" w:pos="699"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sales of the undersigned’s Shares made pursuant to a 10b5-1 trading plan (“</w:t>
      </w:r>
      <w:r>
        <w:rPr>
          <w:rFonts w:ascii="Times New Roman" w:cs="Times New Roman" w:eastAsia="Times New Roman" w:hAnsi="Times New Roman"/>
          <w:sz w:val="17"/>
          <w:szCs w:val="17"/>
          <w:b w:val="1"/>
          <w:bCs w:val="1"/>
          <w:color w:val="auto"/>
        </w:rPr>
        <w:t>10b5-1 Trading Plan</w:t>
      </w:r>
      <w:r>
        <w:rPr>
          <w:rFonts w:ascii="Times New Roman" w:cs="Times New Roman" w:eastAsia="Times New Roman" w:hAnsi="Times New Roman"/>
          <w:sz w:val="17"/>
          <w:szCs w:val="17"/>
          <w:color w:val="auto"/>
        </w:rPr>
        <w:t>”) that is designed to comply with Rule 10b5-1 under the Exchange Act that has been entered into by the undersigned prior to the date of this agreement and a copy of which has been provided to the Representatives and their counsel, provided that to the extent a public announcement or filing under the Exchange Act, if any, is required of the undersigned or the Company regarding any such sales, such announcement or filing shall include a statement to the effect that any sales were effected pursuant to such 10b5-1 Trading Plan and no other public announcement shall be required or shall be made voluntarily in connection with such sales or</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6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facilitating the establishment or amendment of a 10b5-1 Trading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plan does not provide for the transfer of Common Stock during the Restricted Period and (y) to the extent a public announcement or filing under the Exchange Act, if any, is required of the undersigned or the Company regarding the establishment or amendment of such plan during the Restricted Period, such announcement or filing shall include a statement to the effect that no transfer of Common Stock may be made under such plan during the Restricted Period;</w:t>
      </w:r>
    </w:p>
    <w:p>
      <w:pPr>
        <w:spacing w:after="0" w:line="188"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8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other securities to the Company to satisfy any tax, including estimated tax, remittance, or other payment obligations of the undersigned arising in connection with a vesting event of the Company’s securities, upon the settlement of restricted stock units or the payment due for the exercise of options (including a transfer to the Company for the “net” or “cashless” exercise of options) or other rights to purchase securities of the Company, in all such cases pursuant to equity awards granted under a stock incentive plan or other equity award plan of the Company described in the Prospectus or a document incorporated by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61" w:name="page62"/>
    <w:bookmarkEnd w:id="61"/>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reference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remaining shares of Common Stock or other securities received upon such vesting, settlement or exercise shall be subject to the terms of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no public disclosure or filing shall be made voluntarily during the Restricted Period and, to the extent a filing under Section 16(a) of the Exchange Act is required during the Restricted Period as a result of transfers made pursuant to this clause (e), it shall clearly indicate that the filing relates to the circumstances described in this clause (e), including that the securities remain subject to the terms of this agreement;</w:t>
      </w:r>
    </w:p>
    <w:p>
      <w:pPr>
        <w:spacing w:after="0" w:line="185" w:lineRule="exact"/>
        <w:rPr>
          <w:sz w:val="20"/>
          <w:szCs w:val="20"/>
          <w:color w:val="auto"/>
        </w:rPr>
      </w:pPr>
    </w:p>
    <w:p>
      <w:pPr>
        <w:jc w:val="both"/>
        <w:ind w:right="140" w:firstLine="436"/>
        <w:spacing w:after="0" w:line="257" w:lineRule="auto"/>
        <w:tabs>
          <w:tab w:leader="none" w:pos="6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shares of Common Stock or any other securities that occurs by operation of law pursuant to a qualified domestic order or other court order in connection with a divorce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transferee shall sign and deliver a lock- up agreement substantially in the form of this agreement, (ii) no public disclosure or filing shall be voluntarily made during the Restricted Period and (iii) any filing required under</w:t>
      </w:r>
    </w:p>
    <w:p>
      <w:pPr>
        <w:spacing w:after="0" w:line="1" w:lineRule="exact"/>
        <w:rPr>
          <w:rFonts w:ascii="Times New Roman" w:cs="Times New Roman" w:eastAsia="Times New Roman" w:hAnsi="Times New Roman"/>
          <w:sz w:val="18"/>
          <w:szCs w:val="18"/>
          <w:color w:val="auto"/>
        </w:rPr>
      </w:pPr>
    </w:p>
    <w:p>
      <w:pPr>
        <w:ind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16(a) of the Exchange Act during the Restricted Period shall clearly indicate in the footnotes thereto that the filing relates to the circumstances described in this clause (f);</w:t>
      </w:r>
    </w:p>
    <w:p>
      <w:pPr>
        <w:spacing w:after="0" w:line="18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the Company (A) from an employee of the Company upon death, disability or termination of employment, in each case, of such employee or (B) pursuant to any contractual arrangement described in the Prospectus or any document incorporated by reference therein, or in an exhibit filed with the registration statement related to the Public Offering and disclosed to the Representatives that provides for the repurchase of shares of Common Stock in connection with the termination of the undersigned’s employment with or service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 (B), no public disclosure or filing under Section 16(a) of the Exchange Act shall be required or shall be voluntarily made during the Restricted Period within the first 60 days after the date of the Prospectus, and after such 60th day, to the extent a filing under Section 16(a) of the Exchange Act is required during the Restricted Period as a result of transfers made pursuant to this clause (g), it shall clearly indicate that the filing relates to the circumstances described in this clause (g) and no public disclosure or filing shall be voluntarily made; or</w:t>
      </w:r>
    </w:p>
    <w:p>
      <w:pPr>
        <w:spacing w:after="0" w:line="191"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shares of Common Stock or any other securities pursuant to a bona fide third- party tender offer, merger, consolidation or other similar transaction that is approved by the Board of Directors of the Company, made to all holders of Common Stock involving a change of control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tender offer, merger, consolidation or other such transaction is not completed, the Common Stock owned by the undersigned shall remain subject to the restrictions contained in this agreement.</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As used herein, (i) “immediate family member” means the spouse, domestic partner, lineal descendant, father, mother, brother, sister, or any other person with whom the undersigned has a relationship by blood, marriage or adoption not more remote than first cousin and (ii) “change of control” shall mean the transfer (whether by tender offer, merger, consolidation or other similar transaction), in one transaction or a series of related transactions, to a person or group of affiliated persons (other than an Underwriter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8" w:right="439" w:bottom="1440" w:gutter="0" w:footer="0" w:header="0"/>
        </w:sectPr>
      </w:pPr>
    </w:p>
    <w:bookmarkStart w:id="62" w:name="page63"/>
    <w:bookmarkEnd w:id="62"/>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Public Offering), of the Company’s voting securities if, after such transfer, such person or group of affiliated persons would hold more than 50% of the number of outstanding voting securities of the Company (or the surviving entity) and 50% of the voting control of the outstanding voting securities of the Company (or the surviving entity).</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Morgan Stanley and Goldman Sachs on behalf of the Underwriters, it will not, and will not publicly disclose an intention to,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3"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Sellers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 The undersigned further acknowledges and agrees that none of the Underwriters has made any recommendation or provided any investment or other advice to the undersigned with respect to this agreement or the subject matter hereof, and the undersigned has consulted its own legal, accounting, financial, regulatory, tax and other advisors with respect to this agreement and the subject matter hereof to the extent the undersigned has deemed appropriate.</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agreement shall automatically terminate and the undersigned will be released from all obligations hereunder upon the earliest to occur, if any, of (a) the Company, on the one hand, or the Representatives, on the other hand, advising the other in writing that it has determined not to proceed with the Public Offering prior to the execution of the Underwriting Agreement, (b) the date the registration statement on Form S-1 is withdrawn prior to the execution of the Underwriting Agreement, (c) the date the Underwriting Agreement is terminated (other than the provisions thereof that survive termination), if prior to the closing of the Public Offering, and (d) December 31, 2024, if the Underwriting Agreement has not been executed by such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63" w:name="page64"/>
    <w:bookmarkEnd w:id="63"/>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signature so delivered shall be deemed to have been duly and validly delivered and be valid and effective for all purposes.</w:t>
      </w:r>
    </w:p>
    <w:p>
      <w:pPr>
        <w:spacing w:after="0" w:line="15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Sellers and the Underwriters.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308610</wp:posOffset>
            </wp:positionV>
            <wp:extent cx="27946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Name of Securityholder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291465</wp:posOffset>
            </wp:positionV>
            <wp:extent cx="25628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292735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i w:val="1"/>
          <w:iCs w:val="1"/>
          <w:color w:val="auto"/>
        </w:rPr>
        <w:t>(indicate capacity of person signing if signing as</w:t>
      </w:r>
    </w:p>
    <w:p>
      <w:pPr>
        <w:spacing w:after="0" w:line="4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custodian, trustee, or on behalf of an entity)</w:t>
      </w:r>
    </w:p>
    <w:p>
      <w:pPr>
        <w:sectPr>
          <w:pgSz w:w="11900" w:h="16838" w:orient="portrait"/>
          <w:cols w:equalWidth="0" w:num="1">
            <w:col w:w="10040"/>
          </w:cols>
          <w:pgMar w:left="880" w:top="270" w:right="97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Kuan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Susan Graf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Liu, M.D.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J. Mulé, IPh.D.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Leonard Post, Ph.D.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Simone Song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 Tong Jr.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Ambaw Bellete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Vijay Kasturi, M.D.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 Patterson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Corleen Roche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Affiliated Funds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Charming Jade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Decheng Capital Global Life Sciences Fund IV,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Longitude Prime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Longitude Venture Partners IV.,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Unique Diamond Investments Limited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t>
      </w:r>
    </w:p>
    <w:p>
      <w:pPr>
        <w:sectPr>
          <w:pgSz w:w="11900" w:h="16838" w:orient="portrait"/>
          <w:cols w:equalWidth="0" w:num="1">
            <w:col w:w="11020"/>
          </w:cols>
          <w:pgMar w:left="440" w:top="266" w:right="4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174115" cy="386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Divakar Gupta</w:t>
      </w:r>
    </w:p>
    <w:p>
      <w:pPr>
        <w:spacing w:after="0" w:line="14" w:lineRule="exact"/>
        <w:rPr>
          <w:sz w:val="20"/>
          <w:szCs w:val="20"/>
          <w:color w:val="auto"/>
        </w:rPr>
      </w:pPr>
    </w:p>
    <w:p>
      <w:pPr>
        <w:ind w:left="4" w:right="9400" w:hanging="4"/>
        <w:spacing w:after="0" w:line="279" w:lineRule="auto"/>
        <w:tabs>
          <w:tab w:leader="none" w:pos="194" w:val="left"/>
        </w:tabs>
        <w:numPr>
          <w:ilvl w:val="0"/>
          <w:numId w:val="68"/>
        </w:numPr>
        <w:rPr>
          <w:rFonts w:ascii="Arial" w:cs="Arial" w:eastAsia="Arial" w:hAnsi="Arial"/>
          <w:sz w:val="17"/>
          <w:szCs w:val="17"/>
          <w:color w:val="auto"/>
        </w:rPr>
      </w:pPr>
      <w:r>
        <w:rPr>
          <w:rFonts w:ascii="Arial" w:cs="Arial" w:eastAsia="Arial" w:hAnsi="Arial"/>
          <w:sz w:val="17"/>
          <w:szCs w:val="17"/>
          <w:color w:val="auto"/>
        </w:rPr>
        <w:t>(212) 479 6474 dgupta@cooley.com</w:t>
      </w:r>
    </w:p>
    <w:p>
      <w:pPr>
        <w:spacing w:after="0" w:line="36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11, 2024</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CG Oncology,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400 Spectrum Center Drive, Suite 1040</w:t>
      </w:r>
    </w:p>
    <w:p>
      <w:pPr>
        <w:ind w:left="4"/>
        <w:spacing w:after="0"/>
        <w:rPr>
          <w:sz w:val="20"/>
          <w:szCs w:val="20"/>
          <w:color w:val="auto"/>
        </w:rPr>
      </w:pPr>
      <w:r>
        <w:rPr>
          <w:rFonts w:ascii="Arial" w:cs="Arial" w:eastAsia="Arial" w:hAnsi="Arial"/>
          <w:sz w:val="18"/>
          <w:szCs w:val="18"/>
          <w:color w:val="auto"/>
        </w:rPr>
        <w:t>Irvine, CA 92618</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12" w:lineRule="exact"/>
        <w:rPr>
          <w:sz w:val="20"/>
          <w:szCs w:val="20"/>
          <w:color w:val="auto"/>
        </w:rPr>
      </w:pPr>
    </w:p>
    <w:p>
      <w:pPr>
        <w:jc w:val="both"/>
        <w:ind w:left="4" w:right="20"/>
        <w:spacing w:after="0" w:line="242" w:lineRule="auto"/>
        <w:rPr>
          <w:sz w:val="20"/>
          <w:szCs w:val="20"/>
          <w:color w:val="auto"/>
        </w:rPr>
      </w:pPr>
      <w:r>
        <w:rPr>
          <w:rFonts w:ascii="Arial" w:cs="Arial" w:eastAsia="Arial" w:hAnsi="Arial"/>
          <w:sz w:val="18"/>
          <w:szCs w:val="18"/>
          <w:color w:val="auto"/>
        </w:rPr>
        <w:t>We have acted as counsel to CG Oncology,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offering of up to 9,200,000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its common stock, par value $0.0001 per share, consisting of (i) up to 8,500,000 shares to be sold by the Company (the “</w:t>
      </w:r>
      <w:r>
        <w:rPr>
          <w:rFonts w:ascii="Arial" w:cs="Arial" w:eastAsia="Arial" w:hAnsi="Arial"/>
          <w:sz w:val="18"/>
          <w:szCs w:val="18"/>
          <w:b w:val="1"/>
          <w:bCs w:val="1"/>
          <w:i w:val="1"/>
          <w:iCs w:val="1"/>
          <w:color w:val="auto"/>
        </w:rPr>
        <w:t>Company Shares</w:t>
      </w:r>
      <w:r>
        <w:rPr>
          <w:rFonts w:ascii="Arial" w:cs="Arial" w:eastAsia="Arial" w:hAnsi="Arial"/>
          <w:sz w:val="18"/>
          <w:szCs w:val="18"/>
          <w:color w:val="auto"/>
        </w:rPr>
        <w:t>”), including up to 1,200,000 Company Shares that may be sold upon the exercise of an option to purchase additional Shares, and (ii) 700,000 shares (the “</w:t>
      </w:r>
      <w:r>
        <w:rPr>
          <w:rFonts w:ascii="Arial" w:cs="Arial" w:eastAsia="Arial" w:hAnsi="Arial"/>
          <w:sz w:val="18"/>
          <w:szCs w:val="18"/>
          <w:b w:val="1"/>
          <w:bCs w:val="1"/>
          <w:i w:val="1"/>
          <w:iCs w:val="1"/>
          <w:color w:val="auto"/>
        </w:rPr>
        <w:t>Stockholder Shares</w:t>
      </w:r>
      <w:r>
        <w:rPr>
          <w:rFonts w:ascii="Arial" w:cs="Arial" w:eastAsia="Arial" w:hAnsi="Arial"/>
          <w:sz w:val="18"/>
          <w:szCs w:val="18"/>
          <w:color w:val="auto"/>
        </w:rPr>
        <w:t>”) to be sold by the selling stockholder identified in the Prospectus, all pursuant to a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the prospectus included in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173"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8"/>
          <w:szCs w:val="18"/>
          <w:color w:val="auto"/>
        </w:rPr>
        <w:t>In connection with this opinion, we have (i) examined and relied upon (a) the Registration Statement and the Prospectus, (b) the Company’s certificate of incorporation and bylaws, each as currently in effect, and (c) such other records, documents, opinions, certificates, memoranda and instruments as in our judgment are necessary or appropriate to enable us to render the opinion expressed below and (ii) assumed that the Shares will be sold at a price established by the Board of Directors of the Company or a duly authorized committee thereof.</w:t>
      </w:r>
    </w:p>
    <w:p>
      <w:pPr>
        <w:spacing w:after="0" w:line="176" w:lineRule="exact"/>
        <w:rPr>
          <w:sz w:val="20"/>
          <w:szCs w:val="20"/>
          <w:color w:val="auto"/>
        </w:rPr>
      </w:pPr>
    </w:p>
    <w:p>
      <w:pPr>
        <w:jc w:val="both"/>
        <w:ind w:left="4" w:right="20"/>
        <w:spacing w:after="0" w:line="244" w:lineRule="auto"/>
        <w:rPr>
          <w:sz w:val="20"/>
          <w:szCs w:val="20"/>
          <w:color w:val="auto"/>
        </w:rPr>
      </w:pPr>
      <w:r>
        <w:rPr>
          <w:rFonts w:ascii="Arial" w:cs="Arial" w:eastAsia="Arial" w:hAnsi="Arial"/>
          <w:sz w:val="18"/>
          <w:szCs w:val="18"/>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76"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69"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On the basis of the foregoing, and in reliance thereon, we are of the opinion that (i) the Company Shares, when sold and issued against payment therefor as provided in the Registration Statement and the Prospectus, will be validly issued, fully paid and nonassessable, and (ii) the Stockholder Shares are validly issued, fully paid and nonassessable.</w:t>
      </w:r>
    </w:p>
    <w:p>
      <w:pPr>
        <w:spacing w:after="0" w:line="169"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74"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We consent to the reference to our firm under the heading “Legal Matters” in the Prospectus and to the filing of this opinion as an exhibit to the Registration Statement. In giving such consents, we do not thereby admit that we are in the category of persons whose consent is required under Section 7 of the Securities Act of 1933, as amended, or the rules and regulations of the Commission thereunder.</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Cooley LLP 55 Hudson Yards, New York, New York 10001</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 +1 212 479 6000 f: +1 212 479 6275 cooley.com</w:t>
      </w:r>
    </w:p>
    <w:p>
      <w:pPr>
        <w:sectPr>
          <w:pgSz w:w="11900" w:h="16838" w:orient="portrait"/>
          <w:cols w:equalWidth="0" w:num="1">
            <w:col w:w="11024"/>
          </w:cols>
          <w:pgMar w:left="436" w:top="122" w:right="4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Divakar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8890</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Divakar Gupta</w:t>
      </w:r>
    </w:p>
    <w:p>
      <w:pPr>
        <w:spacing w:after="0" w:line="20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Cooley LLP 55 Hudson Yards, New York, New York 10001</w:t>
      </w:r>
    </w:p>
    <w:p>
      <w:pPr>
        <w:spacing w:after="0" w:line="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 +1 212 479 6000 f: +1 212 479 6275 cooley.com</w:t>
      </w:r>
    </w:p>
    <w:sectPr>
      <w:pgSz w:w="11900" w:h="16838" w:orient="portrait"/>
      <w:cols w:equalWidth="0" w:num="1">
        <w:col w:w="10019"/>
      </w:cols>
      <w:pgMar w:left="440" w:top="2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lowerLetter"/>
      <w:start w:val="1"/>
    </w:lvl>
    <w:lvl w:ilvl="1">
      <w:lvlJc w:val="left"/>
      <w:lvlText w:val="%2."/>
      <w:numFmt w:val="decimal"/>
      <w:start w:val="1"/>
    </w:lvl>
  </w:abstractNum>
  <w:abstractNum w:abstractNumId="1">
    <w:nsid w:val="5577F8E1"/>
    <w:multiLevelType w:val="hybridMultilevel"/>
    <w:lvl w:ilvl="0">
      <w:lvlJc w:val="left"/>
      <w:lvlText w:val="(%1)"/>
      <w:numFmt w:val="lowerLetter"/>
      <w:start w:val="2"/>
    </w:lvl>
    <w:lvl w:ilvl="1">
      <w:lvlJc w:val="left"/>
      <w:lvlText w:val="%2."/>
      <w:numFmt w:val="decimal"/>
      <w:start w:val="1"/>
    </w:lvl>
  </w:abstractNum>
  <w:abstractNum w:abstractNumId="2">
    <w:nsid w:val="440BADFC"/>
    <w:multiLevelType w:val="hybridMultilevel"/>
    <w:lvl w:ilvl="0">
      <w:lvlJc w:val="left"/>
      <w:lvlText w:val="(%1)"/>
      <w:numFmt w:val="lowerLetter"/>
      <w:start w:val="3"/>
    </w:lvl>
  </w:abstractNum>
  <w:abstractNum w:abstractNumId="3">
    <w:nsid w:val="5072367"/>
    <w:multiLevelType w:val="hybridMultilevel"/>
    <w:lvl w:ilvl="0">
      <w:lvlJc w:val="left"/>
      <w:lvlText w:val="(%1)"/>
      <w:numFmt w:val="lowerLetter"/>
      <w:start w:val="3"/>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
      <w:numFmt w:val="bullet"/>
      <w:start w:val="1"/>
    </w:lvl>
  </w:abstractNum>
  <w:abstractNum w:abstractNumId="9">
    <w:nsid w:val="5E884ADC"/>
    <w:multiLevelType w:val="hybridMultilevel"/>
    <w:lvl w:ilvl="0">
      <w:lvlJc w:val="left"/>
      <w:lvlText w:val=" "/>
      <w:numFmt w:val="bullet"/>
      <w:start w:val="1"/>
    </w:lvl>
  </w:abstractNum>
  <w:abstractNum w:abstractNumId="10">
    <w:nsid w:val="51EAD36B"/>
    <w:multiLevelType w:val="hybridMultilevel"/>
    <w:lvl w:ilvl="0">
      <w:lvlJc w:val="left"/>
      <w:lvlText w:val=" "/>
      <w:numFmt w:val="bullet"/>
      <w:start w:val="1"/>
    </w:lvl>
  </w:abstractNum>
  <w:abstractNum w:abstractNumId="11">
    <w:nsid w:val="2D517796"/>
    <w:multiLevelType w:val="hybridMultilevel"/>
    <w:lvl w:ilvl="0">
      <w:lvlJc w:val="left"/>
      <w:lvlText w:val=" "/>
      <w:numFmt w:val="bullet"/>
      <w:start w:val="1"/>
    </w:lvl>
  </w:abstractNum>
  <w:abstractNum w:abstractNumId="12">
    <w:nsid w:val="580BD78F"/>
    <w:multiLevelType w:val="hybridMultilevel"/>
    <w:lvl w:ilvl="0">
      <w:lvlJc w:val="left"/>
      <w:lvlText w:val="%1."/>
      <w:numFmt w:val="decimal"/>
      <w:start w:val="1"/>
    </w:lvl>
    <w:lvl w:ilvl="1">
      <w:lvlJc w:val="left"/>
      <w:lvlText w:val="(%2)"/>
      <w:numFmt w:val="lowerLetter"/>
      <w:start w:val="1"/>
    </w:lvl>
  </w:abstractNum>
  <w:abstractNum w:abstractNumId="13">
    <w:nsid w:val="153EA438"/>
    <w:multiLevelType w:val="hybridMultilevel"/>
    <w:lvl w:ilvl="0">
      <w:lvlJc w:val="left"/>
      <w:lvlText w:val="(%1)"/>
      <w:numFmt w:val="lowerLetter"/>
      <w:start w:val="2"/>
    </w:lvl>
  </w:abstractNum>
  <w:abstractNum w:abstractNumId="14">
    <w:nsid w:val="3855585C"/>
    <w:multiLevelType w:val="hybridMultilevel"/>
    <w:lvl w:ilvl="0">
      <w:lvlJc w:val="left"/>
      <w:lvlText w:val="(%1)"/>
      <w:numFmt w:val="lowerLetter"/>
      <w:start w:val="4"/>
    </w:lvl>
  </w:abstractNum>
  <w:abstractNum w:abstractNumId="15">
    <w:nsid w:val="70A64E2A"/>
    <w:multiLevelType w:val="hybridMultilevel"/>
    <w:lvl w:ilvl="0">
      <w:lvlJc w:val="left"/>
      <w:lvlText w:val="(%1)"/>
      <w:numFmt w:val="lowerLetter"/>
      <w:start w:val="11"/>
    </w:lvl>
  </w:abstractNum>
  <w:abstractNum w:abstractNumId="16">
    <w:nsid w:val="6A2342EC"/>
    <w:multiLevelType w:val="hybridMultilevel"/>
    <w:lvl w:ilvl="0">
      <w:lvlJc w:val="left"/>
      <w:lvlText w:val="(%1)"/>
      <w:numFmt w:val="lowerLetter"/>
      <w:start w:val="15"/>
    </w:lvl>
  </w:abstractNum>
  <w:abstractNum w:abstractNumId="17">
    <w:nsid w:val="2A487CB0"/>
    <w:multiLevelType w:val="hybridMultilevel"/>
    <w:lvl w:ilvl="0">
      <w:lvlJc w:val="left"/>
      <w:lvlText w:val="(%1)"/>
      <w:numFmt w:val="lowerLetter"/>
      <w:start w:val="19"/>
    </w:lvl>
  </w:abstractNum>
  <w:abstractNum w:abstractNumId="18">
    <w:nsid w:val="1D4ED43B"/>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19">
    <w:nsid w:val="725A06FB"/>
    <w:multiLevelType w:val="hybridMultilevel"/>
    <w:lvl w:ilvl="0">
      <w:lvlJc w:val="left"/>
      <w:lvlText w:val="(%1)"/>
      <w:numFmt w:val="lowerLetter"/>
      <w:start w:val="24"/>
    </w:lvl>
  </w:abstractNum>
  <w:abstractNum w:abstractNumId="20">
    <w:nsid w:val="2CD89A32"/>
    <w:multiLevelType w:val="hybridMultilevel"/>
    <w:lvl w:ilvl="0">
      <w:lvlJc w:val="left"/>
      <w:lvlText w:val="(%1)"/>
      <w:numFmt w:val="lowerRoman"/>
      <w:start w:val="8"/>
    </w:lvl>
    <w:lvl w:ilvl="1">
      <w:lvlJc w:val="left"/>
      <w:lvlText w:val="(%2)"/>
      <w:numFmt w:val="lowerLetter"/>
      <w:start w:val="26"/>
    </w:lvl>
  </w:abstractNum>
  <w:abstractNum w:abstractNumId="21">
    <w:nsid w:val="57E4CCAF"/>
    <w:multiLevelType w:val="hybridMultilevel"/>
    <w:lvl w:ilvl="0">
      <w:lvlJc w:val="left"/>
      <w:lvlText w:val="(%1)"/>
      <w:numFmt w:val="lowerLetter"/>
      <w:start w:val="27"/>
    </w:lvl>
  </w:abstractNum>
  <w:abstractNum w:abstractNumId="22">
    <w:nsid w:val="7A6D8D3C"/>
    <w:multiLevelType w:val="hybridMultilevel"/>
    <w:lvl w:ilvl="0">
      <w:lvlJc w:val="left"/>
      <w:lvlText w:val="(%1)"/>
      <w:numFmt w:val="lowerLetter"/>
      <w:start w:val="30"/>
    </w:lvl>
  </w:abstractNum>
  <w:abstractNum w:abstractNumId="23">
    <w:nsid w:val="4B588F54"/>
    <w:multiLevelType w:val="hybridMultilevel"/>
    <w:lvl w:ilvl="0">
      <w:lvlJc w:val="left"/>
      <w:lvlText w:val="(%1)"/>
      <w:numFmt w:val="lowerLetter"/>
      <w:start w:val="35"/>
    </w:lvl>
  </w:abstractNum>
  <w:abstractNum w:abstractNumId="24">
    <w:nsid w:val="542289EC"/>
    <w:multiLevelType w:val="hybridMultilevel"/>
    <w:lvl w:ilvl="0">
      <w:lvlJc w:val="left"/>
      <w:lvlText w:val="(%1)"/>
      <w:numFmt w:val="lowerLetter"/>
      <w:start w:val="39"/>
    </w:lvl>
  </w:abstractNum>
  <w:abstractNum w:abstractNumId="25">
    <w:nsid w:val="6DE91B18"/>
    <w:multiLevelType w:val="hybridMultilevel"/>
    <w:lvl w:ilvl="0">
      <w:lvlJc w:val="left"/>
      <w:lvlText w:val="(%1)"/>
      <w:numFmt w:val="lowerLetter"/>
      <w:start w:val="44"/>
    </w:lvl>
  </w:abstractNum>
  <w:abstractNum w:abstractNumId="26">
    <w:nsid w:val="38437FDB"/>
    <w:multiLevelType w:val="hybridMultilevel"/>
    <w:lvl w:ilvl="0">
      <w:lvlJc w:val="left"/>
      <w:lvlText w:val="(%1)"/>
      <w:numFmt w:val="lowerLetter"/>
      <w:start w:val="45"/>
    </w:lvl>
  </w:abstractNum>
  <w:abstractNum w:abstractNumId="27">
    <w:nsid w:val="7644A45C"/>
    <w:multiLevelType w:val="hybridMultilevel"/>
    <w:lvl w:ilvl="0">
      <w:lvlJc w:val="left"/>
      <w:lvlText w:val="(%1)"/>
      <w:numFmt w:val="lowerLetter"/>
      <w:start w:val="46"/>
    </w:lvl>
  </w:abstractNum>
  <w:abstractNum w:abstractNumId="28">
    <w:nsid w:val="32FFF902"/>
    <w:multiLevelType w:val="hybridMultilevel"/>
    <w:lvl w:ilvl="0">
      <w:lvlJc w:val="left"/>
      <w:lvlText w:val="%1"/>
      <w:numFmt w:val="decimal"/>
      <w:start w:val="1"/>
    </w:lvl>
    <w:lvl w:ilvl="1">
      <w:lvlJc w:val="left"/>
      <w:lvlText w:val="(%2)"/>
      <w:numFmt w:val="lowerLetter"/>
      <w:start w:val="47"/>
    </w:lvl>
  </w:abstractNum>
  <w:abstractNum w:abstractNumId="29">
    <w:nsid w:val="684A481A"/>
    <w:multiLevelType w:val="hybridMultilevel"/>
    <w:lvl w:ilvl="0">
      <w:lvlJc w:val="left"/>
      <w:lvlText w:val="%1."/>
      <w:numFmt w:val="decimal"/>
      <w:start w:val="2"/>
    </w:lvl>
    <w:lvl w:ilvl="1">
      <w:lvlJc w:val="left"/>
      <w:lvlText w:val="(%2)"/>
      <w:numFmt w:val="lowerLetter"/>
      <w:start w:val="1"/>
    </w:lvl>
  </w:abstractNum>
  <w:abstractNum w:abstractNumId="30">
    <w:nsid w:val="579478FE"/>
    <w:multiLevelType w:val="hybridMultilevel"/>
    <w:lvl w:ilvl="0">
      <w:lvlJc w:val="left"/>
      <w:lvlText w:val="(%1)"/>
      <w:numFmt w:val="lowerLetter"/>
      <w:start w:val="3"/>
    </w:lvl>
  </w:abstractNum>
  <w:abstractNum w:abstractNumId="31">
    <w:nsid w:val="749ABB43"/>
    <w:multiLevelType w:val="hybridMultilevel"/>
    <w:lvl w:ilvl="0">
      <w:lvlJc w:val="left"/>
      <w:lvlText w:val="%1"/>
      <w:numFmt w:val="lowerRoman"/>
      <w:start w:val="1"/>
    </w:lvl>
    <w:lvl w:ilvl="1">
      <w:lvlJc w:val="left"/>
      <w:lvlText w:val="(%2)"/>
      <w:numFmt w:val="lowerLetter"/>
      <w:start w:val="8"/>
    </w:lvl>
    <w:lvl w:ilvl="2">
      <w:lvlJc w:val="left"/>
      <w:lvlText w:val="%3"/>
      <w:numFmt w:val="upperLetter"/>
      <w:start w:val="1"/>
    </w:lvl>
  </w:abstractNum>
  <w:abstractNum w:abstractNumId="32">
    <w:nsid w:val="3DC240FB"/>
    <w:multiLevelType w:val="hybridMultilevel"/>
    <w:lvl w:ilvl="0">
      <w:lvlJc w:val="left"/>
      <w:lvlText w:val="(%1)"/>
      <w:numFmt w:val="lowerRoman"/>
      <w:start w:val="4"/>
    </w:lvl>
    <w:lvl w:ilvl="1">
      <w:lvlJc w:val="left"/>
      <w:lvlText w:val="(%2)"/>
      <w:numFmt w:val="lowerLetter"/>
      <w:start w:val="9"/>
    </w:lvl>
    <w:lvl w:ilvl="2">
      <w:lvlJc w:val="left"/>
      <w:lvlText w:val="(%3)"/>
      <w:numFmt w:val="upperLetter"/>
      <w:start w:val="1"/>
    </w:lvl>
  </w:abstractNum>
  <w:abstractNum w:abstractNumId="33">
    <w:nsid w:val="1BA026F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4">
    <w:nsid w:val="79A1DEAA"/>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35">
    <w:nsid w:val="75C6C33A"/>
    <w:multiLevelType w:val="hybridMultilevel"/>
    <w:lvl w:ilvl="0">
      <w:lvlJc w:val="left"/>
      <w:lvlText w:val="%1"/>
      <w:numFmt w:val="decimal"/>
      <w:start w:val="1"/>
    </w:lvl>
    <w:lvl w:ilvl="1">
      <w:lvlJc w:val="left"/>
      <w:lvlText w:val="(%2)"/>
      <w:numFmt w:val="lowerLetter"/>
      <w:start w:val="12"/>
    </w:lvl>
  </w:abstractNum>
  <w:abstractNum w:abstractNumId="36">
    <w:nsid w:val="12E685FB"/>
    <w:multiLevelType w:val="hybridMultilevel"/>
    <w:lvl w:ilvl="0">
      <w:lvlJc w:val="left"/>
      <w:lvlText w:val="%1."/>
      <w:numFmt w:val="decimal"/>
      <w:start w:val="3"/>
    </w:lvl>
    <w:lvl w:ilvl="1">
      <w:lvlJc w:val="left"/>
      <w:lvlText w:val="%2"/>
      <w:numFmt w:val="lowerLetter"/>
      <w:start w:val="1"/>
    </w:lvl>
  </w:abstractNum>
  <w:abstractNum w:abstractNumId="37">
    <w:nsid w:val="70C6A529"/>
    <w:multiLevelType w:val="hybridMultilevel"/>
    <w:lvl w:ilvl="0">
      <w:lvlJc w:val="left"/>
      <w:lvlText w:val="%1."/>
      <w:numFmt w:val="decimal"/>
      <w:start w:val="4"/>
    </w:lvl>
  </w:abstractNum>
  <w:abstractNum w:abstractNumId="38">
    <w:nsid w:val="520EEDD1"/>
    <w:multiLevelType w:val="hybridMultilevel"/>
    <w:lvl w:ilvl="0">
      <w:lvlJc w:val="left"/>
      <w:lvlText w:val="%1."/>
      <w:numFmt w:val="decimal"/>
      <w:start w:val="6"/>
    </w:lvl>
  </w:abstractNum>
  <w:abstractNum w:abstractNumId="39">
    <w:nsid w:val="374A3FE6"/>
    <w:multiLevelType w:val="hybridMultilevel"/>
    <w:lvl w:ilvl="0">
      <w:lvlJc w:val="left"/>
      <w:lvlText w:val="(%1)"/>
      <w:numFmt w:val="lowerLetter"/>
      <w:start w:val="1"/>
    </w:lvl>
    <w:lvl w:ilvl="1">
      <w:lvlJc w:val="left"/>
      <w:lvlText w:val="(%2)"/>
      <w:numFmt w:val="lowerRoman"/>
      <w:start w:val="1"/>
    </w:lvl>
  </w:abstractNum>
  <w:abstractNum w:abstractNumId="40">
    <w:nsid w:val="4F4EF005"/>
    <w:multiLevelType w:val="hybridMultilevel"/>
    <w:lvl w:ilvl="0">
      <w:lvlJc w:val="left"/>
      <w:lvlText w:val="(%1)"/>
      <w:numFmt w:val="lowerLetter"/>
      <w:start w:val="3"/>
    </w:lvl>
  </w:abstractNum>
  <w:abstractNum w:abstractNumId="41">
    <w:nsid w:val="23F9C13C"/>
    <w:multiLevelType w:val="hybridMultilevel"/>
    <w:lvl w:ilvl="0">
      <w:lvlJc w:val="left"/>
      <w:lvlText w:val="(%1)"/>
      <w:numFmt w:val="lowerLetter"/>
      <w:start w:val="4"/>
    </w:lvl>
  </w:abstractNum>
  <w:abstractNum w:abstractNumId="42">
    <w:nsid w:val="649BB77C"/>
    <w:multiLevelType w:val="hybridMultilevel"/>
    <w:lvl w:ilvl="0">
      <w:lvlJc w:val="left"/>
      <w:lvlText w:val="(%1)"/>
      <w:numFmt w:val="lowerLetter"/>
      <w:start w:val="8"/>
    </w:lvl>
  </w:abstractNum>
  <w:abstractNum w:abstractNumId="43">
    <w:nsid w:val="275AC794"/>
    <w:multiLevelType w:val="hybridMultilevel"/>
    <w:lvl w:ilvl="0">
      <w:lvlJc w:val="left"/>
      <w:lvlText w:val="(%1)"/>
      <w:numFmt w:val="lowerLetter"/>
      <w:start w:val="10"/>
    </w:lvl>
    <w:lvl w:ilvl="1">
      <w:lvlJc w:val="left"/>
      <w:lvlText w:val="(%2)"/>
      <w:numFmt w:val="lowerRoman"/>
      <w:start w:val="1"/>
    </w:lvl>
  </w:abstractNum>
  <w:abstractNum w:abstractNumId="44">
    <w:nsid w:val="39386575"/>
    <w:multiLevelType w:val="hybridMultilevel"/>
    <w:lvl w:ilvl="0">
      <w:lvlJc w:val="left"/>
      <w:lvlText w:val="%1."/>
      <w:numFmt w:val="decimal"/>
      <w:start w:val="7"/>
    </w:lvl>
    <w:lvl w:ilvl="1">
      <w:lvlJc w:val="left"/>
      <w:lvlText w:val="(%2)"/>
      <w:numFmt w:val="lowerLetter"/>
      <w:start w:val="1"/>
    </w:lvl>
  </w:abstractNum>
  <w:abstractNum w:abstractNumId="45">
    <w:nsid w:val="1CF10FD8"/>
    <w:multiLevelType w:val="hybridMultilevel"/>
    <w:lvl w:ilvl="0">
      <w:lvlJc w:val="left"/>
      <w:lvlText w:val="(%1)"/>
      <w:numFmt w:val="lowerLetter"/>
      <w:start w:val="6"/>
    </w:lvl>
  </w:abstractNum>
  <w:abstractNum w:abstractNumId="46">
    <w:nsid w:val="180115BE"/>
    <w:multiLevelType w:val="hybridMultilevel"/>
    <w:lvl w:ilvl="0">
      <w:lvlJc w:val="left"/>
      <w:lvlText w:val="(%1)"/>
      <w:numFmt w:val="lowerRoman"/>
      <w:start w:val="5"/>
    </w:lvl>
    <w:lvl w:ilvl="1">
      <w:lvlJc w:val="left"/>
      <w:lvlText w:val="%2"/>
      <w:numFmt w:val="lowerLetter"/>
      <w:start w:val="1"/>
    </w:lvl>
  </w:abstractNum>
  <w:abstractNum w:abstractNumId="47">
    <w:nsid w:val="235BA861"/>
    <w:multiLevelType w:val="hybridMultilevel"/>
    <w:lvl w:ilvl="0">
      <w:lvlJc w:val="left"/>
      <w:lvlText w:val="(%1)"/>
      <w:numFmt w:val="lowerRoman"/>
      <w:start w:val="7"/>
    </w:lvl>
    <w:lvl w:ilvl="1">
      <w:lvlJc w:val="left"/>
      <w:lvlText w:val="(%2)"/>
      <w:numFmt w:val="lowerLetter"/>
      <w:start w:val="10"/>
    </w:lvl>
  </w:abstractNum>
  <w:abstractNum w:abstractNumId="48">
    <w:nsid w:val="47398C89"/>
    <w:multiLevelType w:val="hybridMultilevel"/>
    <w:lvl w:ilvl="0">
      <w:lvlJc w:val="left"/>
      <w:lvlText w:val="(%1)"/>
      <w:numFmt w:val="lowerLetter"/>
      <w:start w:val="11"/>
    </w:lvl>
  </w:abstractNum>
  <w:abstractNum w:abstractNumId="49">
    <w:nsid w:val="354FE9F9"/>
    <w:multiLevelType w:val="hybridMultilevel"/>
    <w:lvl w:ilvl="0">
      <w:lvlJc w:val="left"/>
      <w:lvlText w:val="%1."/>
      <w:numFmt w:val="decimal"/>
      <w:start w:val="8"/>
    </w:lvl>
    <w:lvl w:ilvl="1">
      <w:lvlJc w:val="left"/>
      <w:lvlText w:val="(%2)"/>
      <w:numFmt w:val="lowerLetter"/>
      <w:start w:val="1"/>
    </w:lvl>
  </w:abstractNum>
  <w:abstractNum w:abstractNumId="50">
    <w:nsid w:val="15B5AF5C"/>
    <w:multiLevelType w:val="hybridMultilevel"/>
    <w:lvl w:ilvl="0">
      <w:lvlJc w:val="left"/>
      <w:lvlText w:val="%1"/>
      <w:numFmt w:val="decimal"/>
      <w:start w:val="1"/>
    </w:lvl>
    <w:lvl w:ilvl="1">
      <w:lvlJc w:val="left"/>
      <w:lvlText w:val="(%2)"/>
      <w:numFmt w:val="lowerLetter"/>
      <w:start w:val="6"/>
    </w:lvl>
  </w:abstractNum>
  <w:abstractNum w:abstractNumId="51">
    <w:nsid w:val="741226BB"/>
    <w:multiLevelType w:val="hybridMultilevel"/>
    <w:lvl w:ilvl="0">
      <w:lvlJc w:val="left"/>
      <w:lvlText w:val="%1."/>
      <w:numFmt w:val="decimal"/>
      <w:start w:val="9"/>
    </w:lvl>
    <w:lvl w:ilvl="1">
      <w:lvlJc w:val="left"/>
      <w:lvlText w:val="(%2)"/>
      <w:numFmt w:val="lowerLetter"/>
      <w:start w:val="2"/>
    </w:lvl>
  </w:abstractNum>
  <w:abstractNum w:abstractNumId="52">
    <w:nsid w:val="D34B6A8"/>
    <w:multiLevelType w:val="hybridMultilevel"/>
    <w:lvl w:ilvl="0">
      <w:lvlJc w:val="left"/>
      <w:lvlText w:val="(%1)"/>
      <w:numFmt w:val="lowerLetter"/>
      <w:start w:val="3"/>
    </w:lvl>
  </w:abstractNum>
  <w:abstractNum w:abstractNumId="53">
    <w:nsid w:val="10233C99"/>
    <w:multiLevelType w:val="hybridMultilevel"/>
    <w:lvl w:ilvl="0">
      <w:lvlJc w:val="left"/>
      <w:lvlText w:val="(%1)"/>
      <w:numFmt w:val="lowerLetter"/>
      <w:start w:val="5"/>
    </w:lvl>
  </w:abstractNum>
  <w:abstractNum w:abstractNumId="54">
    <w:nsid w:val="3F6AB60F"/>
    <w:multiLevelType w:val="hybridMultilevel"/>
    <w:lvl w:ilvl="0">
      <w:lvlJc w:val="left"/>
      <w:lvlText w:val="%1"/>
      <w:numFmt w:val="decimal"/>
      <w:start w:val="1"/>
    </w:lvl>
    <w:lvl w:ilvl="1">
      <w:lvlJc w:val="left"/>
      <w:lvlText w:val="(%2)"/>
      <w:numFmt w:val="lowerLetter"/>
      <w:start w:val="6"/>
    </w:lvl>
  </w:abstractNum>
  <w:abstractNum w:abstractNumId="55">
    <w:nsid w:val="61574095"/>
    <w:multiLevelType w:val="hybridMultilevel"/>
    <w:lvl w:ilvl="0">
      <w:lvlJc w:val="left"/>
      <w:lvlText w:val="%1."/>
      <w:numFmt w:val="decimal"/>
      <w:start w:val="11"/>
    </w:lvl>
    <w:lvl w:ilvl="1">
      <w:lvlJc w:val="left"/>
      <w:lvlText w:val="%2"/>
      <w:numFmt w:val="lowerLetter"/>
      <w:start w:val="1"/>
    </w:lvl>
  </w:abstractNum>
  <w:abstractNum w:abstractNumId="56">
    <w:nsid w:val="7E0C57B1"/>
    <w:multiLevelType w:val="hybridMultilevel"/>
    <w:lvl w:ilvl="0">
      <w:lvlJc w:val="left"/>
      <w:lvlText w:val="(%1)"/>
      <w:numFmt w:val="lowerRoman"/>
      <w:start w:val="2"/>
    </w:lvl>
  </w:abstractNum>
  <w:abstractNum w:abstractNumId="57">
    <w:nsid w:val="77AE35EB"/>
    <w:multiLevelType w:val="hybridMultilevel"/>
    <w:lvl w:ilvl="0">
      <w:lvlJc w:val="left"/>
      <w:lvlText w:val="%1."/>
      <w:numFmt w:val="decimal"/>
      <w:start w:val="13"/>
    </w:lvl>
    <w:lvl w:ilvl="1">
      <w:lvlJc w:val="left"/>
      <w:lvlText w:val="(%2)"/>
      <w:numFmt w:val="lowerLetter"/>
      <w:start w:val="2"/>
    </w:lvl>
  </w:abstractNum>
  <w:abstractNum w:abstractNumId="58">
    <w:nsid w:val="579BE4F1"/>
    <w:multiLevelType w:val="hybridMultilevel"/>
    <w:lvl w:ilvl="0">
      <w:lvlJc w:val="left"/>
      <w:lvlText w:val="%1."/>
      <w:numFmt w:val="decimal"/>
      <w:start w:val="14"/>
    </w:lvl>
    <w:lvl w:ilvl="1">
      <w:lvlJc w:val="left"/>
      <w:lvlText w:val="(%2)"/>
      <w:numFmt w:val="lowerLetter"/>
      <w:start w:val="2"/>
    </w:lvl>
  </w:abstractNum>
  <w:abstractNum w:abstractNumId="59">
    <w:nsid w:val="310C50B3"/>
    <w:multiLevelType w:val="hybridMultilevel"/>
    <w:lvl w:ilvl="0">
      <w:lvlJc w:val="left"/>
      <w:lvlText w:val="%1."/>
      <w:numFmt w:val="decimal"/>
      <w:start w:val="15"/>
    </w:lvl>
  </w:abstractNum>
  <w:abstractNum w:abstractNumId="60">
    <w:nsid w:val="5FF87E05"/>
    <w:multiLevelType w:val="hybridMultilevel"/>
    <w:lvl w:ilvl="0">
      <w:lvlJc w:val="left"/>
      <w:lvlText w:val="%1."/>
      <w:numFmt w:val="decimal"/>
      <w:start w:val="17"/>
    </w:lvl>
    <w:lvl w:ilvl="1">
      <w:lvlJc w:val="left"/>
      <w:lvlText w:val="(%2)"/>
      <w:numFmt w:val="lowerLetter"/>
      <w:start w:val="1"/>
    </w:lvl>
  </w:abstractNum>
  <w:abstractNum w:abstractNumId="61">
    <w:nsid w:val="2F305DEF"/>
    <w:multiLevelType w:val="hybridMultilevel"/>
    <w:lvl w:ilvl="0">
      <w:lvlJc w:val="left"/>
      <w:lvlText w:val="%1."/>
      <w:numFmt w:val="decimal"/>
      <w:start w:val="20"/>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lowerLetter"/>
      <w:start w:val="1"/>
    </w:lvl>
    <w:lvl w:ilvl="1">
      <w:lvlJc w:val="left"/>
      <w:lvlText w:val="(%2)"/>
      <w:numFmt w:val="lowerLetter"/>
      <w:start w:val="3"/>
    </w:lvl>
  </w:abstractNum>
  <w:abstractNum w:abstractNumId="65">
    <w:nsid w:val="1F48EAA1"/>
    <w:multiLevelType w:val="hybridMultilevel"/>
    <w:lvl w:ilvl="0">
      <w:lvlJc w:val="left"/>
      <w:lvlText w:val="(%1)"/>
      <w:numFmt w:val="lowerLetter"/>
      <w:start w:val="35"/>
    </w:lvl>
    <w:lvl w:ilvl="1">
      <w:lvlJc w:val="left"/>
      <w:lvlText w:val="(%2)"/>
      <w:numFmt w:val="lowerLetter"/>
      <w:start w:val="5"/>
    </w:lvl>
  </w:abstractNum>
  <w:abstractNum w:abstractNumId="66">
    <w:nsid w:val="1381823A"/>
    <w:multiLevelType w:val="hybridMultilevel"/>
    <w:lvl w:ilvl="0">
      <w:lvlJc w:val="left"/>
      <w:lvlText w:val="(%1)"/>
      <w:numFmt w:val="lowerLetter"/>
      <w:start w:val="6"/>
    </w:lvl>
  </w:abstractNum>
  <w:abstractNum w:abstractNumId="67">
    <w:nsid w:val="5DB70AE5"/>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50" Type="http://schemas.openxmlformats.org/officeDocument/2006/relationships/image" Target="media/image19.png"/><Relationship Id="rId51"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image" Target="media/image27.png"/><Relationship Id="rId59" Type="http://schemas.openxmlformats.org/officeDocument/2006/relationships/image" Target="media/image28.png"/><Relationship Id="rId60"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jpeg"/><Relationship Id="rId120" Type="http://schemas.openxmlformats.org/officeDocument/2006/relationships/image" Target="media/image89.png"/><Relationship Id="rId121" Type="http://schemas.openxmlformats.org/officeDocument/2006/relationships/image" Target="media/image90.png"/><Relationship Id="rId24" Type="http://schemas.openxmlformats.org/officeDocument/2006/relationships/hyperlink" Target="http://www.sec.gov/Archives/edgar/data/1991792/000119312524009621/d551455dex33.htm" TargetMode="External"/><Relationship Id="rId25" Type="http://schemas.openxmlformats.org/officeDocument/2006/relationships/hyperlink" Target="http://www.sec.gov/Archives/edgar/data/1991792/000119312524000766/d551455dex34.htm" TargetMode="External"/><Relationship Id="rId26" Type="http://schemas.openxmlformats.org/officeDocument/2006/relationships/hyperlink" Target="http://www.sec.gov/Archives/edgar/data/1991792/000119312524009621/d551455dex41.htm" TargetMode="External"/><Relationship Id="rId27" Type="http://schemas.openxmlformats.org/officeDocument/2006/relationships/hyperlink" Target="http://www.sec.gov/Archives/edgar/data/1991792/000119312524009621/d551455dex42.htm" TargetMode="External"/><Relationship Id="rId28" Type="http://schemas.openxmlformats.org/officeDocument/2006/relationships/hyperlink" Target="http://www.sec.gov/Archives/edgar/data/1991792/000119312524016881/d746958dex101.htm" TargetMode="External"/><Relationship Id="rId29" Type="http://schemas.openxmlformats.org/officeDocument/2006/relationships/hyperlink" Target="http://www.sec.gov/Archives/edgar/data/1991792/000119312524016881/d746958dex102.htm" TargetMode="External"/><Relationship Id="rId30" Type="http://schemas.openxmlformats.org/officeDocument/2006/relationships/hyperlink" Target="http://www.sec.gov/Archives/edgar/data/1991792/000119312524016881/d746958dex103.htm" TargetMode="External"/><Relationship Id="rId31" Type="http://schemas.openxmlformats.org/officeDocument/2006/relationships/hyperlink" Target="http://www.sec.gov/Archives/edgar/data/1991792/000119312524016881/d746958dex104.htm" TargetMode="External"/><Relationship Id="rId32" Type="http://schemas.openxmlformats.org/officeDocument/2006/relationships/hyperlink" Target="http://www.sec.gov/Archives/edgar/data/1991792/000119312524009621/d551455dex105.htm" TargetMode="External"/><Relationship Id="rId33" Type="http://schemas.openxmlformats.org/officeDocument/2006/relationships/hyperlink" Target="http://www.sec.gov/Archives/edgar/data/1991792/000119312524000766/d551455dex106.htm" TargetMode="External"/><Relationship Id="rId34" Type="http://schemas.openxmlformats.org/officeDocument/2006/relationships/hyperlink" Target="http://www.sec.gov/Archives/edgar/data/1991792/000119312524000766/d551455dex107.htm" TargetMode="External"/><Relationship Id="rId35" Type="http://schemas.openxmlformats.org/officeDocument/2006/relationships/hyperlink" Target="http://www.sec.gov/Archives/edgar/data/1991792/000119312524000766/d551455dex108.htm" TargetMode="External"/><Relationship Id="rId36" Type="http://schemas.openxmlformats.org/officeDocument/2006/relationships/hyperlink" Target="http://www.sec.gov/Archives/edgar/data/1991792/000119312524000766/d551455dex109.htm" TargetMode="External"/><Relationship Id="rId37" Type="http://schemas.openxmlformats.org/officeDocument/2006/relationships/hyperlink" Target="http://www.sec.gov/Archives/edgar/data/1991792/000119312524000766/d551455dex1011.htm" TargetMode="External"/><Relationship Id="rId38" Type="http://schemas.openxmlformats.org/officeDocument/2006/relationships/hyperlink" Target="http://www.sec.gov/Archives/edgar/data/1991792/000119312524000766/d551455dex1012.htm" TargetMode="External"/><Relationship Id="rId39" Type="http://schemas.openxmlformats.org/officeDocument/2006/relationships/hyperlink" Target="http://www.sec.gov/Archives/edgar/data/1991792/000119312524000766/d551455dex1013.htm" TargetMode="External"/><Relationship Id="rId42" Type="http://schemas.openxmlformats.org/officeDocument/2006/relationships/hyperlink" Target="http://www.sec.gov/Archives/edgar/data/1991792/000119312524000766/d551455dex1014.htm" TargetMode="External"/><Relationship Id="rId43" Type="http://schemas.openxmlformats.org/officeDocument/2006/relationships/hyperlink" Target="http://www.sec.gov/Archives/edgar/data/1991792/000119312524000766/d551455dex1015.htm" TargetMode="External"/><Relationship Id="rId44" Type="http://schemas.openxmlformats.org/officeDocument/2006/relationships/hyperlink" Target="http://www.sec.gov/Archives/edgar/data/1991792/000119312524000766/d551455dex1016.htm" TargetMode="External"/><Relationship Id="rId45" Type="http://schemas.openxmlformats.org/officeDocument/2006/relationships/hyperlink" Target="http://www.sec.gov/Archives/edgar/data/1991792/000119312524000766/d551455dex1017.htm" TargetMode="External"/><Relationship Id="rId46" Type="http://schemas.openxmlformats.org/officeDocument/2006/relationships/hyperlink" Target="http://www.sec.gov/Archives/edgar/data/1991792/000119312524009621/d551455dex1018.htm" TargetMode="External"/><Relationship Id="rId47" Type="http://schemas.openxmlformats.org/officeDocument/2006/relationships/hyperlink" Target="http://www.sec.gov/Archives/edgar/data/0001991792/000119312524274822/d872865dex231.htm" TargetMode="External"/><Relationship Id="rId48" Type="http://schemas.openxmlformats.org/officeDocument/2006/relationships/hyperlink" Target="http://www.sec.gov/Archives/edgar/data/1991792/000119312524274822/d872865ds1.htm#ii872865_1" TargetMode="External"/><Relationship Id="rId49" Type="http://schemas.openxmlformats.org/officeDocument/2006/relationships/hyperlink" Target="http://www.sec.gov/Archives/edgar/data/0001991792/000119312524274822/d872865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2024-12-11T15:12:18Z</dcterms:created>
  <dcterms:modified xsi:type="dcterms:W3CDTF">2024-12-11T15:12:18Z</dcterms:modified>
</cp:coreProperties>
</file>